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jc w:val="center"/>
        <w:ind w:right="-19"/>
        <w:spacing w:after="0" w:line="236" w:lineRule="auto"/>
        <w:rPr>
          <w:sz w:val="20"/>
          <w:szCs w:val="20"/>
          <w:color w:val="auto"/>
        </w:rPr>
      </w:pPr>
      <w:r>
        <w:rPr>
          <w:rFonts w:ascii="Arial" w:cs="Arial" w:eastAsia="Arial" w:hAnsi="Arial"/>
          <w:sz w:val="20"/>
          <w:szCs w:val="20"/>
          <w:b w:val="1"/>
          <w:bCs w:val="1"/>
          <w:color w:val="auto"/>
        </w:rPr>
        <w:t>WASHINGTON, D.C. 20549</w:t>
      </w:r>
    </w:p>
    <w:p>
      <w:pPr>
        <w:spacing w:after="0" w:line="1" w:lineRule="exact"/>
        <w:rPr>
          <w:sz w:val="24"/>
          <w:szCs w:val="24"/>
          <w:color w:val="auto"/>
        </w:rPr>
      </w:pPr>
    </w:p>
    <w:p>
      <w:pPr>
        <w:ind w:left="4240"/>
        <w:spacing w:after="0"/>
        <w:rPr>
          <w:sz w:val="20"/>
          <w:szCs w:val="20"/>
          <w:color w:val="auto"/>
        </w:rPr>
      </w:pPr>
      <w:r>
        <w:rPr>
          <w:rFonts w:ascii="Arial" w:cs="Arial" w:eastAsia="Arial" w:hAnsi="Arial"/>
          <w:sz w:val="14"/>
          <w:szCs w:val="14"/>
          <w:color w:val="auto"/>
        </w:rPr>
        <w:t>_________________________________________</w:t>
      </w:r>
    </w:p>
    <w:p>
      <w:pPr>
        <w:spacing w:after="0" w:line="57" w:lineRule="exact"/>
        <w:rPr>
          <w:sz w:val="24"/>
          <w:szCs w:val="24"/>
          <w:color w:val="auto"/>
        </w:rPr>
      </w:pPr>
    </w:p>
    <w:p>
      <w:pPr>
        <w:jc w:val="center"/>
        <w:ind w:right="20"/>
        <w:spacing w:after="0"/>
        <w:rPr>
          <w:sz w:val="20"/>
          <w:szCs w:val="20"/>
          <w:color w:val="auto"/>
        </w:rPr>
      </w:pPr>
      <w:r>
        <w:rPr>
          <w:rFonts w:ascii="Arial" w:cs="Arial" w:eastAsia="Arial" w:hAnsi="Arial"/>
          <w:sz w:val="29"/>
          <w:szCs w:val="29"/>
          <w:b w:val="1"/>
          <w:bCs w:val="1"/>
          <w:color w:val="auto"/>
        </w:rPr>
        <w:t>FORM 10-Q</w:t>
      </w:r>
    </w:p>
    <w:p>
      <w:pPr>
        <w:spacing w:after="0" w:line="49" w:lineRule="exact"/>
        <w:rPr>
          <w:sz w:val="24"/>
          <w:szCs w:val="24"/>
          <w:color w:val="auto"/>
        </w:rPr>
      </w:pPr>
    </w:p>
    <w:p>
      <w:pPr>
        <w:ind w:left="4220"/>
        <w:spacing w:after="0"/>
        <w:rPr>
          <w:sz w:val="20"/>
          <w:szCs w:val="20"/>
          <w:color w:val="auto"/>
        </w:rPr>
      </w:pPr>
      <w:r>
        <w:rPr>
          <w:rFonts w:ascii="Arial" w:cs="Arial" w:eastAsia="Arial" w:hAnsi="Arial"/>
          <w:sz w:val="18"/>
          <w:szCs w:val="18"/>
          <w:color w:val="auto"/>
        </w:rPr>
        <w:t>_________________________________</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148" w:lineRule="exact"/>
        <w:rPr>
          <w:sz w:val="24"/>
          <w:szCs w:val="24"/>
          <w:color w:val="auto"/>
        </w:rPr>
      </w:pPr>
    </w:p>
    <w:p>
      <w:pPr>
        <w:ind w:left="720" w:hanging="685"/>
        <w:spacing w:after="0"/>
        <w:tabs>
          <w:tab w:leader="none" w:pos="720" w:val="left"/>
        </w:tabs>
        <w:numPr>
          <w:ilvl w:val="0"/>
          <w:numId w:val="1"/>
        </w:numPr>
        <w:rPr>
          <w:rFonts w:ascii="MS PGothic" w:cs="MS PGothic" w:eastAsia="MS PGothic" w:hAnsi="MS PGothic"/>
          <w:sz w:val="21"/>
          <w:szCs w:val="21"/>
          <w:color w:val="auto"/>
        </w:rPr>
      </w:pPr>
      <w:r>
        <w:rPr>
          <w:rFonts w:ascii="Arial" w:cs="Arial" w:eastAsia="Arial" w:hAnsi="Arial"/>
          <w:sz w:val="19"/>
          <w:szCs w:val="19"/>
          <w:b w:val="1"/>
          <w:bCs w:val="1"/>
          <w:color w:val="auto"/>
        </w:rPr>
        <w:t>QUARTERLY REPORT PURSUANT TO SECTION 13 OR 15(d) OF THE SECURITIES EXCHANGE ACT OF 1934</w:t>
      </w:r>
    </w:p>
    <w:p>
      <w:pPr>
        <w:spacing w:after="0" w:line="175" w:lineRule="exact"/>
        <w:rPr>
          <w:sz w:val="24"/>
          <w:szCs w:val="24"/>
          <w:color w:val="auto"/>
        </w:rPr>
      </w:pPr>
    </w:p>
    <w:p>
      <w:pPr>
        <w:ind w:left="3980"/>
        <w:spacing w:after="0"/>
        <w:rPr>
          <w:sz w:val="20"/>
          <w:szCs w:val="20"/>
          <w:color w:val="auto"/>
        </w:rPr>
      </w:pPr>
      <w:r>
        <w:rPr>
          <w:rFonts w:ascii="Arial" w:cs="Arial" w:eastAsia="Arial" w:hAnsi="Arial"/>
          <w:sz w:val="18"/>
          <w:szCs w:val="18"/>
          <w:b w:val="1"/>
          <w:bCs w:val="1"/>
          <w:color w:val="auto"/>
        </w:rPr>
        <w:t>For the quarterly period ended December 27, 2014</w:t>
      </w:r>
    </w:p>
    <w:p>
      <w:pPr>
        <w:spacing w:after="0" w:line="117" w:lineRule="exact"/>
        <w:rPr>
          <w:sz w:val="24"/>
          <w:szCs w:val="24"/>
          <w:color w:val="auto"/>
        </w:rPr>
      </w:pPr>
    </w:p>
    <w:p>
      <w:pPr>
        <w:ind w:left="5580"/>
        <w:spacing w:after="0"/>
        <w:rPr>
          <w:sz w:val="20"/>
          <w:szCs w:val="20"/>
          <w:color w:val="auto"/>
        </w:rPr>
      </w:pPr>
      <w:r>
        <w:rPr>
          <w:rFonts w:ascii="Arial" w:cs="Arial" w:eastAsia="Arial" w:hAnsi="Arial"/>
          <w:sz w:val="18"/>
          <w:szCs w:val="18"/>
          <w:b w:val="1"/>
          <w:bCs w:val="1"/>
          <w:color w:val="auto"/>
        </w:rPr>
        <w:t>OR</w:t>
      </w:r>
    </w:p>
    <w:p>
      <w:pPr>
        <w:spacing w:after="0" w:line="167" w:lineRule="exact"/>
        <w:rPr>
          <w:sz w:val="24"/>
          <w:szCs w:val="24"/>
          <w:color w:val="auto"/>
        </w:rPr>
      </w:pPr>
    </w:p>
    <w:p>
      <w:pPr>
        <w:ind w:left="740" w:hanging="691"/>
        <w:spacing w:after="0"/>
        <w:tabs>
          <w:tab w:leader="none" w:pos="740" w:val="left"/>
        </w:tabs>
        <w:numPr>
          <w:ilvl w:val="0"/>
          <w:numId w:val="2"/>
        </w:numPr>
        <w:rPr>
          <w:rFonts w:ascii="Arial" w:cs="Arial" w:eastAsia="Arial" w:hAnsi="Arial"/>
          <w:sz w:val="17"/>
          <w:szCs w:val="17"/>
          <w:color w:val="auto"/>
        </w:rPr>
      </w:pPr>
      <w:r>
        <w:rPr>
          <w:rFonts w:ascii="Arial" w:cs="Arial" w:eastAsia="Arial" w:hAnsi="Arial"/>
          <w:sz w:val="19"/>
          <w:szCs w:val="19"/>
          <w:b w:val="1"/>
          <w:bCs w:val="1"/>
          <w:color w:val="auto"/>
        </w:rPr>
        <w:t>TRANSITION REPORT PURSUANT TO SECTION 13 OR 15(d) OF THE SECURITIES EXCHANGE ACT OF 1934</w:t>
      </w:r>
    </w:p>
    <w:p>
      <w:pPr>
        <w:sectPr>
          <w:pgSz w:w="11900" w:h="16838" w:orient="portrait"/>
          <w:cols w:equalWidth="0" w:num="1">
            <w:col w:w="11420"/>
          </w:cols>
          <w:pgMar w:left="240" w:top="634" w:right="239" w:bottom="1440" w:gutter="0" w:footer="0" w:header="0"/>
        </w:sectPr>
      </w:pPr>
    </w:p>
    <w:p>
      <w:pPr>
        <w:spacing w:after="0" w:line="205" w:lineRule="exact"/>
        <w:rPr>
          <w:sz w:val="24"/>
          <w:szCs w:val="24"/>
          <w:color w:val="auto"/>
        </w:rPr>
      </w:pPr>
    </w:p>
    <w:p>
      <w:pPr>
        <w:ind w:left="4000"/>
        <w:spacing w:after="0"/>
        <w:rPr>
          <w:sz w:val="20"/>
          <w:szCs w:val="20"/>
          <w:color w:val="auto"/>
        </w:rPr>
      </w:pPr>
      <w:r>
        <w:rPr>
          <w:rFonts w:ascii="Arial" w:cs="Arial" w:eastAsia="Arial" w:hAnsi="Arial"/>
          <w:sz w:val="16"/>
          <w:szCs w:val="16"/>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to</w:t>
      </w:r>
    </w:p>
    <w:p>
      <w:pPr>
        <w:spacing w:after="0" w:line="222" w:lineRule="exact"/>
        <w:rPr>
          <w:sz w:val="24"/>
          <w:szCs w:val="24"/>
          <w:color w:val="auto"/>
        </w:rPr>
      </w:pPr>
    </w:p>
    <w:p>
      <w:pPr>
        <w:sectPr>
          <w:pgSz w:w="11900" w:h="16838" w:orient="portrait"/>
          <w:cols w:equalWidth="0" w:num="2">
            <w:col w:w="6480" w:space="720"/>
            <w:col w:w="4220"/>
          </w:cols>
          <w:pgMar w:left="240" w:top="634" w:right="239" w:bottom="1440" w:gutter="0" w:footer="0" w:header="0"/>
          <w:type w:val="continuous"/>
        </w:sectPr>
      </w:pPr>
    </w:p>
    <w:p>
      <w:pPr>
        <w:spacing w:after="0" w:line="75"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Commission File Number: 001-11593</w:t>
      </w:r>
    </w:p>
    <w:p>
      <w:pPr>
        <w:sectPr>
          <w:pgSz w:w="11900" w:h="16838" w:orient="portrait"/>
          <w:cols w:equalWidth="0" w:num="1">
            <w:col w:w="11420"/>
          </w:cols>
          <w:pgMar w:left="240" w:top="634" w:right="239" w:bottom="1440" w:gutter="0" w:footer="0" w:header="0"/>
          <w:type w:val="continuous"/>
        </w:sectPr>
      </w:pPr>
    </w:p>
    <w:p>
      <w:pPr>
        <w:spacing w:after="0" w:line="50" w:lineRule="exact"/>
        <w:rPr>
          <w:sz w:val="24"/>
          <w:szCs w:val="24"/>
          <w:color w:val="auto"/>
        </w:rPr>
      </w:pPr>
    </w:p>
    <w:p>
      <w:pPr>
        <w:ind w:left="3620"/>
        <w:spacing w:after="0"/>
        <w:rPr>
          <w:sz w:val="20"/>
          <w:szCs w:val="20"/>
          <w:color w:val="auto"/>
        </w:rPr>
      </w:pPr>
      <w:r>
        <w:rPr>
          <w:rFonts w:ascii="Arial" w:cs="Arial" w:eastAsia="Arial" w:hAnsi="Arial"/>
          <w:sz w:val="18"/>
          <w:szCs w:val="18"/>
          <w:color w:val="auto"/>
        </w:rPr>
        <w:t>______________________________________________</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40"/>
          <w:szCs w:val="40"/>
          <w:b w:val="1"/>
          <w:bCs w:val="1"/>
          <w:color w:val="auto"/>
        </w:rPr>
        <w:t>The Scotts Miracle-Gro Company</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6" w:lineRule="exact"/>
        <w:rPr>
          <w:sz w:val="24"/>
          <w:szCs w:val="24"/>
          <w:color w:val="auto"/>
        </w:rPr>
      </w:pPr>
    </w:p>
    <w:p>
      <w:pPr>
        <w:ind w:left="3640"/>
        <w:spacing w:after="0"/>
        <w:rPr>
          <w:sz w:val="20"/>
          <w:szCs w:val="20"/>
          <w:color w:val="auto"/>
        </w:rPr>
      </w:pPr>
      <w:r>
        <w:rPr>
          <w:rFonts w:ascii="Arial" w:cs="Arial" w:eastAsia="Arial" w:hAnsi="Arial"/>
          <w:sz w:val="18"/>
          <w:szCs w:val="18"/>
          <w:b w:val="1"/>
          <w:bCs w:val="1"/>
          <w:color w:val="auto"/>
        </w:rPr>
        <w:t>______________________________________________</w:t>
      </w:r>
    </w:p>
    <w:p>
      <w:pPr>
        <w:spacing w:after="0" w:line="153" w:lineRule="exact"/>
        <w:rPr>
          <w:sz w:val="24"/>
          <w:szCs w:val="24"/>
          <w:color w:val="auto"/>
        </w:rPr>
      </w:pPr>
    </w:p>
    <w:tbl>
      <w:tblPr>
        <w:tblLayout w:type="fixed"/>
        <w:tblInd w:w="1560" w:type="dxa"/>
        <w:tblCellMar>
          <w:top w:w="0" w:type="dxa"/>
          <w:left w:w="0" w:type="dxa"/>
          <w:bottom w:w="0" w:type="dxa"/>
          <w:right w:w="0" w:type="dxa"/>
        </w:tblCellMar>
      </w:tblPr>
      <w:tr>
        <w:trPr>
          <w:trHeight w:val="234"/>
        </w:trPr>
        <w:tc>
          <w:tcPr>
            <w:tcW w:w="6380" w:type="dxa"/>
            <w:vAlign w:val="bottom"/>
          </w:tcPr>
          <w:p>
            <w:pPr>
              <w:jc w:val="center"/>
              <w:ind w:right="3938"/>
              <w:spacing w:after="0"/>
              <w:rPr>
                <w:sz w:val="20"/>
                <w:szCs w:val="20"/>
                <w:color w:val="auto"/>
              </w:rPr>
            </w:pPr>
            <w:r>
              <w:rPr>
                <w:rFonts w:ascii="Arial" w:cs="Arial" w:eastAsia="Arial" w:hAnsi="Arial"/>
                <w:sz w:val="18"/>
                <w:szCs w:val="18"/>
                <w:b w:val="1"/>
                <w:bCs w:val="1"/>
                <w:color w:val="auto"/>
              </w:rPr>
              <w:t>OHIO</w:t>
            </w:r>
          </w:p>
        </w:tc>
        <w:tc>
          <w:tcPr>
            <w:tcW w:w="1280" w:type="dxa"/>
            <w:vAlign w:val="bottom"/>
          </w:tcPr>
          <w:p>
            <w:pPr>
              <w:jc w:val="right"/>
              <w:ind w:right="41"/>
              <w:spacing w:after="0"/>
              <w:rPr>
                <w:sz w:val="20"/>
                <w:szCs w:val="20"/>
                <w:color w:val="auto"/>
              </w:rPr>
            </w:pPr>
            <w:r>
              <w:rPr>
                <w:rFonts w:ascii="Arial" w:cs="Arial" w:eastAsia="Arial" w:hAnsi="Arial"/>
                <w:sz w:val="18"/>
                <w:szCs w:val="18"/>
                <w:b w:val="1"/>
                <w:bCs w:val="1"/>
                <w:color w:val="auto"/>
              </w:rPr>
              <w:t>31-1414921</w:t>
            </w:r>
          </w:p>
        </w:tc>
      </w:tr>
      <w:tr>
        <w:trPr>
          <w:trHeight w:val="180"/>
        </w:trPr>
        <w:tc>
          <w:tcPr>
            <w:tcW w:w="6380" w:type="dxa"/>
            <w:vAlign w:val="bottom"/>
          </w:tcPr>
          <w:p>
            <w:pPr>
              <w:jc w:val="center"/>
              <w:ind w:right="3938"/>
              <w:spacing w:after="0"/>
              <w:rPr>
                <w:sz w:val="20"/>
                <w:szCs w:val="20"/>
                <w:color w:val="auto"/>
              </w:rPr>
            </w:pPr>
            <w:r>
              <w:rPr>
                <w:rFonts w:ascii="Arial" w:cs="Arial" w:eastAsia="Arial" w:hAnsi="Arial"/>
                <w:sz w:val="14"/>
                <w:szCs w:val="14"/>
                <w:b w:val="1"/>
                <w:bCs w:val="1"/>
                <w:color w:val="auto"/>
                <w:w w:val="93"/>
              </w:rPr>
              <w:t>(State or other jurisdiction of</w:t>
            </w:r>
          </w:p>
        </w:tc>
        <w:tc>
          <w:tcPr>
            <w:tcW w:w="1280" w:type="dxa"/>
            <w:vAlign w:val="bottom"/>
          </w:tcPr>
          <w:p>
            <w:pPr>
              <w:jc w:val="center"/>
              <w:ind w:left="81"/>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6380" w:type="dxa"/>
            <w:vAlign w:val="bottom"/>
          </w:tcPr>
          <w:p>
            <w:pPr>
              <w:jc w:val="center"/>
              <w:ind w:right="3938"/>
              <w:spacing w:after="0"/>
              <w:rPr>
                <w:sz w:val="20"/>
                <w:szCs w:val="20"/>
                <w:color w:val="auto"/>
              </w:rPr>
            </w:pPr>
            <w:r>
              <w:rPr>
                <w:rFonts w:ascii="Arial" w:cs="Arial" w:eastAsia="Arial" w:hAnsi="Arial"/>
                <w:sz w:val="14"/>
                <w:szCs w:val="14"/>
                <w:b w:val="1"/>
                <w:bCs w:val="1"/>
                <w:color w:val="auto"/>
                <w:w w:val="94"/>
              </w:rPr>
              <w:t>incorporation or organization)</w:t>
            </w:r>
          </w:p>
        </w:tc>
        <w:tc>
          <w:tcPr>
            <w:tcW w:w="1280" w:type="dxa"/>
            <w:vAlign w:val="bottom"/>
          </w:tcPr>
          <w:p>
            <w:pPr>
              <w:jc w:val="center"/>
              <w:ind w:left="81"/>
              <w:spacing w:after="0"/>
              <w:rPr>
                <w:sz w:val="20"/>
                <w:szCs w:val="20"/>
                <w:color w:val="auto"/>
              </w:rPr>
            </w:pPr>
            <w:r>
              <w:rPr>
                <w:rFonts w:ascii="Arial" w:cs="Arial" w:eastAsia="Arial" w:hAnsi="Arial"/>
                <w:sz w:val="14"/>
                <w:szCs w:val="14"/>
                <w:b w:val="1"/>
                <w:bCs w:val="1"/>
                <w:color w:val="auto"/>
                <w:w w:val="94"/>
              </w:rPr>
              <w:t>Identification No.)</w:t>
            </w:r>
          </w:p>
        </w:tc>
      </w:tr>
      <w:tr>
        <w:trPr>
          <w:trHeight w:val="412"/>
        </w:trPr>
        <w:tc>
          <w:tcPr>
            <w:tcW w:w="6380" w:type="dxa"/>
            <w:vAlign w:val="bottom"/>
          </w:tcPr>
          <w:p>
            <w:pPr>
              <w:jc w:val="center"/>
              <w:ind w:right="3918"/>
              <w:spacing w:after="0"/>
              <w:rPr>
                <w:sz w:val="20"/>
                <w:szCs w:val="20"/>
                <w:color w:val="auto"/>
              </w:rPr>
            </w:pPr>
            <w:r>
              <w:rPr>
                <w:rFonts w:ascii="Arial" w:cs="Arial" w:eastAsia="Arial" w:hAnsi="Arial"/>
                <w:sz w:val="18"/>
                <w:szCs w:val="18"/>
                <w:b w:val="1"/>
                <w:bCs w:val="1"/>
                <w:color w:val="auto"/>
                <w:w w:val="95"/>
              </w:rPr>
              <w:t>14111 SCOTTSLAWN ROAD,</w:t>
            </w:r>
          </w:p>
        </w:tc>
        <w:tc>
          <w:tcPr>
            <w:tcW w:w="1280" w:type="dxa"/>
            <w:vAlign w:val="bottom"/>
          </w:tcPr>
          <w:p>
            <w:pPr>
              <w:spacing w:after="0"/>
              <w:rPr>
                <w:sz w:val="24"/>
                <w:szCs w:val="24"/>
                <w:color w:val="auto"/>
              </w:rPr>
            </w:pPr>
          </w:p>
        </w:tc>
      </w:tr>
      <w:tr>
        <w:trPr>
          <w:trHeight w:val="234"/>
        </w:trPr>
        <w:tc>
          <w:tcPr>
            <w:tcW w:w="6380" w:type="dxa"/>
            <w:vAlign w:val="bottom"/>
          </w:tcPr>
          <w:p>
            <w:pPr>
              <w:jc w:val="center"/>
              <w:ind w:right="3938"/>
              <w:spacing w:after="0"/>
              <w:rPr>
                <w:sz w:val="20"/>
                <w:szCs w:val="20"/>
                <w:color w:val="auto"/>
              </w:rPr>
            </w:pPr>
            <w:r>
              <w:rPr>
                <w:rFonts w:ascii="Arial" w:cs="Arial" w:eastAsia="Arial" w:hAnsi="Arial"/>
                <w:sz w:val="18"/>
                <w:szCs w:val="18"/>
                <w:b w:val="1"/>
                <w:bCs w:val="1"/>
                <w:color w:val="auto"/>
              </w:rPr>
              <w:t>MARYSVILLE, OHIO</w:t>
            </w:r>
          </w:p>
        </w:tc>
        <w:tc>
          <w:tcPr>
            <w:tcW w:w="1280" w:type="dxa"/>
            <w:vAlign w:val="bottom"/>
          </w:tcPr>
          <w:p>
            <w:pPr>
              <w:jc w:val="right"/>
              <w:ind w:right="241"/>
              <w:spacing w:after="0"/>
              <w:rPr>
                <w:sz w:val="20"/>
                <w:szCs w:val="20"/>
                <w:color w:val="auto"/>
              </w:rPr>
            </w:pPr>
            <w:r>
              <w:rPr>
                <w:rFonts w:ascii="Arial" w:cs="Arial" w:eastAsia="Arial" w:hAnsi="Arial"/>
                <w:sz w:val="18"/>
                <w:szCs w:val="18"/>
                <w:b w:val="1"/>
                <w:bCs w:val="1"/>
                <w:color w:val="auto"/>
              </w:rPr>
              <w:t>43041</w:t>
            </w:r>
          </w:p>
        </w:tc>
      </w:tr>
      <w:tr>
        <w:trPr>
          <w:trHeight w:val="218"/>
        </w:trPr>
        <w:tc>
          <w:tcPr>
            <w:tcW w:w="6380" w:type="dxa"/>
            <w:vAlign w:val="bottom"/>
          </w:tcPr>
          <w:p>
            <w:pPr>
              <w:jc w:val="center"/>
              <w:ind w:right="3918"/>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280" w:type="dxa"/>
            <w:vAlign w:val="bottom"/>
          </w:tcPr>
          <w:p>
            <w:pPr>
              <w:jc w:val="center"/>
              <w:ind w:left="101"/>
              <w:spacing w:after="0"/>
              <w:rPr>
                <w:sz w:val="20"/>
                <w:szCs w:val="20"/>
                <w:color w:val="auto"/>
              </w:rPr>
            </w:pPr>
            <w:r>
              <w:rPr>
                <w:rFonts w:ascii="Arial" w:cs="Arial" w:eastAsia="Arial" w:hAnsi="Arial"/>
                <w:sz w:val="14"/>
                <w:szCs w:val="14"/>
                <w:b w:val="1"/>
                <w:bCs w:val="1"/>
                <w:color w:val="auto"/>
                <w:w w:val="95"/>
              </w:rPr>
              <w:t>(Zip Code)</w:t>
            </w:r>
          </w:p>
        </w:tc>
      </w:tr>
      <w:tr>
        <w:trPr>
          <w:trHeight w:val="313"/>
        </w:trPr>
        <w:tc>
          <w:tcPr>
            <w:tcW w:w="6380" w:type="dxa"/>
            <w:vAlign w:val="bottom"/>
          </w:tcPr>
          <w:p>
            <w:pPr>
              <w:jc w:val="center"/>
              <w:ind w:left="1858"/>
              <w:spacing w:after="0"/>
              <w:rPr>
                <w:sz w:val="20"/>
                <w:szCs w:val="20"/>
                <w:color w:val="auto"/>
              </w:rPr>
            </w:pPr>
            <w:r>
              <w:rPr>
                <w:rFonts w:ascii="Arial" w:cs="Arial" w:eastAsia="Arial" w:hAnsi="Arial"/>
                <w:sz w:val="18"/>
                <w:szCs w:val="18"/>
                <w:b w:val="1"/>
                <w:bCs w:val="1"/>
                <w:color w:val="auto"/>
                <w:w w:val="90"/>
              </w:rPr>
              <w:t>(937) 644-0011</w:t>
            </w:r>
          </w:p>
        </w:tc>
        <w:tc>
          <w:tcPr>
            <w:tcW w:w="1280" w:type="dxa"/>
            <w:vAlign w:val="bottom"/>
          </w:tcPr>
          <w:p>
            <w:pPr>
              <w:spacing w:after="0"/>
              <w:rPr>
                <w:sz w:val="24"/>
                <w:szCs w:val="24"/>
                <w:color w:val="auto"/>
              </w:rPr>
            </w:pPr>
          </w:p>
        </w:tc>
      </w:tr>
      <w:tr>
        <w:trPr>
          <w:trHeight w:val="170"/>
        </w:trPr>
        <w:tc>
          <w:tcPr>
            <w:tcW w:w="6380" w:type="dxa"/>
            <w:vAlign w:val="bottom"/>
          </w:tcPr>
          <w:p>
            <w:pPr>
              <w:jc w:val="center"/>
              <w:ind w:left="1838"/>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1280" w:type="dxa"/>
            <w:vAlign w:val="bottom"/>
          </w:tcPr>
          <w:p>
            <w:pPr>
              <w:spacing w:after="0"/>
              <w:rPr>
                <w:sz w:val="14"/>
                <w:szCs w:val="14"/>
                <w:color w:val="auto"/>
              </w:rPr>
            </w:pPr>
          </w:p>
        </w:tc>
      </w:tr>
      <w:tr>
        <w:trPr>
          <w:trHeight w:val="230"/>
        </w:trPr>
        <w:tc>
          <w:tcPr>
            <w:tcW w:w="6380" w:type="dxa"/>
            <w:vAlign w:val="bottom"/>
          </w:tcPr>
          <w:p>
            <w:pPr>
              <w:jc w:val="center"/>
              <w:ind w:left="1798"/>
              <w:spacing w:after="0"/>
              <w:rPr>
                <w:sz w:val="20"/>
                <w:szCs w:val="20"/>
                <w:color w:val="auto"/>
              </w:rPr>
            </w:pPr>
            <w:r>
              <w:rPr>
                <w:rFonts w:ascii="Arial" w:cs="Arial" w:eastAsia="Arial" w:hAnsi="Arial"/>
                <w:sz w:val="18"/>
                <w:szCs w:val="18"/>
                <w:color w:val="auto"/>
                <w:w w:val="89"/>
              </w:rPr>
              <w:t>______________________________________________</w:t>
            </w:r>
          </w:p>
        </w:tc>
        <w:tc>
          <w:tcPr>
            <w:tcW w:w="1280" w:type="dxa"/>
            <w:vAlign w:val="bottom"/>
          </w:tcPr>
          <w:p>
            <w:pPr>
              <w:spacing w:after="0"/>
              <w:rPr>
                <w:sz w:val="20"/>
                <w:szCs w:val="20"/>
                <w:color w:val="auto"/>
              </w:rPr>
            </w:pPr>
          </w:p>
        </w:tc>
      </w:tr>
    </w:tbl>
    <w:p>
      <w:pPr>
        <w:jc w:val="center"/>
        <w:ind w:right="-19"/>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76"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49"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49"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634" w:right="239" w:bottom="1440" w:gutter="0" w:footer="0" w:header="0"/>
          <w:type w:val="continuous"/>
        </w:sectPr>
      </w:pPr>
    </w:p>
    <w:p>
      <w:pPr>
        <w:spacing w:after="0" w:line="116" w:lineRule="exact"/>
        <w:rPr>
          <w:sz w:val="24"/>
          <w:szCs w:val="24"/>
          <w:color w:val="auto"/>
        </w:rPr>
      </w:pPr>
    </w:p>
    <w:p>
      <w:pPr>
        <w:ind w:left="4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6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96" w:lineRule="exact"/>
        <w:rPr>
          <w:sz w:val="24"/>
          <w:szCs w:val="24"/>
          <w:color w:val="auto"/>
        </w:rPr>
      </w:pPr>
    </w:p>
    <w:p>
      <w:pPr>
        <w:spacing w:after="0"/>
        <w:rPr>
          <w:sz w:val="20"/>
          <w:szCs w:val="20"/>
          <w:color w:val="auto"/>
        </w:rPr>
      </w:pPr>
      <w:r>
        <w:rPr>
          <w:rFonts w:ascii="Arial" w:cs="Arial" w:eastAsia="Arial" w:hAnsi="Arial"/>
          <w:sz w:val="17"/>
          <w:szCs w:val="17"/>
          <w:color w:val="auto"/>
        </w:rPr>
        <w:t>Accelerated filer</w:t>
      </w:r>
    </w:p>
    <w:p>
      <w:pPr>
        <w:spacing w:after="0" w:line="20" w:lineRule="exact"/>
        <w:rPr>
          <w:sz w:val="24"/>
          <w:szCs w:val="24"/>
          <w:color w:val="auto"/>
        </w:rPr>
      </w:pPr>
      <w:r>
        <w:rPr>
          <w:sz w:val="24"/>
          <w:szCs w:val="24"/>
          <w:color w:val="auto"/>
        </w:rPr>
        <w:br w:type="column"/>
      </w:r>
    </w:p>
    <w:p>
      <w:pPr>
        <w:spacing w:after="0" w:line="96" w:lineRule="exact"/>
        <w:rPr>
          <w:sz w:val="24"/>
          <w:szCs w:val="24"/>
          <w:color w:val="auto"/>
        </w:rPr>
      </w:pPr>
    </w:p>
    <w:p>
      <w:pPr>
        <w:spacing w:after="0"/>
        <w:rPr>
          <w:sz w:val="20"/>
          <w:szCs w:val="20"/>
          <w:color w:val="auto"/>
        </w:rPr>
      </w:pPr>
      <w:r>
        <w:rPr>
          <w:rFonts w:ascii="Arial" w:cs="Arial" w:eastAsia="Arial" w:hAnsi="Arial"/>
          <w:sz w:val="17"/>
          <w:szCs w:val="17"/>
          <w:color w:val="auto"/>
        </w:rPr>
        <w:t>o</w:t>
      </w:r>
    </w:p>
    <w:p>
      <w:pPr>
        <w:spacing w:after="0" w:line="75" w:lineRule="exact"/>
        <w:rPr>
          <w:sz w:val="24"/>
          <w:szCs w:val="24"/>
          <w:color w:val="auto"/>
        </w:rPr>
      </w:pPr>
    </w:p>
    <w:p>
      <w:pPr>
        <w:sectPr>
          <w:pgSz w:w="11900" w:h="16838" w:orient="portrait"/>
          <w:cols w:equalWidth="0" w:num="4">
            <w:col w:w="1660" w:space="680"/>
            <w:col w:w="5180" w:space="720"/>
            <w:col w:w="2120" w:space="720"/>
            <w:col w:w="340"/>
          </w:cols>
          <w:pgMar w:left="240" w:top="634" w:right="23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o (Do not check if a 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o</w:t>
      </w:r>
    </w:p>
    <w:p>
      <w:pPr>
        <w:spacing w:after="0" w:line="69" w:lineRule="exact"/>
        <w:rPr>
          <w:sz w:val="24"/>
          <w:szCs w:val="24"/>
          <w:color w:val="auto"/>
        </w:rPr>
      </w:pPr>
    </w:p>
    <w:p>
      <w:pPr>
        <w:sectPr>
          <w:pgSz w:w="11900" w:h="16838" w:orient="portrait"/>
          <w:cols w:equalWidth="0" w:num="4">
            <w:col w:w="1620" w:space="720"/>
            <w:col w:w="5180" w:space="720"/>
            <w:col w:w="2120" w:space="720"/>
            <w:col w:w="340"/>
          </w:cols>
          <w:pgMar w:left="240" w:top="634" w:right="239" w:bottom="1440" w:gutter="0" w:footer="0" w:header="0"/>
          <w:type w:val="continuous"/>
        </w:sectPr>
      </w:pPr>
    </w:p>
    <w:p>
      <w:pPr>
        <w:spacing w:after="0" w:line="33"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7"/>
          <w:szCs w:val="17"/>
          <w:color w:val="auto"/>
        </w:rPr>
        <w:t>Yes o</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7"/>
          <w:szCs w:val="17"/>
          <w:color w:val="auto"/>
        </w:rPr>
        <w:t>No</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43" w:lineRule="exact"/>
        <w:rPr>
          <w:sz w:val="24"/>
          <w:szCs w:val="24"/>
          <w:color w:val="auto"/>
        </w:rPr>
      </w:pPr>
    </w:p>
    <w:p>
      <w:pPr>
        <w:sectPr>
          <w:pgSz w:w="11900" w:h="16838" w:orient="portrait"/>
          <w:cols w:equalWidth="0" w:num="4">
            <w:col w:w="8180" w:space="180"/>
            <w:col w:w="440" w:space="220"/>
            <w:col w:w="220" w:space="100"/>
            <w:col w:w="2080"/>
          </w:cols>
          <w:pgMar w:left="240" w:top="634" w:right="239" w:bottom="1440" w:gutter="0" w:footer="0" w:header="0"/>
          <w:type w:val="continuous"/>
        </w:sectPr>
      </w:pPr>
    </w:p>
    <w:p>
      <w:pPr>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279" w:lineRule="exact"/>
        <w:rPr>
          <w:sz w:val="24"/>
          <w:szCs w:val="24"/>
          <w:color w:val="auto"/>
        </w:rPr>
      </w:pPr>
    </w:p>
    <w:tbl>
      <w:tblPr>
        <w:tblLayout w:type="fixed"/>
        <w:tblInd w:w="120" w:type="dxa"/>
        <w:tblCellMar>
          <w:top w:w="0" w:type="dxa"/>
          <w:left w:w="0" w:type="dxa"/>
          <w:bottom w:w="0" w:type="dxa"/>
          <w:right w:w="0" w:type="dxa"/>
        </w:tblCellMar>
      </w:tblPr>
      <w:tr>
        <w:trPr>
          <w:trHeight w:val="230"/>
        </w:trPr>
        <w:tc>
          <w:tcPr>
            <w:tcW w:w="4800" w:type="dxa"/>
            <w:vAlign w:val="bottom"/>
          </w:tcPr>
          <w:p>
            <w:pPr>
              <w:jc w:val="center"/>
              <w:spacing w:after="0"/>
              <w:rPr>
                <w:sz w:val="20"/>
                <w:szCs w:val="20"/>
                <w:color w:val="auto"/>
              </w:rPr>
            </w:pPr>
            <w:r>
              <w:rPr>
                <w:rFonts w:ascii="Arial" w:cs="Arial" w:eastAsia="Arial" w:hAnsi="Arial"/>
                <w:sz w:val="18"/>
                <w:szCs w:val="18"/>
                <w:color w:val="auto"/>
                <w:w w:val="84"/>
              </w:rPr>
              <w:t>Class</w:t>
            </w:r>
          </w:p>
        </w:tc>
        <w:tc>
          <w:tcPr>
            <w:tcW w:w="2860" w:type="dxa"/>
            <w:vAlign w:val="bottom"/>
          </w:tcPr>
          <w:p>
            <w:pPr>
              <w:spacing w:after="0"/>
              <w:rPr>
                <w:sz w:val="20"/>
                <w:szCs w:val="20"/>
                <w:color w:val="auto"/>
              </w:rPr>
            </w:pPr>
          </w:p>
        </w:tc>
        <w:tc>
          <w:tcPr>
            <w:tcW w:w="3640" w:type="dxa"/>
            <w:vAlign w:val="bottom"/>
          </w:tcPr>
          <w:p>
            <w:pPr>
              <w:jc w:val="center"/>
              <w:ind w:right="10"/>
              <w:spacing w:after="0"/>
              <w:rPr>
                <w:sz w:val="20"/>
                <w:szCs w:val="20"/>
                <w:color w:val="auto"/>
              </w:rPr>
            </w:pPr>
            <w:r>
              <w:rPr>
                <w:rFonts w:ascii="Arial" w:cs="Arial" w:eastAsia="Arial" w:hAnsi="Arial"/>
                <w:sz w:val="18"/>
                <w:szCs w:val="18"/>
                <w:color w:val="auto"/>
                <w:w w:val="90"/>
              </w:rPr>
              <w:t>Outstanding at February 2, 2015</w:t>
            </w:r>
          </w:p>
        </w:tc>
      </w:tr>
      <w:tr>
        <w:trPr>
          <w:trHeight w:val="27"/>
        </w:trPr>
        <w:tc>
          <w:tcPr>
            <w:tcW w:w="4800" w:type="dxa"/>
            <w:vAlign w:val="bottom"/>
            <w:tcBorders>
              <w:bottom w:val="single" w:sz="8" w:color="auto"/>
            </w:tcBorders>
          </w:tcPr>
          <w:p>
            <w:pPr>
              <w:spacing w:after="0"/>
              <w:rPr>
                <w:sz w:val="2"/>
                <w:szCs w:val="2"/>
                <w:color w:val="auto"/>
              </w:rPr>
            </w:pPr>
          </w:p>
        </w:tc>
        <w:tc>
          <w:tcPr>
            <w:tcW w:w="2860" w:type="dxa"/>
            <w:vAlign w:val="bottom"/>
          </w:tcPr>
          <w:p>
            <w:pPr>
              <w:spacing w:after="0"/>
              <w:rPr>
                <w:sz w:val="2"/>
                <w:szCs w:val="2"/>
                <w:color w:val="auto"/>
              </w:rPr>
            </w:pPr>
          </w:p>
        </w:tc>
        <w:tc>
          <w:tcPr>
            <w:tcW w:w="3640" w:type="dxa"/>
            <w:vAlign w:val="bottom"/>
            <w:tcBorders>
              <w:bottom w:val="single" w:sz="8" w:color="auto"/>
            </w:tcBorders>
          </w:tcPr>
          <w:p>
            <w:pPr>
              <w:spacing w:after="0"/>
              <w:rPr>
                <w:sz w:val="2"/>
                <w:szCs w:val="2"/>
                <w:color w:val="auto"/>
              </w:rPr>
            </w:pPr>
          </w:p>
        </w:tc>
      </w:tr>
      <w:tr>
        <w:trPr>
          <w:trHeight w:val="237"/>
        </w:trPr>
        <w:tc>
          <w:tcPr>
            <w:tcW w:w="4800" w:type="dxa"/>
            <w:vAlign w:val="bottom"/>
          </w:tcPr>
          <w:p>
            <w:pPr>
              <w:jc w:val="center"/>
              <w:spacing w:after="0"/>
              <w:rPr>
                <w:sz w:val="20"/>
                <w:szCs w:val="20"/>
                <w:color w:val="auto"/>
              </w:rPr>
            </w:pPr>
            <w:r>
              <w:rPr>
                <w:rFonts w:ascii="Arial" w:cs="Arial" w:eastAsia="Arial" w:hAnsi="Arial"/>
                <w:sz w:val="18"/>
                <w:szCs w:val="18"/>
                <w:color w:val="auto"/>
                <w:w w:val="89"/>
              </w:rPr>
              <w:t>Common Shares, $0.01 stated value, no par value</w:t>
            </w:r>
          </w:p>
        </w:tc>
        <w:tc>
          <w:tcPr>
            <w:tcW w:w="2860" w:type="dxa"/>
            <w:vAlign w:val="bottom"/>
          </w:tcPr>
          <w:p>
            <w:pPr>
              <w:spacing w:after="0"/>
              <w:rPr>
                <w:sz w:val="20"/>
                <w:szCs w:val="20"/>
                <w:color w:val="auto"/>
              </w:rPr>
            </w:pPr>
          </w:p>
        </w:tc>
        <w:tc>
          <w:tcPr>
            <w:tcW w:w="3640" w:type="dxa"/>
            <w:vAlign w:val="bottom"/>
          </w:tcPr>
          <w:p>
            <w:pPr>
              <w:jc w:val="center"/>
              <w:ind w:right="10"/>
              <w:spacing w:after="0"/>
              <w:rPr>
                <w:sz w:val="20"/>
                <w:szCs w:val="20"/>
                <w:color w:val="auto"/>
              </w:rPr>
            </w:pPr>
            <w:r>
              <w:rPr>
                <w:rFonts w:ascii="Arial" w:cs="Arial" w:eastAsia="Arial" w:hAnsi="Arial"/>
                <w:sz w:val="18"/>
                <w:szCs w:val="18"/>
                <w:color w:val="auto"/>
                <w:w w:val="89"/>
              </w:rPr>
              <w:t>60,849,013 Common Shares</w:t>
            </w:r>
          </w:p>
        </w:tc>
      </w:tr>
      <w:tr>
        <w:trPr>
          <w:trHeight w:val="486"/>
        </w:trPr>
        <w:tc>
          <w:tcPr>
            <w:tcW w:w="4800" w:type="dxa"/>
            <w:vAlign w:val="bottom"/>
          </w:tcPr>
          <w:p>
            <w:pPr>
              <w:spacing w:after="0"/>
              <w:rPr>
                <w:sz w:val="24"/>
                <w:szCs w:val="24"/>
                <w:color w:val="auto"/>
              </w:rPr>
            </w:pPr>
          </w:p>
        </w:tc>
        <w:tc>
          <w:tcPr>
            <w:tcW w:w="2860" w:type="dxa"/>
            <w:vAlign w:val="bottom"/>
          </w:tcPr>
          <w:p>
            <w:pPr>
              <w:jc w:val="right"/>
              <w:ind w:right="1930"/>
              <w:spacing w:after="0"/>
              <w:rPr>
                <w:sz w:val="20"/>
                <w:szCs w:val="20"/>
                <w:color w:val="auto"/>
              </w:rPr>
            </w:pPr>
            <w:r>
              <w:rPr>
                <w:rFonts w:ascii="Arial" w:cs="Arial" w:eastAsia="Arial" w:hAnsi="Arial"/>
                <w:sz w:val="18"/>
                <w:szCs w:val="18"/>
                <w:color w:val="auto"/>
              </w:rPr>
              <w:t>1</w:t>
            </w:r>
          </w:p>
        </w:tc>
        <w:tc>
          <w:tcPr>
            <w:tcW w:w="3640" w:type="dxa"/>
            <w:vAlign w:val="bottom"/>
          </w:tcPr>
          <w:p>
            <w:pPr>
              <w:spacing w:after="0"/>
              <w:rPr>
                <w:sz w:val="24"/>
                <w:szCs w:val="24"/>
                <w:color w:val="auto"/>
              </w:rPr>
            </w:pPr>
          </w:p>
        </w:tc>
      </w:tr>
    </w:tbl>
    <w:p>
      <w:pPr>
        <w:sectPr>
          <w:pgSz w:w="11900" w:h="16838" w:orient="portrait"/>
          <w:cols w:equalWidth="0" w:num="1">
            <w:col w:w="11420"/>
          </w:cols>
          <w:pgMar w:left="240" w:top="634" w:right="239" w:bottom="1440" w:gutter="0" w:footer="0" w:header="0"/>
          <w:type w:val="continuous"/>
        </w:sectPr>
      </w:pPr>
    </w:p>
    <w:bookmarkStart w:id="1" w:name="page2"/>
    <w:bookmarkEnd w:id="1"/>
    <w:p>
      <w:pPr>
        <w:spacing w:after="0"/>
        <w:rPr>
          <w:rFonts w:ascii="Arial" w:cs="Arial" w:eastAsia="Arial" w:hAnsi="Arial"/>
          <w:sz w:val="18"/>
          <w:szCs w:val="18"/>
          <w:color w:val="FFFFFF"/>
        </w:rPr>
      </w:pPr>
      <w:hyperlink w:anchor="page1">
        <w:r>
          <w:rPr>
            <w:rFonts w:ascii="Arial" w:cs="Arial" w:eastAsia="Arial" w:hAnsi="Arial"/>
            <w:sz w:val="18"/>
            <w:szCs w:val="18"/>
            <w:color w:val="FFFF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SCOTTS MIRACLE-GRO COMPANY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INDEX</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20" w:type="dxa"/>
            <w:vAlign w:val="bottom"/>
            <w:tcBorders>
              <w:bottom w:val="single" w:sz="8" w:color="auto"/>
            </w:tcBorders>
            <w:gridSpan w:val="4"/>
          </w:tcPr>
          <w:p>
            <w:pPr>
              <w:ind w:left="160"/>
              <w:spacing w:after="0"/>
              <w:rPr>
                <w:sz w:val="20"/>
                <w:szCs w:val="20"/>
                <w:color w:val="auto"/>
              </w:rPr>
            </w:pPr>
            <w:r>
              <w:rPr>
                <w:rFonts w:ascii="Arial" w:cs="Arial" w:eastAsia="Arial" w:hAnsi="Arial"/>
                <w:sz w:val="14"/>
                <w:szCs w:val="14"/>
                <w:b w:val="1"/>
                <w:bCs w:val="1"/>
                <w:color w:val="auto"/>
              </w:rPr>
              <w:t>PAGE NO.</w:t>
            </w:r>
          </w:p>
        </w:tc>
      </w:tr>
      <w:tr>
        <w:trPr>
          <w:trHeight w:val="189"/>
        </w:trPr>
        <w:tc>
          <w:tcPr>
            <w:tcW w:w="10360" w:type="dxa"/>
            <w:vAlign w:val="bottom"/>
            <w:gridSpan w:val="22"/>
          </w:tcPr>
          <w:p>
            <w:pPr>
              <w:spacing w:after="0" w:line="189" w:lineRule="exact"/>
              <w:rPr>
                <w:rFonts w:ascii="Arial" w:cs="Arial" w:eastAsia="Arial" w:hAnsi="Arial"/>
                <w:sz w:val="18"/>
                <w:szCs w:val="18"/>
                <w:color w:val="0094FF"/>
              </w:rPr>
            </w:pPr>
            <w:hyperlink w:anchor="page2">
              <w:r>
                <w:rPr>
                  <w:rFonts w:ascii="Arial" w:cs="Arial" w:eastAsia="Arial" w:hAnsi="Arial"/>
                  <w:sz w:val="18"/>
                  <w:szCs w:val="18"/>
                  <w:color w:val="0094FF"/>
                </w:rPr>
                <w:t>PART I. FINANCIAL INFORMATION:</w:t>
              </w:r>
            </w:hyperlink>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588"/>
        </w:trPr>
        <w:tc>
          <w:tcPr>
            <w:tcW w:w="1040" w:type="dxa"/>
            <w:vAlign w:val="bottom"/>
            <w:tcBorders>
              <w:top w:val="single" w:sz="8" w:color="0094FF"/>
            </w:tcBorders>
            <w:gridSpan w:val="4"/>
          </w:tcPr>
          <w:p>
            <w:pPr>
              <w:spacing w:after="0"/>
              <w:rPr>
                <w:rFonts w:ascii="Arial" w:cs="Arial" w:eastAsia="Arial" w:hAnsi="Arial"/>
                <w:sz w:val="18"/>
                <w:szCs w:val="18"/>
                <w:color w:val="0094FF"/>
              </w:rPr>
            </w:pPr>
            <w:hyperlink w:anchor="page3">
              <w:r>
                <w:rPr>
                  <w:rFonts w:ascii="Arial" w:cs="Arial" w:eastAsia="Arial" w:hAnsi="Arial"/>
                  <w:sz w:val="18"/>
                  <w:szCs w:val="18"/>
                  <w:color w:val="0094FF"/>
                </w:rPr>
                <w:t>Item 1.</w:t>
              </w:r>
            </w:hyperlink>
          </w:p>
        </w:tc>
        <w:tc>
          <w:tcPr>
            <w:tcW w:w="1880" w:type="dxa"/>
            <w:vAlign w:val="bottom"/>
            <w:tcBorders>
              <w:top w:val="single" w:sz="8" w:color="0094FF"/>
            </w:tcBorders>
            <w:gridSpan w:val="9"/>
          </w:tcPr>
          <w:p>
            <w:pPr>
              <w:spacing w:after="0"/>
              <w:rPr>
                <w:rFonts w:ascii="Arial" w:cs="Arial" w:eastAsia="Arial" w:hAnsi="Arial"/>
                <w:sz w:val="18"/>
                <w:szCs w:val="18"/>
                <w:color w:val="0094FF"/>
              </w:rPr>
            </w:pPr>
            <w:hyperlink w:anchor="page3">
              <w:r>
                <w:rPr>
                  <w:rFonts w:ascii="Arial" w:cs="Arial" w:eastAsia="Arial" w:hAnsi="Arial"/>
                  <w:sz w:val="18"/>
                  <w:szCs w:val="18"/>
                  <w:color w:val="0094FF"/>
                </w:rPr>
                <w:t>Financial Statements</w:t>
              </w:r>
            </w:hyperlink>
          </w:p>
        </w:tc>
        <w:tc>
          <w:tcPr>
            <w:tcW w:w="7440" w:type="dxa"/>
            <w:vAlign w:val="bottom"/>
            <w:gridSpan w:val="9"/>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500" w:type="dxa"/>
            <w:vAlign w:val="bottom"/>
            <w:shd w:val="clear" w:color="auto" w:fill="0094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94FF"/>
          </w:tcPr>
          <w:p>
            <w:pPr>
              <w:spacing w:after="0" w:line="20" w:lineRule="exact"/>
              <w:rPr>
                <w:sz w:val="1"/>
                <w:szCs w:val="1"/>
                <w:color w:val="auto"/>
              </w:rPr>
            </w:pPr>
          </w:p>
        </w:tc>
        <w:tc>
          <w:tcPr>
            <w:tcW w:w="400" w:type="dxa"/>
            <w:vAlign w:val="bottom"/>
            <w:shd w:val="clear" w:color="auto" w:fill="0094FF"/>
          </w:tcPr>
          <w:p>
            <w:pPr>
              <w:spacing w:after="0" w:line="20" w:lineRule="exact"/>
              <w:rPr>
                <w:sz w:val="1"/>
                <w:szCs w:val="1"/>
                <w:color w:val="auto"/>
              </w:rPr>
            </w:pPr>
          </w:p>
        </w:tc>
        <w:tc>
          <w:tcPr>
            <w:tcW w:w="300" w:type="dxa"/>
            <w:vAlign w:val="bottom"/>
            <w:shd w:val="clear" w:color="auto" w:fill="0094FF"/>
          </w:tcPr>
          <w:p>
            <w:pPr>
              <w:spacing w:after="0" w:line="20" w:lineRule="exact"/>
              <w:rPr>
                <w:sz w:val="1"/>
                <w:szCs w:val="1"/>
                <w:color w:val="auto"/>
              </w:rPr>
            </w:pPr>
          </w:p>
        </w:tc>
        <w:tc>
          <w:tcPr>
            <w:tcW w:w="420" w:type="dxa"/>
            <w:vAlign w:val="bottom"/>
            <w:shd w:val="clear" w:color="auto" w:fill="0094FF"/>
          </w:tcPr>
          <w:p>
            <w:pPr>
              <w:spacing w:after="0" w:line="20" w:lineRule="exact"/>
              <w:rPr>
                <w:sz w:val="1"/>
                <w:szCs w:val="1"/>
                <w:color w:val="auto"/>
              </w:rPr>
            </w:pPr>
          </w:p>
        </w:tc>
        <w:tc>
          <w:tcPr>
            <w:tcW w:w="80" w:type="dxa"/>
            <w:vAlign w:val="bottom"/>
            <w:shd w:val="clear" w:color="auto" w:fill="0094FF"/>
          </w:tcPr>
          <w:p>
            <w:pPr>
              <w:spacing w:after="0" w:line="20" w:lineRule="exact"/>
              <w:rPr>
                <w:sz w:val="1"/>
                <w:szCs w:val="1"/>
                <w:color w:val="auto"/>
              </w:rPr>
            </w:pPr>
          </w:p>
        </w:tc>
        <w:tc>
          <w:tcPr>
            <w:tcW w:w="100" w:type="dxa"/>
            <w:vAlign w:val="bottom"/>
            <w:shd w:val="clear" w:color="auto" w:fill="0094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20" w:type="dxa"/>
            <w:vAlign w:val="bottom"/>
            <w:tcBorders>
              <w:bottom w:val="single" w:sz="8" w:color="0094FF"/>
            </w:tcBorders>
            <w:gridSpan w:val="16"/>
          </w:tcPr>
          <w:p>
            <w:pPr>
              <w:spacing w:after="0"/>
              <w:rPr>
                <w:rFonts w:ascii="Arial" w:cs="Arial" w:eastAsia="Arial" w:hAnsi="Arial"/>
                <w:sz w:val="18"/>
                <w:szCs w:val="18"/>
                <w:color w:val="0094FF"/>
                <w:w w:val="88"/>
              </w:rPr>
            </w:pPr>
            <w:hyperlink w:anchor="page3">
              <w:r>
                <w:rPr>
                  <w:rFonts w:ascii="Arial" w:cs="Arial" w:eastAsia="Arial" w:hAnsi="Arial"/>
                  <w:sz w:val="18"/>
                  <w:szCs w:val="18"/>
                  <w:color w:val="0094FF"/>
                  <w:w w:val="88"/>
                </w:rPr>
                <w:t xml:space="preserve">Condensed Consolidated Statements of Operations — Three months </w:t>
              </w:r>
            </w:hyperlink>
            <w:r>
              <w:rPr>
                <w:rFonts w:ascii="Arial" w:cs="Arial" w:eastAsia="Arial" w:hAnsi="Arial"/>
                <w:sz w:val="18"/>
                <w:szCs w:val="18"/>
                <w:color w:val="0094FF"/>
                <w:w w:val="88"/>
              </w:rPr>
              <w:t>ended December 27, 2014 and December 28, 2013</w:t>
            </w:r>
          </w:p>
        </w:tc>
        <w:tc>
          <w:tcPr>
            <w:tcW w:w="700" w:type="dxa"/>
            <w:vAlign w:val="bottom"/>
            <w:gridSpan w:val="2"/>
          </w:tcPr>
          <w:p>
            <w:pPr>
              <w:spacing w:after="0"/>
              <w:rPr>
                <w:sz w:val="21"/>
                <w:szCs w:val="21"/>
                <w:color w:val="auto"/>
              </w:rPr>
            </w:pPr>
          </w:p>
        </w:tc>
        <w:tc>
          <w:tcPr>
            <w:tcW w:w="900" w:type="dxa"/>
            <w:vAlign w:val="bottom"/>
            <w:gridSpan w:val="2"/>
          </w:tcPr>
          <w:p>
            <w:pPr>
              <w:spacing w:after="0"/>
              <w:rPr>
                <w:sz w:val="21"/>
                <w:szCs w:val="21"/>
                <w:color w:val="auto"/>
              </w:rPr>
            </w:pPr>
          </w:p>
        </w:tc>
        <w:tc>
          <w:tcPr>
            <w:tcW w:w="100" w:type="dxa"/>
            <w:vAlign w:val="bottom"/>
            <w:tcBorders>
              <w:bottom w:val="single" w:sz="8" w:color="0094FF"/>
            </w:tcBorders>
          </w:tcPr>
          <w:p>
            <w:pPr>
              <w:jc w:val="right"/>
              <w:spacing w:after="0"/>
              <w:rPr>
                <w:rFonts w:ascii="Arial" w:cs="Arial" w:eastAsia="Arial" w:hAnsi="Arial"/>
                <w:sz w:val="18"/>
                <w:szCs w:val="18"/>
                <w:color w:val="0094FF"/>
                <w:w w:val="79"/>
              </w:rPr>
            </w:pPr>
            <w:hyperlink w:anchor="page3">
              <w:r>
                <w:rPr>
                  <w:rFonts w:ascii="Arial" w:cs="Arial" w:eastAsia="Arial" w:hAnsi="Arial"/>
                  <w:sz w:val="18"/>
                  <w:szCs w:val="18"/>
                  <w:color w:val="0094FF"/>
                  <w:w w:val="79"/>
                </w:rPr>
                <w:t>3</w:t>
              </w:r>
            </w:hyperlink>
          </w:p>
        </w:tc>
        <w:tc>
          <w:tcPr>
            <w:tcW w:w="20" w:type="dxa"/>
            <w:vAlign w:val="bottom"/>
          </w:tcPr>
          <w:p>
            <w:pPr>
              <w:spacing w:after="0"/>
              <w:rPr>
                <w:sz w:val="21"/>
                <w:szCs w:val="21"/>
                <w:color w:val="auto"/>
              </w:rPr>
            </w:pPr>
          </w:p>
        </w:tc>
      </w:tr>
      <w:tr>
        <w:trPr>
          <w:trHeight w:val="250"/>
        </w:trPr>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320" w:type="dxa"/>
            <w:vAlign w:val="bottom"/>
            <w:gridSpan w:val="18"/>
          </w:tcPr>
          <w:p>
            <w:pPr>
              <w:spacing w:after="0"/>
              <w:rPr>
                <w:rFonts w:ascii="Arial" w:cs="Arial" w:eastAsia="Arial" w:hAnsi="Arial"/>
                <w:sz w:val="18"/>
                <w:szCs w:val="18"/>
                <w:color w:val="0094FF"/>
                <w:w w:val="96"/>
              </w:rPr>
            </w:pPr>
            <w:hyperlink w:anchor="page3">
              <w:r>
                <w:rPr>
                  <w:rFonts w:ascii="Arial" w:cs="Arial" w:eastAsia="Arial" w:hAnsi="Arial"/>
                  <w:sz w:val="18"/>
                  <w:szCs w:val="18"/>
                  <w:color w:val="0094FF"/>
                  <w:w w:val="96"/>
                </w:rPr>
                <w:t xml:space="preserve">Condensed Consolidated Statements of Comprehensive Income (Loss) — Three months </w:t>
              </w:r>
            </w:hyperlink>
            <w:r>
              <w:rPr>
                <w:rFonts w:ascii="Arial" w:cs="Arial" w:eastAsia="Arial" w:hAnsi="Arial"/>
                <w:sz w:val="18"/>
                <w:szCs w:val="18"/>
                <w:color w:val="0094FF"/>
                <w:w w:val="96"/>
              </w:rPr>
              <w:t>ended December 27, 2014 and</w:t>
            </w:r>
          </w:p>
        </w:tc>
        <w:tc>
          <w:tcPr>
            <w:tcW w:w="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196"/>
        </w:trPr>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580" w:type="dxa"/>
            <w:vAlign w:val="bottom"/>
            <w:tcBorders>
              <w:top w:val="single" w:sz="8" w:color="0094FF"/>
            </w:tcBorders>
            <w:gridSpan w:val="15"/>
          </w:tcPr>
          <w:p>
            <w:pPr>
              <w:spacing w:after="0" w:line="196" w:lineRule="exact"/>
              <w:rPr>
                <w:sz w:val="20"/>
                <w:szCs w:val="20"/>
                <w:color w:val="auto"/>
              </w:rPr>
            </w:pPr>
            <w:r>
              <w:rPr>
                <w:rFonts w:ascii="Arial" w:cs="Arial" w:eastAsia="Arial" w:hAnsi="Arial"/>
                <w:sz w:val="18"/>
                <w:szCs w:val="18"/>
                <w:color w:val="0094FF"/>
              </w:rPr>
              <w:t>December 28, 2013</w:t>
            </w:r>
          </w:p>
        </w:tc>
        <w:tc>
          <w:tcPr>
            <w:tcW w:w="740" w:type="dxa"/>
            <w:vAlign w:val="bottom"/>
            <w:gridSpan w:val="3"/>
          </w:tcPr>
          <w:p>
            <w:pPr>
              <w:spacing w:after="0"/>
              <w:rPr>
                <w:sz w:val="17"/>
                <w:szCs w:val="17"/>
                <w:color w:val="auto"/>
              </w:rPr>
            </w:pPr>
          </w:p>
        </w:tc>
        <w:tc>
          <w:tcPr>
            <w:tcW w:w="1020" w:type="dxa"/>
            <w:vAlign w:val="bottom"/>
            <w:gridSpan w:val="4"/>
          </w:tcPr>
          <w:p>
            <w:pPr>
              <w:jc w:val="right"/>
              <w:ind w:right="20"/>
              <w:spacing w:after="0" w:line="196" w:lineRule="exact"/>
              <w:rPr>
                <w:rFonts w:ascii="Arial" w:cs="Arial" w:eastAsia="Arial" w:hAnsi="Arial"/>
                <w:sz w:val="18"/>
                <w:szCs w:val="18"/>
                <w:color w:val="0094FF"/>
              </w:rPr>
            </w:pPr>
            <w:hyperlink w:anchor="page3">
              <w:r>
                <w:rPr>
                  <w:rFonts w:ascii="Arial" w:cs="Arial" w:eastAsia="Arial" w:hAnsi="Arial"/>
                  <w:sz w:val="18"/>
                  <w:szCs w:val="18"/>
                  <w:color w:val="0094FF"/>
                </w:rPr>
                <w:t>4</w:t>
              </w:r>
            </w:hyperlink>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94FF"/>
          </w:tcPr>
          <w:p>
            <w:pPr>
              <w:spacing w:after="0" w:line="20" w:lineRule="exact"/>
              <w:rPr>
                <w:sz w:val="1"/>
                <w:szCs w:val="1"/>
                <w:color w:val="auto"/>
              </w:rPr>
            </w:pPr>
          </w:p>
        </w:tc>
        <w:tc>
          <w:tcPr>
            <w:tcW w:w="400" w:type="dxa"/>
            <w:vAlign w:val="bottom"/>
            <w:shd w:val="clear" w:color="auto" w:fill="0094FF"/>
          </w:tcPr>
          <w:p>
            <w:pPr>
              <w:spacing w:after="0" w:line="20" w:lineRule="exact"/>
              <w:rPr>
                <w:sz w:val="1"/>
                <w:szCs w:val="1"/>
                <w:color w:val="auto"/>
              </w:rPr>
            </w:pPr>
          </w:p>
        </w:tc>
        <w:tc>
          <w:tcPr>
            <w:tcW w:w="300" w:type="dxa"/>
            <w:vAlign w:val="bottom"/>
            <w:shd w:val="clear" w:color="auto" w:fill="0094FF"/>
          </w:tcPr>
          <w:p>
            <w:pPr>
              <w:spacing w:after="0" w:line="20" w:lineRule="exact"/>
              <w:rPr>
                <w:sz w:val="1"/>
                <w:szCs w:val="1"/>
                <w:color w:val="auto"/>
              </w:rPr>
            </w:pPr>
          </w:p>
        </w:tc>
        <w:tc>
          <w:tcPr>
            <w:tcW w:w="420" w:type="dxa"/>
            <w:vAlign w:val="bottom"/>
            <w:shd w:val="clear" w:color="auto" w:fill="0094FF"/>
          </w:tcPr>
          <w:p>
            <w:pPr>
              <w:spacing w:after="0" w:line="20" w:lineRule="exact"/>
              <w:rPr>
                <w:sz w:val="1"/>
                <w:szCs w:val="1"/>
                <w:color w:val="auto"/>
              </w:rPr>
            </w:pPr>
          </w:p>
        </w:tc>
        <w:tc>
          <w:tcPr>
            <w:tcW w:w="80" w:type="dxa"/>
            <w:vAlign w:val="bottom"/>
            <w:shd w:val="clear" w:color="auto" w:fill="0094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94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80" w:type="dxa"/>
            <w:vAlign w:val="bottom"/>
            <w:tcBorders>
              <w:bottom w:val="single" w:sz="8" w:color="0094FF"/>
            </w:tcBorders>
            <w:gridSpan w:val="17"/>
          </w:tcPr>
          <w:p>
            <w:pPr>
              <w:spacing w:after="0"/>
              <w:rPr>
                <w:rFonts w:ascii="Arial" w:cs="Arial" w:eastAsia="Arial" w:hAnsi="Arial"/>
                <w:sz w:val="18"/>
                <w:szCs w:val="18"/>
                <w:color w:val="0094FF"/>
                <w:w w:val="89"/>
              </w:rPr>
            </w:pPr>
            <w:hyperlink w:anchor="page3">
              <w:r>
                <w:rPr>
                  <w:rFonts w:ascii="Arial" w:cs="Arial" w:eastAsia="Arial" w:hAnsi="Arial"/>
                  <w:sz w:val="18"/>
                  <w:szCs w:val="18"/>
                  <w:color w:val="0094FF"/>
                  <w:w w:val="89"/>
                </w:rPr>
                <w:t xml:space="preserve">Condensed Consolidated Statements of Cash Flows — </w:t>
              </w:r>
            </w:hyperlink>
            <w:r>
              <w:rPr>
                <w:rFonts w:ascii="Arial" w:cs="Arial" w:eastAsia="Arial" w:hAnsi="Arial"/>
                <w:sz w:val="18"/>
                <w:szCs w:val="18"/>
                <w:color w:val="0094FF"/>
                <w:w w:val="89"/>
              </w:rPr>
              <w:t>Three months ended December 27, 2014 and December 28, 2013</w:t>
            </w:r>
          </w:p>
        </w:tc>
        <w:tc>
          <w:tcPr>
            <w:tcW w:w="640" w:type="dxa"/>
            <w:vAlign w:val="bottom"/>
          </w:tcPr>
          <w:p>
            <w:pPr>
              <w:spacing w:after="0"/>
              <w:rPr>
                <w:sz w:val="21"/>
                <w:szCs w:val="21"/>
                <w:color w:val="auto"/>
              </w:rPr>
            </w:pPr>
          </w:p>
        </w:tc>
        <w:tc>
          <w:tcPr>
            <w:tcW w:w="900" w:type="dxa"/>
            <w:vAlign w:val="bottom"/>
            <w:gridSpan w:val="2"/>
          </w:tcPr>
          <w:p>
            <w:pPr>
              <w:spacing w:after="0"/>
              <w:rPr>
                <w:sz w:val="21"/>
                <w:szCs w:val="21"/>
                <w:color w:val="auto"/>
              </w:rPr>
            </w:pPr>
          </w:p>
        </w:tc>
        <w:tc>
          <w:tcPr>
            <w:tcW w:w="100" w:type="dxa"/>
            <w:vAlign w:val="bottom"/>
            <w:tcBorders>
              <w:bottom w:val="single" w:sz="8" w:color="0094FF"/>
            </w:tcBorders>
          </w:tcPr>
          <w:p>
            <w:pPr>
              <w:jc w:val="right"/>
              <w:spacing w:after="0"/>
              <w:rPr>
                <w:rFonts w:ascii="Arial" w:cs="Arial" w:eastAsia="Arial" w:hAnsi="Arial"/>
                <w:sz w:val="18"/>
                <w:szCs w:val="18"/>
                <w:color w:val="0094FF"/>
                <w:w w:val="79"/>
              </w:rPr>
            </w:pPr>
            <w:hyperlink w:anchor="page4">
              <w:r>
                <w:rPr>
                  <w:rFonts w:ascii="Arial" w:cs="Arial" w:eastAsia="Arial" w:hAnsi="Arial"/>
                  <w:sz w:val="18"/>
                  <w:szCs w:val="18"/>
                  <w:color w:val="0094FF"/>
                  <w:w w:val="79"/>
                </w:rPr>
                <w:t>5</w:t>
              </w:r>
            </w:hyperlink>
          </w:p>
        </w:tc>
        <w:tc>
          <w:tcPr>
            <w:tcW w:w="20" w:type="dxa"/>
            <w:vAlign w:val="bottom"/>
          </w:tcPr>
          <w:p>
            <w:pPr>
              <w:spacing w:after="0"/>
              <w:rPr>
                <w:sz w:val="21"/>
                <w:szCs w:val="21"/>
                <w:color w:val="auto"/>
              </w:rPr>
            </w:pPr>
          </w:p>
        </w:tc>
      </w:tr>
      <w:tr>
        <w:trPr>
          <w:trHeight w:val="250"/>
        </w:trPr>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920" w:type="dxa"/>
            <w:vAlign w:val="bottom"/>
            <w:tcBorders>
              <w:bottom w:val="single" w:sz="8" w:color="0094FF"/>
            </w:tcBorders>
            <w:gridSpan w:val="14"/>
          </w:tcPr>
          <w:p>
            <w:pPr>
              <w:spacing w:after="0"/>
              <w:rPr>
                <w:rFonts w:ascii="Arial" w:cs="Arial" w:eastAsia="Arial" w:hAnsi="Arial"/>
                <w:sz w:val="18"/>
                <w:szCs w:val="18"/>
                <w:color w:val="0094FF"/>
                <w:w w:val="88"/>
              </w:rPr>
            </w:pPr>
            <w:hyperlink w:anchor="page5">
              <w:r>
                <w:rPr>
                  <w:rFonts w:ascii="Arial" w:cs="Arial" w:eastAsia="Arial" w:hAnsi="Arial"/>
                  <w:sz w:val="18"/>
                  <w:szCs w:val="18"/>
                  <w:color w:val="0094FF"/>
                  <w:w w:val="88"/>
                </w:rPr>
                <w:t xml:space="preserve">Condensed Consolidated Balance Sheets — </w:t>
              </w:r>
            </w:hyperlink>
            <w:r>
              <w:rPr>
                <w:rFonts w:ascii="Arial" w:cs="Arial" w:eastAsia="Arial" w:hAnsi="Arial"/>
                <w:sz w:val="18"/>
                <w:szCs w:val="18"/>
                <w:color w:val="0094FF"/>
                <w:w w:val="88"/>
              </w:rPr>
              <w:t>December 27, 2014, December 28, 2013 and September 30, 2014</w:t>
            </w:r>
          </w:p>
        </w:tc>
        <w:tc>
          <w:tcPr>
            <w:tcW w:w="1400" w:type="dxa"/>
            <w:vAlign w:val="bottom"/>
            <w:gridSpan w:val="4"/>
          </w:tcPr>
          <w:p>
            <w:pPr>
              <w:spacing w:after="0"/>
              <w:rPr>
                <w:sz w:val="21"/>
                <w:szCs w:val="21"/>
                <w:color w:val="auto"/>
              </w:rPr>
            </w:pPr>
          </w:p>
        </w:tc>
        <w:tc>
          <w:tcPr>
            <w:tcW w:w="900" w:type="dxa"/>
            <w:vAlign w:val="bottom"/>
            <w:gridSpan w:val="2"/>
          </w:tcPr>
          <w:p>
            <w:pPr>
              <w:spacing w:after="0"/>
              <w:rPr>
                <w:sz w:val="21"/>
                <w:szCs w:val="21"/>
                <w:color w:val="auto"/>
              </w:rPr>
            </w:pPr>
          </w:p>
        </w:tc>
        <w:tc>
          <w:tcPr>
            <w:tcW w:w="100" w:type="dxa"/>
            <w:vAlign w:val="bottom"/>
            <w:tcBorders>
              <w:bottom w:val="single" w:sz="8" w:color="0094FF"/>
            </w:tcBorders>
          </w:tcPr>
          <w:p>
            <w:pPr>
              <w:jc w:val="right"/>
              <w:spacing w:after="0"/>
              <w:rPr>
                <w:rFonts w:ascii="Arial" w:cs="Arial" w:eastAsia="Arial" w:hAnsi="Arial"/>
                <w:sz w:val="18"/>
                <w:szCs w:val="18"/>
                <w:color w:val="0094FF"/>
                <w:w w:val="79"/>
              </w:rPr>
            </w:pPr>
            <w:hyperlink w:anchor="page5">
              <w:r>
                <w:rPr>
                  <w:rFonts w:ascii="Arial" w:cs="Arial" w:eastAsia="Arial" w:hAnsi="Arial"/>
                  <w:sz w:val="18"/>
                  <w:szCs w:val="18"/>
                  <w:color w:val="0094FF"/>
                  <w:w w:val="79"/>
                </w:rPr>
                <w:t>6</w:t>
              </w:r>
            </w:hyperlink>
          </w:p>
        </w:tc>
        <w:tc>
          <w:tcPr>
            <w:tcW w:w="20" w:type="dxa"/>
            <w:vAlign w:val="bottom"/>
          </w:tcPr>
          <w:p>
            <w:pPr>
              <w:spacing w:after="0"/>
              <w:rPr>
                <w:sz w:val="21"/>
                <w:szCs w:val="21"/>
                <w:color w:val="auto"/>
              </w:rPr>
            </w:pPr>
          </w:p>
        </w:tc>
      </w:tr>
      <w:tr>
        <w:trPr>
          <w:trHeight w:val="250"/>
        </w:trPr>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320" w:type="dxa"/>
            <w:vAlign w:val="bottom"/>
            <w:gridSpan w:val="18"/>
          </w:tcPr>
          <w:p>
            <w:pPr>
              <w:spacing w:after="0"/>
              <w:rPr>
                <w:rFonts w:ascii="Arial" w:cs="Arial" w:eastAsia="Arial" w:hAnsi="Arial"/>
                <w:sz w:val="18"/>
                <w:szCs w:val="18"/>
                <w:color w:val="0094FF"/>
              </w:rPr>
            </w:pPr>
            <w:hyperlink w:anchor="page6">
              <w:r>
                <w:rPr>
                  <w:rFonts w:ascii="Arial" w:cs="Arial" w:eastAsia="Arial" w:hAnsi="Arial"/>
                  <w:sz w:val="18"/>
                  <w:szCs w:val="18"/>
                  <w:color w:val="0094FF"/>
                </w:rPr>
                <w:t>Notes to Condensed Consolidated Financial Statements</w:t>
              </w:r>
            </w:hyperlink>
          </w:p>
        </w:tc>
        <w:tc>
          <w:tcPr>
            <w:tcW w:w="1020" w:type="dxa"/>
            <w:vAlign w:val="bottom"/>
            <w:gridSpan w:val="4"/>
          </w:tcPr>
          <w:p>
            <w:pPr>
              <w:jc w:val="right"/>
              <w:ind w:right="20"/>
              <w:spacing w:after="0"/>
              <w:rPr>
                <w:rFonts w:ascii="Arial" w:cs="Arial" w:eastAsia="Arial" w:hAnsi="Arial"/>
                <w:sz w:val="18"/>
                <w:szCs w:val="18"/>
                <w:color w:val="0094FF"/>
              </w:rPr>
            </w:pPr>
            <w:hyperlink w:anchor="page6">
              <w:r>
                <w:rPr>
                  <w:rFonts w:ascii="Arial" w:cs="Arial" w:eastAsia="Arial" w:hAnsi="Arial"/>
                  <w:sz w:val="18"/>
                  <w:szCs w:val="18"/>
                  <w:color w:val="0094FF"/>
                </w:rPr>
                <w:t>7</w:t>
              </w:r>
            </w:hyperlink>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94FF"/>
          </w:tcPr>
          <w:p>
            <w:pPr>
              <w:spacing w:after="0" w:line="20" w:lineRule="exact"/>
              <w:rPr>
                <w:sz w:val="1"/>
                <w:szCs w:val="1"/>
                <w:color w:val="auto"/>
              </w:rPr>
            </w:pPr>
          </w:p>
        </w:tc>
        <w:tc>
          <w:tcPr>
            <w:tcW w:w="400" w:type="dxa"/>
            <w:vAlign w:val="bottom"/>
            <w:shd w:val="clear" w:color="auto" w:fill="0094FF"/>
          </w:tcPr>
          <w:p>
            <w:pPr>
              <w:spacing w:after="0" w:line="20" w:lineRule="exact"/>
              <w:rPr>
                <w:sz w:val="1"/>
                <w:szCs w:val="1"/>
                <w:color w:val="auto"/>
              </w:rPr>
            </w:pPr>
          </w:p>
        </w:tc>
        <w:tc>
          <w:tcPr>
            <w:tcW w:w="300" w:type="dxa"/>
            <w:vAlign w:val="bottom"/>
            <w:shd w:val="clear" w:color="auto" w:fill="0094FF"/>
          </w:tcPr>
          <w:p>
            <w:pPr>
              <w:spacing w:after="0" w:line="20" w:lineRule="exact"/>
              <w:rPr>
                <w:sz w:val="1"/>
                <w:szCs w:val="1"/>
                <w:color w:val="auto"/>
              </w:rPr>
            </w:pPr>
          </w:p>
        </w:tc>
        <w:tc>
          <w:tcPr>
            <w:tcW w:w="420" w:type="dxa"/>
            <w:vAlign w:val="bottom"/>
            <w:shd w:val="clear" w:color="auto" w:fill="0094FF"/>
          </w:tcPr>
          <w:p>
            <w:pPr>
              <w:spacing w:after="0" w:line="20" w:lineRule="exact"/>
              <w:rPr>
                <w:sz w:val="1"/>
                <w:szCs w:val="1"/>
                <w:color w:val="auto"/>
              </w:rPr>
            </w:pPr>
          </w:p>
        </w:tc>
        <w:tc>
          <w:tcPr>
            <w:tcW w:w="260" w:type="dxa"/>
            <w:vAlign w:val="bottom"/>
            <w:gridSpan w:val="3"/>
            <w:shd w:val="clear" w:color="auto" w:fill="0094FF"/>
          </w:tcPr>
          <w:p>
            <w:pPr>
              <w:spacing w:after="0" w:line="20" w:lineRule="exact"/>
              <w:rPr>
                <w:sz w:val="1"/>
                <w:szCs w:val="1"/>
                <w:color w:val="auto"/>
              </w:rPr>
            </w:pPr>
          </w:p>
        </w:tc>
        <w:tc>
          <w:tcPr>
            <w:tcW w:w="180" w:type="dxa"/>
            <w:vAlign w:val="bottom"/>
            <w:shd w:val="clear" w:color="auto" w:fill="0094FF"/>
          </w:tcPr>
          <w:p>
            <w:pPr>
              <w:spacing w:after="0" w:line="20" w:lineRule="exact"/>
              <w:rPr>
                <w:sz w:val="1"/>
                <w:szCs w:val="1"/>
                <w:color w:val="auto"/>
              </w:rPr>
            </w:pPr>
          </w:p>
        </w:tc>
        <w:tc>
          <w:tcPr>
            <w:tcW w:w="2220" w:type="dxa"/>
            <w:vAlign w:val="bottom"/>
            <w:gridSpan w:val="2"/>
            <w:shd w:val="clear" w:color="auto" w:fill="0094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860" w:type="dxa"/>
            <w:vAlign w:val="bottom"/>
            <w:gridSpan w:val="5"/>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94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40" w:type="dxa"/>
            <w:vAlign w:val="bottom"/>
            <w:gridSpan w:val="4"/>
          </w:tcPr>
          <w:p>
            <w:pPr>
              <w:spacing w:after="0"/>
              <w:rPr>
                <w:rFonts w:ascii="Arial" w:cs="Arial" w:eastAsia="Arial" w:hAnsi="Arial"/>
                <w:sz w:val="18"/>
                <w:szCs w:val="18"/>
                <w:color w:val="0094FF"/>
              </w:rPr>
            </w:pPr>
            <w:hyperlink w:anchor="page32">
              <w:r>
                <w:rPr>
                  <w:rFonts w:ascii="Arial" w:cs="Arial" w:eastAsia="Arial" w:hAnsi="Arial"/>
                  <w:sz w:val="18"/>
                  <w:szCs w:val="18"/>
                  <w:color w:val="0094FF"/>
                </w:rPr>
                <w:t>Item 2.</w:t>
              </w:r>
            </w:hyperlink>
          </w:p>
        </w:tc>
        <w:tc>
          <w:tcPr>
            <w:tcW w:w="9320" w:type="dxa"/>
            <w:vAlign w:val="bottom"/>
            <w:gridSpan w:val="18"/>
          </w:tcPr>
          <w:p>
            <w:pPr>
              <w:spacing w:after="0"/>
              <w:rPr>
                <w:rFonts w:ascii="Arial" w:cs="Arial" w:eastAsia="Arial" w:hAnsi="Arial"/>
                <w:sz w:val="18"/>
                <w:szCs w:val="18"/>
                <w:color w:val="0094FF"/>
              </w:rPr>
            </w:pPr>
            <w:hyperlink w:anchor="page32">
              <w:r>
                <w:rPr>
                  <w:rFonts w:ascii="Arial" w:cs="Arial" w:eastAsia="Arial" w:hAnsi="Arial"/>
                  <w:sz w:val="18"/>
                  <w:szCs w:val="18"/>
                  <w:color w:val="0094FF"/>
                </w:rPr>
                <w:t>Management’s Discussion and Analysis of Financial Condition and Results of Operations</w:t>
              </w:r>
            </w:hyperlink>
          </w:p>
        </w:tc>
        <w:tc>
          <w:tcPr>
            <w:tcW w:w="1020" w:type="dxa"/>
            <w:vAlign w:val="bottom"/>
            <w:gridSpan w:val="4"/>
          </w:tcPr>
          <w:p>
            <w:pPr>
              <w:jc w:val="right"/>
              <w:ind w:right="20"/>
              <w:spacing w:after="0"/>
              <w:rPr>
                <w:rFonts w:ascii="Arial" w:cs="Arial" w:eastAsia="Arial" w:hAnsi="Arial"/>
                <w:sz w:val="18"/>
                <w:szCs w:val="18"/>
                <w:color w:val="0094FF"/>
              </w:rPr>
            </w:pPr>
            <w:hyperlink w:anchor="page32">
              <w:r>
                <w:rPr>
                  <w:rFonts w:ascii="Arial" w:cs="Arial" w:eastAsia="Arial" w:hAnsi="Arial"/>
                  <w:sz w:val="18"/>
                  <w:szCs w:val="18"/>
                  <w:color w:val="0094FF"/>
                </w:rPr>
                <w:t>33</w:t>
              </w:r>
            </w:hyperlink>
          </w:p>
        </w:tc>
      </w:tr>
      <w:tr>
        <w:trPr>
          <w:trHeight w:val="20"/>
        </w:trPr>
        <w:tc>
          <w:tcPr>
            <w:tcW w:w="500" w:type="dxa"/>
            <w:vAlign w:val="bottom"/>
            <w:shd w:val="clear" w:color="auto" w:fill="0094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94FF"/>
          </w:tcPr>
          <w:p>
            <w:pPr>
              <w:spacing w:after="0" w:line="20" w:lineRule="exact"/>
              <w:rPr>
                <w:sz w:val="1"/>
                <w:szCs w:val="1"/>
                <w:color w:val="auto"/>
              </w:rPr>
            </w:pPr>
          </w:p>
        </w:tc>
        <w:tc>
          <w:tcPr>
            <w:tcW w:w="400" w:type="dxa"/>
            <w:vAlign w:val="bottom"/>
            <w:shd w:val="clear" w:color="auto" w:fill="0094FF"/>
          </w:tcPr>
          <w:p>
            <w:pPr>
              <w:spacing w:after="0" w:line="20" w:lineRule="exact"/>
              <w:rPr>
                <w:sz w:val="1"/>
                <w:szCs w:val="1"/>
                <w:color w:val="auto"/>
              </w:rPr>
            </w:pPr>
          </w:p>
        </w:tc>
        <w:tc>
          <w:tcPr>
            <w:tcW w:w="300" w:type="dxa"/>
            <w:vAlign w:val="bottom"/>
            <w:shd w:val="clear" w:color="auto" w:fill="0094FF"/>
          </w:tcPr>
          <w:p>
            <w:pPr>
              <w:spacing w:after="0" w:line="20" w:lineRule="exact"/>
              <w:rPr>
                <w:sz w:val="1"/>
                <w:szCs w:val="1"/>
                <w:color w:val="auto"/>
              </w:rPr>
            </w:pPr>
          </w:p>
        </w:tc>
        <w:tc>
          <w:tcPr>
            <w:tcW w:w="420" w:type="dxa"/>
            <w:vAlign w:val="bottom"/>
            <w:shd w:val="clear" w:color="auto" w:fill="0094FF"/>
          </w:tcPr>
          <w:p>
            <w:pPr>
              <w:spacing w:after="0" w:line="20" w:lineRule="exact"/>
              <w:rPr>
                <w:sz w:val="1"/>
                <w:szCs w:val="1"/>
                <w:color w:val="auto"/>
              </w:rPr>
            </w:pPr>
          </w:p>
        </w:tc>
        <w:tc>
          <w:tcPr>
            <w:tcW w:w="260" w:type="dxa"/>
            <w:vAlign w:val="bottom"/>
            <w:gridSpan w:val="3"/>
            <w:shd w:val="clear" w:color="auto" w:fill="0094FF"/>
          </w:tcPr>
          <w:p>
            <w:pPr>
              <w:spacing w:after="0" w:line="20" w:lineRule="exact"/>
              <w:rPr>
                <w:sz w:val="1"/>
                <w:szCs w:val="1"/>
                <w:color w:val="auto"/>
              </w:rPr>
            </w:pPr>
          </w:p>
        </w:tc>
        <w:tc>
          <w:tcPr>
            <w:tcW w:w="180" w:type="dxa"/>
            <w:vAlign w:val="bottom"/>
            <w:shd w:val="clear" w:color="auto" w:fill="0094FF"/>
          </w:tcPr>
          <w:p>
            <w:pPr>
              <w:spacing w:after="0" w:line="20" w:lineRule="exact"/>
              <w:rPr>
                <w:sz w:val="1"/>
                <w:szCs w:val="1"/>
                <w:color w:val="auto"/>
              </w:rPr>
            </w:pPr>
          </w:p>
        </w:tc>
        <w:tc>
          <w:tcPr>
            <w:tcW w:w="2540" w:type="dxa"/>
            <w:vAlign w:val="bottom"/>
            <w:gridSpan w:val="3"/>
            <w:shd w:val="clear" w:color="auto" w:fill="0094FF"/>
          </w:tcPr>
          <w:p>
            <w:pPr>
              <w:spacing w:after="0" w:line="20" w:lineRule="exact"/>
              <w:rPr>
                <w:sz w:val="1"/>
                <w:szCs w:val="1"/>
                <w:color w:val="auto"/>
              </w:rPr>
            </w:pPr>
          </w:p>
        </w:tc>
        <w:tc>
          <w:tcPr>
            <w:tcW w:w="40" w:type="dxa"/>
            <w:vAlign w:val="bottom"/>
            <w:shd w:val="clear" w:color="auto" w:fill="0094FF"/>
          </w:tcPr>
          <w:p>
            <w:pPr>
              <w:spacing w:after="0" w:line="20" w:lineRule="exact"/>
              <w:rPr>
                <w:sz w:val="1"/>
                <w:szCs w:val="1"/>
                <w:color w:val="auto"/>
              </w:rPr>
            </w:pPr>
          </w:p>
        </w:tc>
        <w:tc>
          <w:tcPr>
            <w:tcW w:w="2120" w:type="dxa"/>
            <w:vAlign w:val="bottom"/>
            <w:shd w:val="clear" w:color="auto" w:fill="0094FF"/>
          </w:tcPr>
          <w:p>
            <w:pPr>
              <w:spacing w:after="0" w:line="20" w:lineRule="exact"/>
              <w:rPr>
                <w:sz w:val="1"/>
                <w:szCs w:val="1"/>
                <w:color w:val="auto"/>
              </w:rPr>
            </w:pPr>
          </w:p>
        </w:tc>
        <w:tc>
          <w:tcPr>
            <w:tcW w:w="2860" w:type="dxa"/>
            <w:vAlign w:val="bottom"/>
            <w:gridSpan w:val="5"/>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94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40" w:type="dxa"/>
            <w:vAlign w:val="bottom"/>
            <w:gridSpan w:val="4"/>
          </w:tcPr>
          <w:p>
            <w:pPr>
              <w:spacing w:after="0"/>
              <w:rPr>
                <w:rFonts w:ascii="Arial" w:cs="Arial" w:eastAsia="Arial" w:hAnsi="Arial"/>
                <w:sz w:val="18"/>
                <w:szCs w:val="18"/>
                <w:color w:val="0094FF"/>
              </w:rPr>
            </w:pPr>
            <w:hyperlink w:anchor="page40">
              <w:r>
                <w:rPr>
                  <w:rFonts w:ascii="Arial" w:cs="Arial" w:eastAsia="Arial" w:hAnsi="Arial"/>
                  <w:sz w:val="18"/>
                  <w:szCs w:val="18"/>
                  <w:color w:val="0094FF"/>
                </w:rPr>
                <w:t>Item 3.</w:t>
              </w:r>
            </w:hyperlink>
          </w:p>
        </w:tc>
        <w:tc>
          <w:tcPr>
            <w:tcW w:w="9320" w:type="dxa"/>
            <w:vAlign w:val="bottom"/>
            <w:gridSpan w:val="18"/>
          </w:tcPr>
          <w:p>
            <w:pPr>
              <w:spacing w:after="0"/>
              <w:rPr>
                <w:rFonts w:ascii="Arial" w:cs="Arial" w:eastAsia="Arial" w:hAnsi="Arial"/>
                <w:sz w:val="18"/>
                <w:szCs w:val="18"/>
                <w:color w:val="0094FF"/>
              </w:rPr>
            </w:pPr>
            <w:hyperlink w:anchor="page40">
              <w:r>
                <w:rPr>
                  <w:rFonts w:ascii="Arial" w:cs="Arial" w:eastAsia="Arial" w:hAnsi="Arial"/>
                  <w:sz w:val="18"/>
                  <w:szCs w:val="18"/>
                  <w:color w:val="0094FF"/>
                </w:rPr>
                <w:t>Quantitative and Qualitative Disclosures about Market Risk</w:t>
              </w:r>
            </w:hyperlink>
          </w:p>
        </w:tc>
        <w:tc>
          <w:tcPr>
            <w:tcW w:w="1020" w:type="dxa"/>
            <w:vAlign w:val="bottom"/>
            <w:gridSpan w:val="4"/>
          </w:tcPr>
          <w:p>
            <w:pPr>
              <w:jc w:val="right"/>
              <w:ind w:right="20"/>
              <w:spacing w:after="0"/>
              <w:rPr>
                <w:rFonts w:ascii="Arial" w:cs="Arial" w:eastAsia="Arial" w:hAnsi="Arial"/>
                <w:sz w:val="18"/>
                <w:szCs w:val="18"/>
                <w:color w:val="0094FF"/>
              </w:rPr>
            </w:pPr>
            <w:hyperlink w:anchor="page40">
              <w:r>
                <w:rPr>
                  <w:rFonts w:ascii="Arial" w:cs="Arial" w:eastAsia="Arial" w:hAnsi="Arial"/>
                  <w:sz w:val="18"/>
                  <w:szCs w:val="18"/>
                  <w:color w:val="0094FF"/>
                </w:rPr>
                <w:t>40</w:t>
              </w:r>
            </w:hyperlink>
          </w:p>
        </w:tc>
      </w:tr>
      <w:tr>
        <w:trPr>
          <w:trHeight w:val="20"/>
        </w:trPr>
        <w:tc>
          <w:tcPr>
            <w:tcW w:w="500" w:type="dxa"/>
            <w:vAlign w:val="bottom"/>
            <w:shd w:val="clear" w:color="auto" w:fill="0094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94FF"/>
          </w:tcPr>
          <w:p>
            <w:pPr>
              <w:spacing w:after="0" w:line="20" w:lineRule="exact"/>
              <w:rPr>
                <w:sz w:val="1"/>
                <w:szCs w:val="1"/>
                <w:color w:val="auto"/>
              </w:rPr>
            </w:pPr>
          </w:p>
        </w:tc>
        <w:tc>
          <w:tcPr>
            <w:tcW w:w="400" w:type="dxa"/>
            <w:vAlign w:val="bottom"/>
            <w:shd w:val="clear" w:color="auto" w:fill="0094FF"/>
          </w:tcPr>
          <w:p>
            <w:pPr>
              <w:spacing w:after="0" w:line="20" w:lineRule="exact"/>
              <w:rPr>
                <w:sz w:val="1"/>
                <w:szCs w:val="1"/>
                <w:color w:val="auto"/>
              </w:rPr>
            </w:pPr>
          </w:p>
        </w:tc>
        <w:tc>
          <w:tcPr>
            <w:tcW w:w="300" w:type="dxa"/>
            <w:vAlign w:val="bottom"/>
            <w:shd w:val="clear" w:color="auto" w:fill="0094FF"/>
          </w:tcPr>
          <w:p>
            <w:pPr>
              <w:spacing w:after="0" w:line="20" w:lineRule="exact"/>
              <w:rPr>
                <w:sz w:val="1"/>
                <w:szCs w:val="1"/>
                <w:color w:val="auto"/>
              </w:rPr>
            </w:pPr>
          </w:p>
        </w:tc>
        <w:tc>
          <w:tcPr>
            <w:tcW w:w="420" w:type="dxa"/>
            <w:vAlign w:val="bottom"/>
            <w:shd w:val="clear" w:color="auto" w:fill="0094FF"/>
          </w:tcPr>
          <w:p>
            <w:pPr>
              <w:spacing w:after="0" w:line="20" w:lineRule="exact"/>
              <w:rPr>
                <w:sz w:val="1"/>
                <w:szCs w:val="1"/>
                <w:color w:val="auto"/>
              </w:rPr>
            </w:pPr>
          </w:p>
        </w:tc>
        <w:tc>
          <w:tcPr>
            <w:tcW w:w="260" w:type="dxa"/>
            <w:vAlign w:val="bottom"/>
            <w:gridSpan w:val="3"/>
            <w:shd w:val="clear" w:color="auto" w:fill="0094FF"/>
          </w:tcPr>
          <w:p>
            <w:pPr>
              <w:spacing w:after="0" w:line="20" w:lineRule="exact"/>
              <w:rPr>
                <w:sz w:val="1"/>
                <w:szCs w:val="1"/>
                <w:color w:val="auto"/>
              </w:rPr>
            </w:pPr>
          </w:p>
        </w:tc>
        <w:tc>
          <w:tcPr>
            <w:tcW w:w="180" w:type="dxa"/>
            <w:vAlign w:val="bottom"/>
            <w:shd w:val="clear" w:color="auto" w:fill="0094FF"/>
          </w:tcPr>
          <w:p>
            <w:pPr>
              <w:spacing w:after="0" w:line="20" w:lineRule="exact"/>
              <w:rPr>
                <w:sz w:val="1"/>
                <w:szCs w:val="1"/>
                <w:color w:val="auto"/>
              </w:rPr>
            </w:pPr>
          </w:p>
        </w:tc>
        <w:tc>
          <w:tcPr>
            <w:tcW w:w="2540" w:type="dxa"/>
            <w:vAlign w:val="bottom"/>
            <w:gridSpan w:val="3"/>
            <w:shd w:val="clear" w:color="auto" w:fill="0094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980" w:type="dxa"/>
            <w:vAlign w:val="bottom"/>
            <w:gridSpan w:val="6"/>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94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40" w:type="dxa"/>
            <w:vAlign w:val="bottom"/>
            <w:gridSpan w:val="4"/>
          </w:tcPr>
          <w:p>
            <w:pPr>
              <w:spacing w:after="0"/>
              <w:rPr>
                <w:rFonts w:ascii="Arial" w:cs="Arial" w:eastAsia="Arial" w:hAnsi="Arial"/>
                <w:sz w:val="18"/>
                <w:szCs w:val="18"/>
                <w:color w:val="0094FF"/>
              </w:rPr>
            </w:pPr>
            <w:hyperlink w:anchor="page40">
              <w:r>
                <w:rPr>
                  <w:rFonts w:ascii="Arial" w:cs="Arial" w:eastAsia="Arial" w:hAnsi="Arial"/>
                  <w:sz w:val="18"/>
                  <w:szCs w:val="18"/>
                  <w:color w:val="0094FF"/>
                </w:rPr>
                <w:t>Item 4.</w:t>
              </w:r>
            </w:hyperlink>
          </w:p>
        </w:tc>
        <w:tc>
          <w:tcPr>
            <w:tcW w:w="9320" w:type="dxa"/>
            <w:vAlign w:val="bottom"/>
            <w:gridSpan w:val="18"/>
          </w:tcPr>
          <w:p>
            <w:pPr>
              <w:spacing w:after="0"/>
              <w:rPr>
                <w:rFonts w:ascii="Arial" w:cs="Arial" w:eastAsia="Arial" w:hAnsi="Arial"/>
                <w:sz w:val="18"/>
                <w:szCs w:val="18"/>
                <w:color w:val="0094FF"/>
              </w:rPr>
            </w:pPr>
            <w:hyperlink w:anchor="page40">
              <w:r>
                <w:rPr>
                  <w:rFonts w:ascii="Arial" w:cs="Arial" w:eastAsia="Arial" w:hAnsi="Arial"/>
                  <w:sz w:val="18"/>
                  <w:szCs w:val="18"/>
                  <w:color w:val="0094FF"/>
                </w:rPr>
                <w:t>Controls and Procedures</w:t>
              </w:r>
            </w:hyperlink>
          </w:p>
        </w:tc>
        <w:tc>
          <w:tcPr>
            <w:tcW w:w="1020" w:type="dxa"/>
            <w:vAlign w:val="bottom"/>
            <w:gridSpan w:val="4"/>
          </w:tcPr>
          <w:p>
            <w:pPr>
              <w:jc w:val="right"/>
              <w:ind w:right="20"/>
              <w:spacing w:after="0"/>
              <w:rPr>
                <w:rFonts w:ascii="Arial" w:cs="Arial" w:eastAsia="Arial" w:hAnsi="Arial"/>
                <w:sz w:val="18"/>
                <w:szCs w:val="18"/>
                <w:color w:val="0094FF"/>
              </w:rPr>
            </w:pPr>
            <w:hyperlink w:anchor="page40">
              <w:r>
                <w:rPr>
                  <w:rFonts w:ascii="Arial" w:cs="Arial" w:eastAsia="Arial" w:hAnsi="Arial"/>
                  <w:sz w:val="18"/>
                  <w:szCs w:val="18"/>
                  <w:color w:val="0094FF"/>
                </w:rPr>
                <w:t>41</w:t>
              </w:r>
            </w:hyperlink>
          </w:p>
        </w:tc>
      </w:tr>
      <w:tr>
        <w:trPr>
          <w:trHeight w:val="20"/>
        </w:trPr>
        <w:tc>
          <w:tcPr>
            <w:tcW w:w="500" w:type="dxa"/>
            <w:vAlign w:val="bottom"/>
            <w:shd w:val="clear" w:color="auto" w:fill="0094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94FF"/>
          </w:tcPr>
          <w:p>
            <w:pPr>
              <w:spacing w:after="0" w:line="20" w:lineRule="exact"/>
              <w:rPr>
                <w:sz w:val="1"/>
                <w:szCs w:val="1"/>
                <w:color w:val="auto"/>
              </w:rPr>
            </w:pPr>
          </w:p>
        </w:tc>
        <w:tc>
          <w:tcPr>
            <w:tcW w:w="400" w:type="dxa"/>
            <w:vAlign w:val="bottom"/>
            <w:shd w:val="clear" w:color="auto" w:fill="0094FF"/>
          </w:tcPr>
          <w:p>
            <w:pPr>
              <w:spacing w:after="0" w:line="20" w:lineRule="exact"/>
              <w:rPr>
                <w:sz w:val="1"/>
                <w:szCs w:val="1"/>
                <w:color w:val="auto"/>
              </w:rPr>
            </w:pPr>
          </w:p>
        </w:tc>
        <w:tc>
          <w:tcPr>
            <w:tcW w:w="300" w:type="dxa"/>
            <w:vAlign w:val="bottom"/>
            <w:shd w:val="clear" w:color="auto" w:fill="0094FF"/>
          </w:tcPr>
          <w:p>
            <w:pPr>
              <w:spacing w:after="0" w:line="20" w:lineRule="exact"/>
              <w:rPr>
                <w:sz w:val="1"/>
                <w:szCs w:val="1"/>
                <w:color w:val="auto"/>
              </w:rPr>
            </w:pPr>
          </w:p>
        </w:tc>
        <w:tc>
          <w:tcPr>
            <w:tcW w:w="420" w:type="dxa"/>
            <w:vAlign w:val="bottom"/>
            <w:shd w:val="clear" w:color="auto" w:fill="0094FF"/>
          </w:tcPr>
          <w:p>
            <w:pPr>
              <w:spacing w:after="0" w:line="20" w:lineRule="exact"/>
              <w:rPr>
                <w:sz w:val="1"/>
                <w:szCs w:val="1"/>
                <w:color w:val="auto"/>
              </w:rPr>
            </w:pPr>
          </w:p>
        </w:tc>
        <w:tc>
          <w:tcPr>
            <w:tcW w:w="260" w:type="dxa"/>
            <w:vAlign w:val="bottom"/>
            <w:gridSpan w:val="3"/>
            <w:shd w:val="clear" w:color="auto" w:fill="0094FF"/>
          </w:tcPr>
          <w:p>
            <w:pPr>
              <w:spacing w:after="0" w:line="20" w:lineRule="exact"/>
              <w:rPr>
                <w:sz w:val="1"/>
                <w:szCs w:val="1"/>
                <w:color w:val="auto"/>
              </w:rPr>
            </w:pPr>
          </w:p>
        </w:tc>
        <w:tc>
          <w:tcPr>
            <w:tcW w:w="180" w:type="dxa"/>
            <w:vAlign w:val="bottom"/>
            <w:shd w:val="clear" w:color="auto" w:fill="0094FF"/>
          </w:tcPr>
          <w:p>
            <w:pPr>
              <w:spacing w:after="0" w:line="20" w:lineRule="exact"/>
              <w:rPr>
                <w:sz w:val="1"/>
                <w:szCs w:val="1"/>
                <w:color w:val="auto"/>
              </w:rPr>
            </w:pPr>
          </w:p>
        </w:tc>
        <w:tc>
          <w:tcPr>
            <w:tcW w:w="2580" w:type="dxa"/>
            <w:vAlign w:val="bottom"/>
            <w:gridSpan w:val="4"/>
          </w:tcPr>
          <w:p>
            <w:pPr>
              <w:spacing w:after="0" w:line="20" w:lineRule="exact"/>
              <w:rPr>
                <w:sz w:val="1"/>
                <w:szCs w:val="1"/>
                <w:color w:val="auto"/>
              </w:rPr>
            </w:pPr>
          </w:p>
        </w:tc>
        <w:tc>
          <w:tcPr>
            <w:tcW w:w="4980" w:type="dxa"/>
            <w:vAlign w:val="bottom"/>
            <w:gridSpan w:val="6"/>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shd w:val="clear" w:color="auto" w:fill="0094FF"/>
          </w:tcPr>
          <w:p>
            <w:pPr>
              <w:spacing w:after="0" w:line="20" w:lineRule="exact"/>
              <w:rPr>
                <w:sz w:val="1"/>
                <w:szCs w:val="1"/>
                <w:color w:val="auto"/>
              </w:rPr>
            </w:pPr>
          </w:p>
        </w:tc>
        <w:tc>
          <w:tcPr>
            <w:tcW w:w="100" w:type="dxa"/>
            <w:vAlign w:val="bottom"/>
            <w:shd w:val="clear" w:color="auto" w:fill="0094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74"/>
        </w:trPr>
        <w:tc>
          <w:tcPr>
            <w:tcW w:w="2620" w:type="dxa"/>
            <w:vAlign w:val="bottom"/>
            <w:tcBorders>
              <w:bottom w:val="single" w:sz="8" w:color="0094FF"/>
            </w:tcBorders>
            <w:gridSpan w:val="11"/>
          </w:tcPr>
          <w:p>
            <w:pPr>
              <w:spacing w:after="0"/>
              <w:rPr>
                <w:rFonts w:ascii="Arial" w:cs="Arial" w:eastAsia="Arial" w:hAnsi="Arial"/>
                <w:sz w:val="18"/>
                <w:szCs w:val="18"/>
                <w:color w:val="0094FF"/>
                <w:w w:val="95"/>
              </w:rPr>
            </w:pPr>
            <w:hyperlink w:anchor="page41">
              <w:r>
                <w:rPr>
                  <w:rFonts w:ascii="Arial" w:cs="Arial" w:eastAsia="Arial" w:hAnsi="Arial"/>
                  <w:sz w:val="18"/>
                  <w:szCs w:val="18"/>
                  <w:color w:val="0094FF"/>
                  <w:w w:val="95"/>
                </w:rPr>
                <w:t>PART II. OTHER INFORMATION:</w:t>
              </w:r>
            </w:hyperlink>
          </w:p>
        </w:tc>
        <w:tc>
          <w:tcPr>
            <w:tcW w:w="7740" w:type="dxa"/>
            <w:vAlign w:val="bottom"/>
            <w:gridSpan w:val="11"/>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74"/>
        </w:trPr>
        <w:tc>
          <w:tcPr>
            <w:tcW w:w="1040" w:type="dxa"/>
            <w:vAlign w:val="bottom"/>
            <w:gridSpan w:val="4"/>
          </w:tcPr>
          <w:p>
            <w:pPr>
              <w:spacing w:after="0"/>
              <w:rPr>
                <w:rFonts w:ascii="Arial" w:cs="Arial" w:eastAsia="Arial" w:hAnsi="Arial"/>
                <w:sz w:val="18"/>
                <w:szCs w:val="18"/>
                <w:color w:val="0094FF"/>
              </w:rPr>
            </w:pPr>
            <w:hyperlink w:anchor="page42">
              <w:r>
                <w:rPr>
                  <w:rFonts w:ascii="Arial" w:cs="Arial" w:eastAsia="Arial" w:hAnsi="Arial"/>
                  <w:sz w:val="18"/>
                  <w:szCs w:val="18"/>
                  <w:color w:val="0094FF"/>
                </w:rPr>
                <w:t>Item 1.</w:t>
              </w:r>
            </w:hyperlink>
          </w:p>
        </w:tc>
        <w:tc>
          <w:tcPr>
            <w:tcW w:w="9320" w:type="dxa"/>
            <w:vAlign w:val="bottom"/>
            <w:gridSpan w:val="18"/>
          </w:tcPr>
          <w:p>
            <w:pPr>
              <w:spacing w:after="0"/>
              <w:rPr>
                <w:rFonts w:ascii="Arial" w:cs="Arial" w:eastAsia="Arial" w:hAnsi="Arial"/>
                <w:sz w:val="18"/>
                <w:szCs w:val="18"/>
                <w:color w:val="0094FF"/>
              </w:rPr>
            </w:pPr>
            <w:hyperlink w:anchor="page42">
              <w:r>
                <w:rPr>
                  <w:rFonts w:ascii="Arial" w:cs="Arial" w:eastAsia="Arial" w:hAnsi="Arial"/>
                  <w:sz w:val="18"/>
                  <w:szCs w:val="18"/>
                  <w:color w:val="0094FF"/>
                </w:rPr>
                <w:t>Legal Proceedings</w:t>
              </w:r>
            </w:hyperlink>
          </w:p>
        </w:tc>
        <w:tc>
          <w:tcPr>
            <w:tcW w:w="1020" w:type="dxa"/>
            <w:vAlign w:val="bottom"/>
            <w:gridSpan w:val="4"/>
          </w:tcPr>
          <w:p>
            <w:pPr>
              <w:jc w:val="right"/>
              <w:ind w:right="20"/>
              <w:spacing w:after="0"/>
              <w:rPr>
                <w:rFonts w:ascii="Arial" w:cs="Arial" w:eastAsia="Arial" w:hAnsi="Arial"/>
                <w:sz w:val="18"/>
                <w:szCs w:val="18"/>
                <w:color w:val="0094FF"/>
              </w:rPr>
            </w:pPr>
            <w:hyperlink w:anchor="page42">
              <w:r>
                <w:rPr>
                  <w:rFonts w:ascii="Arial" w:cs="Arial" w:eastAsia="Arial" w:hAnsi="Arial"/>
                  <w:sz w:val="18"/>
                  <w:szCs w:val="18"/>
                  <w:color w:val="0094FF"/>
                </w:rPr>
                <w:t>42</w:t>
              </w:r>
            </w:hyperlink>
          </w:p>
        </w:tc>
      </w:tr>
      <w:tr>
        <w:trPr>
          <w:trHeight w:val="20"/>
        </w:trPr>
        <w:tc>
          <w:tcPr>
            <w:tcW w:w="500" w:type="dxa"/>
            <w:vAlign w:val="bottom"/>
            <w:shd w:val="clear" w:color="auto" w:fill="0094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94FF"/>
          </w:tcPr>
          <w:p>
            <w:pPr>
              <w:spacing w:after="0" w:line="20" w:lineRule="exact"/>
              <w:rPr>
                <w:sz w:val="1"/>
                <w:szCs w:val="1"/>
                <w:color w:val="auto"/>
              </w:rPr>
            </w:pPr>
          </w:p>
        </w:tc>
        <w:tc>
          <w:tcPr>
            <w:tcW w:w="400" w:type="dxa"/>
            <w:vAlign w:val="bottom"/>
            <w:shd w:val="clear" w:color="auto" w:fill="0094FF"/>
          </w:tcPr>
          <w:p>
            <w:pPr>
              <w:spacing w:after="0" w:line="20" w:lineRule="exact"/>
              <w:rPr>
                <w:sz w:val="1"/>
                <w:szCs w:val="1"/>
                <w:color w:val="auto"/>
              </w:rPr>
            </w:pPr>
          </w:p>
        </w:tc>
        <w:tc>
          <w:tcPr>
            <w:tcW w:w="300" w:type="dxa"/>
            <w:vAlign w:val="bottom"/>
            <w:shd w:val="clear" w:color="auto" w:fill="0094FF"/>
          </w:tcPr>
          <w:p>
            <w:pPr>
              <w:spacing w:after="0" w:line="20" w:lineRule="exact"/>
              <w:rPr>
                <w:sz w:val="1"/>
                <w:szCs w:val="1"/>
                <w:color w:val="auto"/>
              </w:rPr>
            </w:pPr>
          </w:p>
        </w:tc>
        <w:tc>
          <w:tcPr>
            <w:tcW w:w="420" w:type="dxa"/>
            <w:vAlign w:val="bottom"/>
            <w:shd w:val="clear" w:color="auto" w:fill="0094FF"/>
          </w:tcPr>
          <w:p>
            <w:pPr>
              <w:spacing w:after="0" w:line="20" w:lineRule="exact"/>
              <w:rPr>
                <w:sz w:val="1"/>
                <w:szCs w:val="1"/>
                <w:color w:val="auto"/>
              </w:rPr>
            </w:pPr>
          </w:p>
        </w:tc>
        <w:tc>
          <w:tcPr>
            <w:tcW w:w="3020" w:type="dxa"/>
            <w:vAlign w:val="bottom"/>
            <w:gridSpan w:val="8"/>
          </w:tcPr>
          <w:p>
            <w:pPr>
              <w:spacing w:after="0" w:line="20" w:lineRule="exact"/>
              <w:rPr>
                <w:sz w:val="1"/>
                <w:szCs w:val="1"/>
                <w:color w:val="auto"/>
              </w:rPr>
            </w:pPr>
          </w:p>
        </w:tc>
        <w:tc>
          <w:tcPr>
            <w:tcW w:w="4980" w:type="dxa"/>
            <w:vAlign w:val="bottom"/>
            <w:gridSpan w:val="6"/>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94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640" w:type="dxa"/>
            <w:vAlign w:val="bottom"/>
            <w:gridSpan w:val="2"/>
          </w:tcPr>
          <w:p>
            <w:pPr>
              <w:spacing w:after="0"/>
              <w:rPr>
                <w:rFonts w:ascii="Arial" w:cs="Arial" w:eastAsia="Arial" w:hAnsi="Arial"/>
                <w:sz w:val="18"/>
                <w:szCs w:val="18"/>
                <w:color w:val="0094FF"/>
                <w:w w:val="92"/>
              </w:rPr>
            </w:pPr>
            <w:hyperlink w:anchor="page42">
              <w:r>
                <w:rPr>
                  <w:rFonts w:ascii="Arial" w:cs="Arial" w:eastAsia="Arial" w:hAnsi="Arial"/>
                  <w:sz w:val="18"/>
                  <w:szCs w:val="18"/>
                  <w:color w:val="0094FF"/>
                  <w:w w:val="92"/>
                </w:rPr>
                <w:t>Item 1A.</w:t>
              </w:r>
            </w:hyperlink>
          </w:p>
        </w:tc>
        <w:tc>
          <w:tcPr>
            <w:tcW w:w="400" w:type="dxa"/>
            <w:vAlign w:val="bottom"/>
            <w:gridSpan w:val="2"/>
          </w:tcPr>
          <w:p>
            <w:pPr>
              <w:spacing w:after="0"/>
              <w:rPr>
                <w:sz w:val="21"/>
                <w:szCs w:val="21"/>
                <w:color w:val="auto"/>
              </w:rPr>
            </w:pPr>
          </w:p>
        </w:tc>
        <w:tc>
          <w:tcPr>
            <w:tcW w:w="900" w:type="dxa"/>
            <w:vAlign w:val="bottom"/>
            <w:gridSpan w:val="3"/>
          </w:tcPr>
          <w:p>
            <w:pPr>
              <w:spacing w:after="0"/>
              <w:rPr>
                <w:rFonts w:ascii="Arial" w:cs="Arial" w:eastAsia="Arial" w:hAnsi="Arial"/>
                <w:sz w:val="18"/>
                <w:szCs w:val="18"/>
                <w:color w:val="0094FF"/>
                <w:w w:val="87"/>
              </w:rPr>
            </w:pPr>
            <w:hyperlink w:anchor="page42">
              <w:r>
                <w:rPr>
                  <w:rFonts w:ascii="Arial" w:cs="Arial" w:eastAsia="Arial" w:hAnsi="Arial"/>
                  <w:sz w:val="18"/>
                  <w:szCs w:val="18"/>
                  <w:color w:val="0094FF"/>
                  <w:w w:val="87"/>
                </w:rPr>
                <w:t>Risk Factors</w:t>
              </w:r>
            </w:hyperlink>
          </w:p>
        </w:tc>
        <w:tc>
          <w:tcPr>
            <w:tcW w:w="8420" w:type="dxa"/>
            <w:vAlign w:val="bottom"/>
            <w:gridSpan w:val="15"/>
          </w:tcPr>
          <w:p>
            <w:pPr>
              <w:spacing w:after="0"/>
              <w:rPr>
                <w:sz w:val="21"/>
                <w:szCs w:val="21"/>
                <w:color w:val="auto"/>
              </w:rPr>
            </w:pPr>
          </w:p>
        </w:tc>
        <w:tc>
          <w:tcPr>
            <w:tcW w:w="1020" w:type="dxa"/>
            <w:vAlign w:val="bottom"/>
            <w:gridSpan w:val="4"/>
          </w:tcPr>
          <w:p>
            <w:pPr>
              <w:jc w:val="right"/>
              <w:ind w:right="20"/>
              <w:spacing w:after="0"/>
              <w:rPr>
                <w:rFonts w:ascii="Arial" w:cs="Arial" w:eastAsia="Arial" w:hAnsi="Arial"/>
                <w:sz w:val="18"/>
                <w:szCs w:val="18"/>
                <w:color w:val="0094FF"/>
              </w:rPr>
            </w:pPr>
            <w:hyperlink w:anchor="page42">
              <w:r>
                <w:rPr>
                  <w:rFonts w:ascii="Arial" w:cs="Arial" w:eastAsia="Arial" w:hAnsi="Arial"/>
                  <w:sz w:val="18"/>
                  <w:szCs w:val="18"/>
                  <w:color w:val="0094FF"/>
                </w:rPr>
                <w:t>42</w:t>
              </w:r>
            </w:hyperlink>
          </w:p>
        </w:tc>
      </w:tr>
      <w:tr>
        <w:trPr>
          <w:trHeight w:val="20"/>
        </w:trPr>
        <w:tc>
          <w:tcPr>
            <w:tcW w:w="640" w:type="dxa"/>
            <w:vAlign w:val="bottom"/>
            <w:gridSpan w:val="2"/>
            <w:shd w:val="clear" w:color="auto" w:fill="0094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94FF"/>
          </w:tcPr>
          <w:p>
            <w:pPr>
              <w:spacing w:after="0" w:line="20" w:lineRule="exact"/>
              <w:rPr>
                <w:sz w:val="1"/>
                <w:szCs w:val="1"/>
                <w:color w:val="auto"/>
              </w:rPr>
            </w:pPr>
          </w:p>
        </w:tc>
        <w:tc>
          <w:tcPr>
            <w:tcW w:w="400" w:type="dxa"/>
            <w:vAlign w:val="bottom"/>
            <w:shd w:val="clear" w:color="auto" w:fill="0094FF"/>
          </w:tcPr>
          <w:p>
            <w:pPr>
              <w:spacing w:after="0" w:line="20" w:lineRule="exact"/>
              <w:rPr>
                <w:sz w:val="1"/>
                <w:szCs w:val="1"/>
                <w:color w:val="auto"/>
              </w:rPr>
            </w:pPr>
          </w:p>
        </w:tc>
        <w:tc>
          <w:tcPr>
            <w:tcW w:w="300" w:type="dxa"/>
            <w:vAlign w:val="bottom"/>
            <w:shd w:val="clear" w:color="auto" w:fill="0094FF"/>
          </w:tcPr>
          <w:p>
            <w:pPr>
              <w:spacing w:after="0" w:line="20" w:lineRule="exact"/>
              <w:rPr>
                <w:sz w:val="1"/>
                <w:szCs w:val="1"/>
                <w:color w:val="auto"/>
              </w:rPr>
            </w:pPr>
          </w:p>
        </w:tc>
        <w:tc>
          <w:tcPr>
            <w:tcW w:w="3440" w:type="dxa"/>
            <w:vAlign w:val="bottom"/>
            <w:gridSpan w:val="9"/>
          </w:tcPr>
          <w:p>
            <w:pPr>
              <w:spacing w:after="0" w:line="20" w:lineRule="exact"/>
              <w:rPr>
                <w:sz w:val="1"/>
                <w:szCs w:val="1"/>
                <w:color w:val="auto"/>
              </w:rPr>
            </w:pPr>
          </w:p>
        </w:tc>
        <w:tc>
          <w:tcPr>
            <w:tcW w:w="4980" w:type="dxa"/>
            <w:vAlign w:val="bottom"/>
            <w:gridSpan w:val="6"/>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94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640" w:type="dxa"/>
            <w:vAlign w:val="bottom"/>
            <w:gridSpan w:val="2"/>
          </w:tcPr>
          <w:p>
            <w:pPr>
              <w:spacing w:after="0"/>
              <w:rPr>
                <w:rFonts w:ascii="Arial" w:cs="Arial" w:eastAsia="Arial" w:hAnsi="Arial"/>
                <w:sz w:val="18"/>
                <w:szCs w:val="18"/>
                <w:color w:val="0094FF"/>
              </w:rPr>
            </w:pPr>
            <w:hyperlink w:anchor="page42">
              <w:r>
                <w:rPr>
                  <w:rFonts w:ascii="Arial" w:cs="Arial" w:eastAsia="Arial" w:hAnsi="Arial"/>
                  <w:sz w:val="18"/>
                  <w:szCs w:val="18"/>
                  <w:color w:val="0094FF"/>
                </w:rPr>
                <w:t>Item 2.</w:t>
              </w:r>
            </w:hyperlink>
          </w:p>
        </w:tc>
        <w:tc>
          <w:tcPr>
            <w:tcW w:w="400" w:type="dxa"/>
            <w:vAlign w:val="bottom"/>
            <w:gridSpan w:val="2"/>
          </w:tcPr>
          <w:p>
            <w:pPr>
              <w:spacing w:after="0"/>
              <w:rPr>
                <w:sz w:val="21"/>
                <w:szCs w:val="21"/>
                <w:color w:val="auto"/>
              </w:rPr>
            </w:pPr>
          </w:p>
        </w:tc>
        <w:tc>
          <w:tcPr>
            <w:tcW w:w="9320" w:type="dxa"/>
            <w:vAlign w:val="bottom"/>
            <w:gridSpan w:val="18"/>
          </w:tcPr>
          <w:p>
            <w:pPr>
              <w:spacing w:after="0"/>
              <w:rPr>
                <w:rFonts w:ascii="Arial" w:cs="Arial" w:eastAsia="Arial" w:hAnsi="Arial"/>
                <w:sz w:val="18"/>
                <w:szCs w:val="18"/>
                <w:color w:val="0094FF"/>
              </w:rPr>
            </w:pPr>
            <w:hyperlink w:anchor="page42">
              <w:r>
                <w:rPr>
                  <w:rFonts w:ascii="Arial" w:cs="Arial" w:eastAsia="Arial" w:hAnsi="Arial"/>
                  <w:sz w:val="18"/>
                  <w:szCs w:val="18"/>
                  <w:color w:val="0094FF"/>
                </w:rPr>
                <w:t>Unregistered Sales of Equity Securities and Use of Proceeds</w:t>
              </w:r>
            </w:hyperlink>
          </w:p>
        </w:tc>
        <w:tc>
          <w:tcPr>
            <w:tcW w:w="1020" w:type="dxa"/>
            <w:vAlign w:val="bottom"/>
            <w:gridSpan w:val="4"/>
          </w:tcPr>
          <w:p>
            <w:pPr>
              <w:jc w:val="right"/>
              <w:ind w:right="20"/>
              <w:spacing w:after="0"/>
              <w:rPr>
                <w:rFonts w:ascii="Arial" w:cs="Arial" w:eastAsia="Arial" w:hAnsi="Arial"/>
                <w:sz w:val="18"/>
                <w:szCs w:val="18"/>
                <w:color w:val="0094FF"/>
              </w:rPr>
            </w:pPr>
            <w:hyperlink w:anchor="page42">
              <w:r>
                <w:rPr>
                  <w:rFonts w:ascii="Arial" w:cs="Arial" w:eastAsia="Arial" w:hAnsi="Arial"/>
                  <w:sz w:val="18"/>
                  <w:szCs w:val="18"/>
                  <w:color w:val="0094FF"/>
                </w:rPr>
                <w:t>43</w:t>
              </w:r>
            </w:hyperlink>
          </w:p>
        </w:tc>
      </w:tr>
      <w:tr>
        <w:trPr>
          <w:trHeight w:val="20"/>
        </w:trPr>
        <w:tc>
          <w:tcPr>
            <w:tcW w:w="500" w:type="dxa"/>
            <w:vAlign w:val="bottom"/>
            <w:shd w:val="clear" w:color="auto" w:fill="0094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94FF"/>
          </w:tcPr>
          <w:p>
            <w:pPr>
              <w:spacing w:after="0" w:line="20" w:lineRule="exact"/>
              <w:rPr>
                <w:sz w:val="1"/>
                <w:szCs w:val="1"/>
                <w:color w:val="auto"/>
              </w:rPr>
            </w:pPr>
          </w:p>
        </w:tc>
        <w:tc>
          <w:tcPr>
            <w:tcW w:w="400" w:type="dxa"/>
            <w:vAlign w:val="bottom"/>
            <w:shd w:val="clear" w:color="auto" w:fill="0094FF"/>
          </w:tcPr>
          <w:p>
            <w:pPr>
              <w:spacing w:after="0" w:line="20" w:lineRule="exact"/>
              <w:rPr>
                <w:sz w:val="1"/>
                <w:szCs w:val="1"/>
                <w:color w:val="auto"/>
              </w:rPr>
            </w:pPr>
          </w:p>
        </w:tc>
        <w:tc>
          <w:tcPr>
            <w:tcW w:w="3740" w:type="dxa"/>
            <w:vAlign w:val="bottom"/>
            <w:gridSpan w:val="10"/>
            <w:shd w:val="clear" w:color="auto" w:fill="0094FF"/>
          </w:tcPr>
          <w:p>
            <w:pPr>
              <w:spacing w:after="0" w:line="20" w:lineRule="exact"/>
              <w:rPr>
                <w:sz w:val="1"/>
                <w:szCs w:val="1"/>
                <w:color w:val="auto"/>
              </w:rPr>
            </w:pPr>
          </w:p>
        </w:tc>
        <w:tc>
          <w:tcPr>
            <w:tcW w:w="4980" w:type="dxa"/>
            <w:vAlign w:val="bottom"/>
            <w:gridSpan w:val="6"/>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94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40" w:type="dxa"/>
            <w:vAlign w:val="bottom"/>
            <w:gridSpan w:val="4"/>
          </w:tcPr>
          <w:p>
            <w:pPr>
              <w:spacing w:after="0"/>
              <w:rPr>
                <w:rFonts w:ascii="Arial" w:cs="Arial" w:eastAsia="Arial" w:hAnsi="Arial"/>
                <w:sz w:val="18"/>
                <w:szCs w:val="18"/>
                <w:color w:val="0094FF"/>
              </w:rPr>
            </w:pPr>
            <w:hyperlink w:anchor="page43">
              <w:r>
                <w:rPr>
                  <w:rFonts w:ascii="Arial" w:cs="Arial" w:eastAsia="Arial" w:hAnsi="Arial"/>
                  <w:sz w:val="18"/>
                  <w:szCs w:val="18"/>
                  <w:color w:val="0094FF"/>
                </w:rPr>
                <w:t>Item 6.</w:t>
              </w:r>
            </w:hyperlink>
          </w:p>
        </w:tc>
        <w:tc>
          <w:tcPr>
            <w:tcW w:w="9320" w:type="dxa"/>
            <w:vAlign w:val="bottom"/>
            <w:gridSpan w:val="18"/>
          </w:tcPr>
          <w:p>
            <w:pPr>
              <w:spacing w:after="0"/>
              <w:rPr>
                <w:rFonts w:ascii="Arial" w:cs="Arial" w:eastAsia="Arial" w:hAnsi="Arial"/>
                <w:sz w:val="18"/>
                <w:szCs w:val="18"/>
                <w:color w:val="0094FF"/>
              </w:rPr>
            </w:pPr>
            <w:hyperlink w:anchor="page43">
              <w:r>
                <w:rPr>
                  <w:rFonts w:ascii="Arial" w:cs="Arial" w:eastAsia="Arial" w:hAnsi="Arial"/>
                  <w:sz w:val="18"/>
                  <w:szCs w:val="18"/>
                  <w:color w:val="0094FF"/>
                </w:rPr>
                <w:t>Exhibits</w:t>
              </w:r>
            </w:hyperlink>
          </w:p>
        </w:tc>
        <w:tc>
          <w:tcPr>
            <w:tcW w:w="1020" w:type="dxa"/>
            <w:vAlign w:val="bottom"/>
            <w:gridSpan w:val="4"/>
          </w:tcPr>
          <w:p>
            <w:pPr>
              <w:jc w:val="right"/>
              <w:ind w:right="20"/>
              <w:spacing w:after="0"/>
              <w:rPr>
                <w:rFonts w:ascii="Arial" w:cs="Arial" w:eastAsia="Arial" w:hAnsi="Arial"/>
                <w:sz w:val="18"/>
                <w:szCs w:val="18"/>
                <w:color w:val="0094FF"/>
              </w:rPr>
            </w:pPr>
            <w:hyperlink w:anchor="page43">
              <w:r>
                <w:rPr>
                  <w:rFonts w:ascii="Arial" w:cs="Arial" w:eastAsia="Arial" w:hAnsi="Arial"/>
                  <w:sz w:val="18"/>
                  <w:szCs w:val="18"/>
                  <w:color w:val="0094FF"/>
                </w:rPr>
                <w:t>44</w:t>
              </w:r>
            </w:hyperlink>
          </w:p>
        </w:tc>
      </w:tr>
      <w:tr>
        <w:trPr>
          <w:trHeight w:val="20"/>
        </w:trPr>
        <w:tc>
          <w:tcPr>
            <w:tcW w:w="500" w:type="dxa"/>
            <w:vAlign w:val="bottom"/>
            <w:shd w:val="clear" w:color="auto" w:fill="0094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94FF"/>
          </w:tcPr>
          <w:p>
            <w:pPr>
              <w:spacing w:after="0" w:line="20" w:lineRule="exact"/>
              <w:rPr>
                <w:sz w:val="1"/>
                <w:szCs w:val="1"/>
                <w:color w:val="auto"/>
              </w:rPr>
            </w:pPr>
          </w:p>
        </w:tc>
        <w:tc>
          <w:tcPr>
            <w:tcW w:w="400" w:type="dxa"/>
            <w:vAlign w:val="bottom"/>
            <w:shd w:val="clear" w:color="auto" w:fill="0094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94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760" w:type="dxa"/>
            <w:vAlign w:val="bottom"/>
            <w:gridSpan w:val="3"/>
          </w:tcPr>
          <w:p>
            <w:pPr>
              <w:spacing w:after="0"/>
              <w:rPr>
                <w:rFonts w:ascii="Arial" w:cs="Arial" w:eastAsia="Arial" w:hAnsi="Arial"/>
                <w:sz w:val="18"/>
                <w:szCs w:val="18"/>
                <w:color w:val="0094FF"/>
                <w:w w:val="85"/>
              </w:rPr>
            </w:pPr>
            <w:hyperlink w:anchor="page44">
              <w:r>
                <w:rPr>
                  <w:rFonts w:ascii="Arial" w:cs="Arial" w:eastAsia="Arial" w:hAnsi="Arial"/>
                  <w:sz w:val="18"/>
                  <w:szCs w:val="18"/>
                  <w:color w:val="0094FF"/>
                  <w:w w:val="85"/>
                </w:rPr>
                <w:t>Signatures</w:t>
              </w:r>
            </w:hyperlink>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20" w:type="dxa"/>
            <w:vAlign w:val="bottom"/>
            <w:gridSpan w:val="4"/>
          </w:tcPr>
          <w:p>
            <w:pPr>
              <w:jc w:val="right"/>
              <w:ind w:right="20"/>
              <w:spacing w:after="0"/>
              <w:rPr>
                <w:rFonts w:ascii="Arial" w:cs="Arial" w:eastAsia="Arial" w:hAnsi="Arial"/>
                <w:sz w:val="18"/>
                <w:szCs w:val="18"/>
                <w:color w:val="0094FF"/>
              </w:rPr>
            </w:pPr>
            <w:hyperlink w:anchor="page44">
              <w:r>
                <w:rPr>
                  <w:rFonts w:ascii="Arial" w:cs="Arial" w:eastAsia="Arial" w:hAnsi="Arial"/>
                  <w:sz w:val="18"/>
                  <w:szCs w:val="18"/>
                  <w:color w:val="0094FF"/>
                </w:rPr>
                <w:t>45</w:t>
              </w:r>
            </w:hyperlink>
          </w:p>
        </w:tc>
      </w:tr>
      <w:tr>
        <w:trPr>
          <w:trHeight w:val="20"/>
        </w:trPr>
        <w:tc>
          <w:tcPr>
            <w:tcW w:w="760" w:type="dxa"/>
            <w:vAlign w:val="bottom"/>
            <w:gridSpan w:val="3"/>
            <w:shd w:val="clear" w:color="auto" w:fill="0094FF"/>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9120" w:type="dxa"/>
            <w:vAlign w:val="bottom"/>
            <w:gridSpan w:val="17"/>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94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240" w:type="dxa"/>
            <w:vAlign w:val="bottom"/>
            <w:gridSpan w:val="5"/>
          </w:tcPr>
          <w:p>
            <w:pPr>
              <w:spacing w:after="0"/>
              <w:rPr>
                <w:rFonts w:ascii="Arial" w:cs="Arial" w:eastAsia="Arial" w:hAnsi="Arial"/>
                <w:sz w:val="18"/>
                <w:szCs w:val="18"/>
                <w:color w:val="0094FF"/>
                <w:w w:val="92"/>
              </w:rPr>
            </w:pPr>
            <w:hyperlink w:anchor="page45">
              <w:r>
                <w:rPr>
                  <w:rFonts w:ascii="Arial" w:cs="Arial" w:eastAsia="Arial" w:hAnsi="Arial"/>
                  <w:sz w:val="18"/>
                  <w:szCs w:val="18"/>
                  <w:color w:val="0094FF"/>
                  <w:w w:val="92"/>
                </w:rPr>
                <w:t>Index to Exhibits</w:t>
              </w:r>
            </w:hyperlink>
          </w:p>
        </w:tc>
        <w:tc>
          <w:tcPr>
            <w:tcW w:w="9120" w:type="dxa"/>
            <w:vAlign w:val="bottom"/>
            <w:gridSpan w:val="17"/>
          </w:tcPr>
          <w:p>
            <w:pPr>
              <w:spacing w:after="0"/>
              <w:rPr>
                <w:sz w:val="21"/>
                <w:szCs w:val="21"/>
                <w:color w:val="auto"/>
              </w:rPr>
            </w:pPr>
          </w:p>
        </w:tc>
        <w:tc>
          <w:tcPr>
            <w:tcW w:w="1020" w:type="dxa"/>
            <w:vAlign w:val="bottom"/>
            <w:gridSpan w:val="4"/>
          </w:tcPr>
          <w:p>
            <w:pPr>
              <w:jc w:val="right"/>
              <w:ind w:right="20"/>
              <w:spacing w:after="0"/>
              <w:rPr>
                <w:rFonts w:ascii="Arial" w:cs="Arial" w:eastAsia="Arial" w:hAnsi="Arial"/>
                <w:sz w:val="18"/>
                <w:szCs w:val="18"/>
                <w:color w:val="0094FF"/>
              </w:rPr>
            </w:pPr>
            <w:hyperlink w:anchor="page45">
              <w:r>
                <w:rPr>
                  <w:rFonts w:ascii="Arial" w:cs="Arial" w:eastAsia="Arial" w:hAnsi="Arial"/>
                  <w:sz w:val="18"/>
                  <w:szCs w:val="18"/>
                  <w:color w:val="0094FF"/>
                </w:rPr>
                <w:t>46</w:t>
              </w:r>
            </w:hyperlink>
          </w:p>
        </w:tc>
      </w:tr>
      <w:tr>
        <w:trPr>
          <w:trHeight w:val="507"/>
        </w:trPr>
        <w:tc>
          <w:tcPr>
            <w:tcW w:w="500" w:type="dxa"/>
            <w:vAlign w:val="bottom"/>
            <w:tcBorders>
              <w:top w:val="single" w:sz="8" w:color="0094FF"/>
            </w:tcBorders>
          </w:tcPr>
          <w:p>
            <w:pPr>
              <w:spacing w:after="0"/>
              <w:rPr>
                <w:sz w:val="24"/>
                <w:szCs w:val="24"/>
                <w:color w:val="auto"/>
              </w:rPr>
            </w:pPr>
          </w:p>
        </w:tc>
        <w:tc>
          <w:tcPr>
            <w:tcW w:w="140" w:type="dxa"/>
            <w:vAlign w:val="bottom"/>
            <w:tcBorders>
              <w:top w:val="single" w:sz="8" w:color="0094FF"/>
            </w:tcBorders>
          </w:tcPr>
          <w:p>
            <w:pPr>
              <w:spacing w:after="0"/>
              <w:rPr>
                <w:sz w:val="24"/>
                <w:szCs w:val="24"/>
                <w:color w:val="auto"/>
              </w:rPr>
            </w:pPr>
          </w:p>
        </w:tc>
        <w:tc>
          <w:tcPr>
            <w:tcW w:w="120" w:type="dxa"/>
            <w:vAlign w:val="bottom"/>
            <w:tcBorders>
              <w:top w:val="single" w:sz="8" w:color="0094FF"/>
            </w:tcBorders>
          </w:tcPr>
          <w:p>
            <w:pPr>
              <w:spacing w:after="0"/>
              <w:rPr>
                <w:sz w:val="24"/>
                <w:szCs w:val="24"/>
                <w:color w:val="auto"/>
              </w:rPr>
            </w:pPr>
          </w:p>
        </w:tc>
        <w:tc>
          <w:tcPr>
            <w:tcW w:w="280" w:type="dxa"/>
            <w:vAlign w:val="bottom"/>
            <w:tcBorders>
              <w:top w:val="single" w:sz="8" w:color="0094FF"/>
            </w:tcBorders>
          </w:tcPr>
          <w:p>
            <w:pPr>
              <w:spacing w:after="0"/>
              <w:rPr>
                <w:sz w:val="24"/>
                <w:szCs w:val="24"/>
                <w:color w:val="auto"/>
              </w:rPr>
            </w:pPr>
          </w:p>
        </w:tc>
        <w:tc>
          <w:tcPr>
            <w:tcW w:w="200" w:type="dxa"/>
            <w:vAlign w:val="bottom"/>
            <w:tcBorders>
              <w:top w:val="single" w:sz="8" w:color="0094FF"/>
            </w:tcBorders>
          </w:tcPr>
          <w:p>
            <w:pPr>
              <w:spacing w:after="0"/>
              <w:rPr>
                <w:sz w:val="24"/>
                <w:szCs w:val="24"/>
                <w:color w:val="auto"/>
              </w:rPr>
            </w:pPr>
          </w:p>
        </w:tc>
        <w:tc>
          <w:tcPr>
            <w:tcW w:w="6260" w:type="dxa"/>
            <w:vAlign w:val="bottom"/>
            <w:gridSpan w:val="12"/>
          </w:tcPr>
          <w:p>
            <w:pPr>
              <w:jc w:val="right"/>
              <w:ind w:right="1780"/>
              <w:spacing w:after="0"/>
              <w:rPr>
                <w:sz w:val="20"/>
                <w:szCs w:val="20"/>
                <w:color w:val="auto"/>
              </w:rPr>
            </w:pPr>
            <w:r>
              <w:rPr>
                <w:rFonts w:ascii="Arial" w:cs="Arial" w:eastAsia="Arial" w:hAnsi="Arial"/>
                <w:sz w:val="18"/>
                <w:szCs w:val="18"/>
                <w:color w:val="auto"/>
              </w:rPr>
              <w:t>2</w:t>
            </w:r>
          </w:p>
        </w:tc>
        <w:tc>
          <w:tcPr>
            <w:tcW w:w="1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Borders>
              <w:top w:val="single" w:sz="8" w:color="0094FF"/>
            </w:tcBorders>
          </w:tcPr>
          <w:p>
            <w:pPr>
              <w:spacing w:after="0"/>
              <w:rPr>
                <w:sz w:val="24"/>
                <w:szCs w:val="24"/>
                <w:color w:val="auto"/>
              </w:rPr>
            </w:pPr>
          </w:p>
        </w:tc>
        <w:tc>
          <w:tcPr>
            <w:tcW w:w="100" w:type="dxa"/>
            <w:vAlign w:val="bottom"/>
            <w:tcBorders>
              <w:top w:val="single" w:sz="8" w:color="0094FF"/>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2" w:name="page3"/>
    <w:bookmarkEnd w:id="2"/>
    <w:p>
      <w:pPr>
        <w:spacing w:after="0"/>
        <w:rPr>
          <w:rFonts w:ascii="Arial" w:cs="Arial" w:eastAsia="Arial" w:hAnsi="Arial"/>
          <w:sz w:val="18"/>
          <w:szCs w:val="18"/>
          <w:color w:val="FFFFFF"/>
        </w:rPr>
      </w:pPr>
      <w:hyperlink w:anchor="page1">
        <w:r>
          <w:rPr>
            <w:rFonts w:ascii="Arial" w:cs="Arial" w:eastAsia="Arial" w:hAnsi="Arial"/>
            <w:sz w:val="18"/>
            <w:szCs w:val="18"/>
            <w:color w:val="FFFF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I—FINANCIAL INFORMATION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44"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THE SCOTTS MIRACLE-GRO COMPANY</w:t>
      </w:r>
    </w:p>
    <w:p>
      <w:pPr>
        <w:spacing w:after="0" w:line="144" w:lineRule="exact"/>
        <w:rPr>
          <w:sz w:val="20"/>
          <w:szCs w:val="20"/>
          <w:color w:val="auto"/>
        </w:rPr>
      </w:pPr>
    </w:p>
    <w:p>
      <w:pPr>
        <w:ind w:left="376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common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4"/>
          </w:tcPr>
          <w:p>
            <w:pPr>
              <w:jc w:val="right"/>
              <w:ind w:right="571"/>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52"/>
        </w:trPr>
        <w:tc>
          <w:tcPr>
            <w:tcW w:w="8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4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DECEMBER 27,</w:t>
            </w:r>
          </w:p>
        </w:tc>
        <w:tc>
          <w:tcPr>
            <w:tcW w:w="160" w:type="dxa"/>
            <w:vAlign w:val="bottom"/>
          </w:tcPr>
          <w:p>
            <w:pPr>
              <w:spacing w:after="0"/>
              <w:rPr>
                <w:sz w:val="13"/>
                <w:szCs w:val="13"/>
                <w:color w:val="auto"/>
              </w:rPr>
            </w:pPr>
          </w:p>
        </w:tc>
        <w:tc>
          <w:tcPr>
            <w:tcW w:w="1320" w:type="dxa"/>
            <w:vAlign w:val="bottom"/>
          </w:tcPr>
          <w:p>
            <w:pPr>
              <w:jc w:val="right"/>
              <w:ind w:right="151"/>
              <w:spacing w:after="0" w:line="153" w:lineRule="exact"/>
              <w:rPr>
                <w:sz w:val="20"/>
                <w:szCs w:val="20"/>
                <w:color w:val="auto"/>
              </w:rPr>
            </w:pPr>
            <w:r>
              <w:rPr>
                <w:rFonts w:ascii="Arial" w:cs="Arial" w:eastAsia="Arial" w:hAnsi="Arial"/>
                <w:sz w:val="14"/>
                <w:szCs w:val="14"/>
                <w:b w:val="1"/>
                <w:bCs w:val="1"/>
                <w:color w:val="auto"/>
              </w:rPr>
              <w:t>DECEMBER 28,</w:t>
            </w:r>
          </w:p>
        </w:tc>
        <w:tc>
          <w:tcPr>
            <w:tcW w:w="0" w:type="dxa"/>
            <w:vAlign w:val="bottom"/>
          </w:tcPr>
          <w:p>
            <w:pPr>
              <w:spacing w:after="0"/>
              <w:rPr>
                <w:sz w:val="1"/>
                <w:szCs w:val="1"/>
                <w:color w:val="auto"/>
              </w:rPr>
            </w:pPr>
          </w:p>
        </w:tc>
      </w:tr>
      <w:tr>
        <w:trPr>
          <w:trHeight w:val="192"/>
        </w:trPr>
        <w:tc>
          <w:tcPr>
            <w:tcW w:w="834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216.2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189.6</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16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186.9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155.7</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Gross profit</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33.9</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1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Selling, general and administrative</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126.9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124.3</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Impairment, restructuring and other</w:t>
            </w:r>
          </w:p>
        </w:tc>
        <w:tc>
          <w:tcPr>
            <w:tcW w:w="16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income, net</w:t>
            </w: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7"/>
        </w:trPr>
        <w:tc>
          <w:tcPr>
            <w:tcW w:w="8340" w:type="dxa"/>
            <w:vAlign w:val="bottom"/>
          </w:tcPr>
          <w:p>
            <w:pPr>
              <w:ind w:left="720"/>
              <w:spacing w:after="0"/>
              <w:rPr>
                <w:sz w:val="20"/>
                <w:szCs w:val="20"/>
                <w:color w:val="auto"/>
              </w:rPr>
            </w:pPr>
            <w:r>
              <w:rPr>
                <w:rFonts w:ascii="Arial" w:cs="Arial" w:eastAsia="Arial" w:hAnsi="Arial"/>
                <w:sz w:val="18"/>
                <w:szCs w:val="18"/>
                <w:color w:val="auto"/>
              </w:rPr>
              <w:t>Loss from operations</w:t>
            </w:r>
          </w:p>
        </w:tc>
        <w:tc>
          <w:tcPr>
            <w:tcW w:w="1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(106.0)</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(89.7)</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37"/>
        </w:trPr>
        <w:tc>
          <w:tcPr>
            <w:tcW w:w="8340" w:type="dxa"/>
            <w:vAlign w:val="bottom"/>
          </w:tcPr>
          <w:p>
            <w:pPr>
              <w:ind w:left="720"/>
              <w:spacing w:after="0"/>
              <w:rPr>
                <w:sz w:val="20"/>
                <w:szCs w:val="20"/>
                <w:color w:val="auto"/>
              </w:rPr>
            </w:pPr>
            <w:r>
              <w:rPr>
                <w:rFonts w:ascii="Arial" w:cs="Arial" w:eastAsia="Arial" w:hAnsi="Arial"/>
                <w:sz w:val="18"/>
                <w:szCs w:val="18"/>
                <w:color w:val="auto"/>
              </w:rPr>
              <w:t>Loss from continuing operations before income taxes</w:t>
            </w:r>
          </w:p>
        </w:tc>
        <w:tc>
          <w:tcPr>
            <w:tcW w:w="1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(115.7)</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(103.6)</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benefit from continuing operations</w:t>
            </w: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(37.9)</w:t>
            </w:r>
          </w:p>
        </w:tc>
        <w:tc>
          <w:tcPr>
            <w:tcW w:w="0" w:type="dxa"/>
            <w:vAlign w:val="bottom"/>
          </w:tcPr>
          <w:p>
            <w:pPr>
              <w:spacing w:after="0"/>
              <w:rPr>
                <w:sz w:val="1"/>
                <w:szCs w:val="1"/>
                <w:color w:val="auto"/>
              </w:rPr>
            </w:pPr>
          </w:p>
        </w:tc>
      </w:tr>
      <w:tr>
        <w:trPr>
          <w:trHeight w:val="237"/>
        </w:trPr>
        <w:tc>
          <w:tcPr>
            <w:tcW w:w="8340" w:type="dxa"/>
            <w:vAlign w:val="bottom"/>
          </w:tcPr>
          <w:p>
            <w:pPr>
              <w:ind w:left="720"/>
              <w:spacing w:after="0"/>
              <w:rPr>
                <w:sz w:val="20"/>
                <w:szCs w:val="20"/>
                <w:color w:val="auto"/>
              </w:rPr>
            </w:pPr>
            <w:r>
              <w:rPr>
                <w:rFonts w:ascii="Arial" w:cs="Arial" w:eastAsia="Arial" w:hAnsi="Arial"/>
                <w:sz w:val="18"/>
                <w:szCs w:val="18"/>
                <w:color w:val="auto"/>
              </w:rPr>
              <w:t>Loss from continuing operations</w:t>
            </w:r>
          </w:p>
        </w:tc>
        <w:tc>
          <w:tcPr>
            <w:tcW w:w="1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(74.0)</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(65.7)</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discontinued operations, net of tax</w:t>
            </w: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37"/>
        </w:trPr>
        <w:tc>
          <w:tcPr>
            <w:tcW w:w="8340" w:type="dxa"/>
            <w:vAlign w:val="bottom"/>
          </w:tcPr>
          <w:p>
            <w:pPr>
              <w:ind w:left="720"/>
              <w:spacing w:after="0"/>
              <w:rPr>
                <w:sz w:val="20"/>
                <w:szCs w:val="20"/>
                <w:color w:val="auto"/>
              </w:rPr>
            </w:pPr>
            <w:r>
              <w:rPr>
                <w:rFonts w:ascii="Arial" w:cs="Arial" w:eastAsia="Arial" w:hAnsi="Arial"/>
                <w:sz w:val="18"/>
                <w:szCs w:val="18"/>
                <w:color w:val="auto"/>
              </w:rPr>
              <w:t>Net loss</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(74.0)</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(65.6)</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noncontrolling interest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Net loss attributable to controlling interest</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(74.6)</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(65.6)</w:t>
            </w:r>
          </w:p>
        </w:tc>
        <w:tc>
          <w:tcPr>
            <w:tcW w:w="0" w:type="dxa"/>
            <w:vAlign w:val="bottom"/>
          </w:tcPr>
          <w:p>
            <w:pPr>
              <w:spacing w:after="0"/>
              <w:rPr>
                <w:sz w:val="1"/>
                <w:szCs w:val="1"/>
                <w:color w:val="auto"/>
              </w:rPr>
            </w:pPr>
          </w:p>
        </w:tc>
      </w:tr>
      <w:tr>
        <w:trPr>
          <w:trHeight w:val="67"/>
        </w:trPr>
        <w:tc>
          <w:tcPr>
            <w:tcW w:w="834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834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Basic loss per common share:</w:t>
            </w:r>
          </w:p>
        </w:tc>
        <w:tc>
          <w:tcPr>
            <w:tcW w:w="16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Loss from continuing operations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from discontinued operations</w:t>
            </w: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Basic loss per common share</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67"/>
        </w:trPr>
        <w:tc>
          <w:tcPr>
            <w:tcW w:w="834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834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Weighted-average common shares outstanding during the period</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60.8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62.1</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Diluted loss per common share:</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34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3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3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Loss from continuing operations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Income from discontinued operations</w:t>
            </w:r>
          </w:p>
        </w:tc>
        <w:tc>
          <w:tcPr>
            <w:tcW w:w="160" w:type="dxa"/>
            <w:vAlign w:val="bottom"/>
          </w:tcPr>
          <w:p>
            <w:pPr>
              <w:spacing w:after="0"/>
              <w:rPr>
                <w:sz w:val="21"/>
                <w:szCs w:val="21"/>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loss per common share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Weighted-average common shares outstanding during the period plus dilutive potential common shares</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34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60.8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62.1</w:t>
            </w:r>
          </w:p>
        </w:tc>
        <w:tc>
          <w:tcPr>
            <w:tcW w:w="0" w:type="dxa"/>
            <w:vAlign w:val="bottom"/>
          </w:tcPr>
          <w:p>
            <w:pPr>
              <w:spacing w:after="0"/>
              <w:rPr>
                <w:sz w:val="1"/>
                <w:szCs w:val="1"/>
                <w:color w:val="auto"/>
              </w:rPr>
            </w:pPr>
          </w:p>
        </w:tc>
      </w:tr>
      <w:tr>
        <w:trPr>
          <w:trHeight w:val="67"/>
        </w:trPr>
        <w:tc>
          <w:tcPr>
            <w:tcW w:w="834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834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Dividends declared per common share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0.450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0.438</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5" w:right="239" w:bottom="1440" w:gutter="0" w:footer="0" w:header="0"/>
        </w:sectPr>
      </w:pPr>
    </w:p>
    <w:bookmarkStart w:id="3" w:name="page4"/>
    <w:bookmarkEnd w:id="3"/>
    <w:p>
      <w:pPr>
        <w:spacing w:after="0"/>
        <w:rPr>
          <w:rFonts w:ascii="Arial" w:cs="Arial" w:eastAsia="Arial" w:hAnsi="Arial"/>
          <w:sz w:val="18"/>
          <w:szCs w:val="18"/>
          <w:color w:val="FFFFFF"/>
        </w:rPr>
      </w:pPr>
      <w:hyperlink w:anchor="page1">
        <w:r>
          <w:rPr>
            <w:rFonts w:ascii="Arial" w:cs="Arial" w:eastAsia="Arial" w:hAnsi="Arial"/>
            <w:sz w:val="18"/>
            <w:szCs w:val="18"/>
            <w:color w:val="FFFFFF"/>
          </w:rPr>
          <w:t>Table of Contents</w:t>
        </w:r>
      </w:hyperlink>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 (Loss)</w:t>
      </w:r>
    </w:p>
    <w:p>
      <w:pPr>
        <w:spacing w:after="0" w:line="27"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120" w:type="dxa"/>
            <w:vAlign w:val="bottom"/>
            <w:tcBorders>
              <w:bottom w:val="single" w:sz="8" w:color="auto"/>
            </w:tcBorders>
            <w:gridSpan w:val="4"/>
          </w:tcPr>
          <w:p>
            <w:pPr>
              <w:jc w:val="right"/>
              <w:ind w:right="694"/>
              <w:spacing w:after="0"/>
              <w:rPr>
                <w:sz w:val="20"/>
                <w:szCs w:val="20"/>
                <w:color w:val="auto"/>
              </w:rPr>
            </w:pPr>
            <w:r>
              <w:rPr>
                <w:rFonts w:ascii="Arial" w:cs="Arial" w:eastAsia="Arial" w:hAnsi="Arial"/>
                <w:sz w:val="14"/>
                <w:szCs w:val="14"/>
                <w:b w:val="1"/>
                <w:bCs w:val="1"/>
                <w:color w:val="auto"/>
              </w:rPr>
              <w:t>THREE MONTHS ENDED</w:t>
            </w:r>
          </w:p>
        </w:tc>
      </w:tr>
      <w:tr>
        <w:trPr>
          <w:trHeight w:val="152"/>
        </w:trPr>
        <w:tc>
          <w:tcPr>
            <w:tcW w:w="8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2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DECEMBER 27,</w:t>
            </w:r>
          </w:p>
        </w:tc>
        <w:tc>
          <w:tcPr>
            <w:tcW w:w="200" w:type="dxa"/>
            <w:vAlign w:val="bottom"/>
          </w:tcPr>
          <w:p>
            <w:pPr>
              <w:spacing w:after="0"/>
              <w:rPr>
                <w:sz w:val="13"/>
                <w:szCs w:val="13"/>
                <w:color w:val="auto"/>
              </w:rPr>
            </w:pPr>
          </w:p>
        </w:tc>
        <w:tc>
          <w:tcPr>
            <w:tcW w:w="1400" w:type="dxa"/>
            <w:vAlign w:val="bottom"/>
          </w:tcPr>
          <w:p>
            <w:pPr>
              <w:jc w:val="right"/>
              <w:ind w:right="214"/>
              <w:spacing w:after="0" w:line="153" w:lineRule="exact"/>
              <w:rPr>
                <w:sz w:val="20"/>
                <w:szCs w:val="20"/>
                <w:color w:val="auto"/>
              </w:rPr>
            </w:pPr>
            <w:r>
              <w:rPr>
                <w:rFonts w:ascii="Arial" w:cs="Arial" w:eastAsia="Arial" w:hAnsi="Arial"/>
                <w:sz w:val="14"/>
                <w:szCs w:val="14"/>
                <w:b w:val="1"/>
                <w:bCs w:val="1"/>
                <w:color w:val="auto"/>
              </w:rPr>
              <w:t>DECEMBER 28,</w:t>
            </w:r>
          </w:p>
        </w:tc>
      </w:tr>
      <w:tr>
        <w:trPr>
          <w:trHeight w:val="192"/>
        </w:trPr>
        <w:tc>
          <w:tcPr>
            <w:tcW w:w="8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2013</w:t>
            </w: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(65.6)</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7"/>
        </w:trPr>
        <w:tc>
          <w:tcPr>
            <w:tcW w:w="8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foreign currency translation adjustment</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43"/>
        </w:trPr>
        <w:tc>
          <w:tcPr>
            <w:tcW w:w="8120" w:type="dxa"/>
            <w:vAlign w:val="bottom"/>
          </w:tcPr>
          <w:p>
            <w:pPr>
              <w:ind w:left="500"/>
              <w:spacing w:after="0"/>
              <w:rPr>
                <w:sz w:val="20"/>
                <w:szCs w:val="20"/>
                <w:color w:val="auto"/>
              </w:rPr>
            </w:pPr>
            <w:r>
              <w:rPr>
                <w:rFonts w:ascii="Arial" w:cs="Arial" w:eastAsia="Arial" w:hAnsi="Arial"/>
                <w:sz w:val="18"/>
                <w:szCs w:val="18"/>
                <w:color w:val="auto"/>
              </w:rPr>
              <w:t>Net unrealized gains (loss) on derivative instruments, net of tax of $(0.7) and $0.2, respectively</w:t>
            </w: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4"/>
              <w:spacing w:after="0"/>
              <w:rPr>
                <w:sz w:val="20"/>
                <w:szCs w:val="20"/>
                <w:color w:val="auto"/>
              </w:rPr>
            </w:pPr>
            <w:r>
              <w:rPr>
                <w:rFonts w:ascii="Arial" w:cs="Arial" w:eastAsia="Arial" w:hAnsi="Arial"/>
                <w:sz w:val="18"/>
                <w:szCs w:val="18"/>
                <w:color w:val="auto"/>
              </w:rPr>
              <w:t>0.4</w:t>
            </w:r>
          </w:p>
        </w:tc>
      </w:tr>
      <w:tr>
        <w:trPr>
          <w:trHeight w:val="27"/>
        </w:trPr>
        <w:tc>
          <w:tcPr>
            <w:tcW w:w="8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29"/>
        </w:trPr>
        <w:tc>
          <w:tcPr>
            <w:tcW w:w="81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Reclassification of net unrealized loss on derivatives to net income, net of tax of $0.6 and $1.9,</w:t>
            </w: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37"/>
        </w:trPr>
        <w:tc>
          <w:tcPr>
            <w:tcW w:w="81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respectively</w:t>
            </w:r>
          </w:p>
        </w:tc>
        <w:tc>
          <w:tcPr>
            <w:tcW w:w="1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3.1</w:t>
            </w:r>
          </w:p>
        </w:tc>
      </w:tr>
      <w:tr>
        <w:trPr>
          <w:trHeight w:val="229"/>
        </w:trPr>
        <w:tc>
          <w:tcPr>
            <w:tcW w:w="8120" w:type="dxa"/>
            <w:vAlign w:val="bottom"/>
          </w:tcPr>
          <w:p>
            <w:pPr>
              <w:ind w:left="500"/>
              <w:spacing w:after="0"/>
              <w:rPr>
                <w:sz w:val="20"/>
                <w:szCs w:val="20"/>
                <w:color w:val="auto"/>
              </w:rPr>
            </w:pPr>
            <w:r>
              <w:rPr>
                <w:rFonts w:ascii="Arial" w:cs="Arial" w:eastAsia="Arial" w:hAnsi="Arial"/>
                <w:sz w:val="18"/>
                <w:szCs w:val="18"/>
                <w:color w:val="auto"/>
              </w:rPr>
              <w:t>Net unrealized (loss) in pension and other post-retirement benefits, net of tax of $0.0 and $0.2,</w:t>
            </w: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30"/>
        </w:trPr>
        <w:tc>
          <w:tcPr>
            <w:tcW w:w="8120" w:type="dxa"/>
            <w:vAlign w:val="bottom"/>
          </w:tcPr>
          <w:p>
            <w:pPr>
              <w:ind w:left="500"/>
              <w:spacing w:after="0"/>
              <w:rPr>
                <w:sz w:val="20"/>
                <w:szCs w:val="20"/>
                <w:color w:val="auto"/>
              </w:rPr>
            </w:pPr>
            <w:r>
              <w:rPr>
                <w:rFonts w:ascii="Arial" w:cs="Arial" w:eastAsia="Arial" w:hAnsi="Arial"/>
                <w:sz w:val="18"/>
                <w:szCs w:val="18"/>
                <w:color w:val="auto"/>
              </w:rPr>
              <w:t>respectively</w:t>
            </w:r>
          </w:p>
        </w:tc>
        <w:tc>
          <w:tcPr>
            <w:tcW w:w="180" w:type="dxa"/>
            <w:vAlign w:val="bottom"/>
          </w:tcPr>
          <w:p>
            <w:pPr>
              <w:spacing w:after="0"/>
              <w:rPr>
                <w:sz w:val="20"/>
                <w:szCs w:val="20"/>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(0.3)</w:t>
            </w:r>
          </w:p>
        </w:tc>
      </w:tr>
      <w:tr>
        <w:trPr>
          <w:trHeight w:val="27"/>
        </w:trPr>
        <w:tc>
          <w:tcPr>
            <w:tcW w:w="8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29"/>
        </w:trPr>
        <w:tc>
          <w:tcPr>
            <w:tcW w:w="8120" w:type="dxa"/>
            <w:vAlign w:val="bottom"/>
            <w:shd w:val="clear" w:color="auto" w:fill="CCEEFF"/>
          </w:tcPr>
          <w:p>
            <w:pPr>
              <w:ind w:left="500"/>
              <w:spacing w:after="0"/>
              <w:rPr>
                <w:sz w:val="20"/>
                <w:szCs w:val="20"/>
                <w:color w:val="auto"/>
              </w:rPr>
            </w:pPr>
            <w:r>
              <w:rPr>
                <w:rFonts w:ascii="Arial" w:cs="Arial" w:eastAsia="Arial" w:hAnsi="Arial"/>
                <w:sz w:val="18"/>
                <w:szCs w:val="18"/>
                <w:color w:val="auto"/>
                <w:w w:val="91"/>
              </w:rPr>
              <w:t>Reclassification of net pension and post-retirement benefit income (loss) to net income, net of tax of $0.5</w:t>
            </w: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57"/>
        </w:trPr>
        <w:tc>
          <w:tcPr>
            <w:tcW w:w="81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and $0.5, respectively</w:t>
            </w:r>
          </w:p>
        </w:tc>
        <w:tc>
          <w:tcPr>
            <w:tcW w:w="1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0.8</w:t>
            </w:r>
          </w:p>
        </w:tc>
      </w:tr>
      <w:tr>
        <w:trPr>
          <w:trHeight w:val="237"/>
        </w:trPr>
        <w:tc>
          <w:tcPr>
            <w:tcW w:w="8120" w:type="dxa"/>
            <w:vAlign w:val="bottom"/>
          </w:tcPr>
          <w:p>
            <w:pPr>
              <w:ind w:left="40"/>
              <w:spacing w:after="0"/>
              <w:rPr>
                <w:sz w:val="20"/>
                <w:szCs w:val="20"/>
                <w:color w:val="auto"/>
              </w:rPr>
            </w:pPr>
            <w:r>
              <w:rPr>
                <w:rFonts w:ascii="Arial" w:cs="Arial" w:eastAsia="Arial" w:hAnsi="Arial"/>
                <w:sz w:val="18"/>
                <w:szCs w:val="18"/>
                <w:color w:val="auto"/>
              </w:rPr>
              <w:t>Total other comprehensive (loss) income</w:t>
            </w: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2.6</w:t>
            </w:r>
          </w:p>
        </w:tc>
      </w:tr>
      <w:tr>
        <w:trPr>
          <w:trHeight w:val="27"/>
        </w:trPr>
        <w:tc>
          <w:tcPr>
            <w:tcW w:w="8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69"/>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loss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(63.0)</w:t>
            </w: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5" w:right="239" w:bottom="1440" w:gutter="0" w:footer="0" w:header="0"/>
        </w:sectPr>
      </w:pPr>
    </w:p>
    <w:bookmarkStart w:id="4" w:name="page5"/>
    <w:bookmarkEnd w:id="4"/>
    <w:p>
      <w:pPr>
        <w:spacing w:after="0"/>
        <w:rPr>
          <w:rFonts w:ascii="Arial" w:cs="Arial" w:eastAsia="Arial" w:hAnsi="Arial"/>
          <w:sz w:val="18"/>
          <w:szCs w:val="18"/>
          <w:color w:val="FFFFFF"/>
        </w:rPr>
      </w:pPr>
      <w:hyperlink w:anchor="page1">
        <w:r>
          <w:rPr>
            <w:rFonts w:ascii="Arial" w:cs="Arial" w:eastAsia="Arial" w:hAnsi="Arial"/>
            <w:sz w:val="18"/>
            <w:szCs w:val="18"/>
            <w:color w:val="FFFF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(Unaudited)</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120" w:type="dxa"/>
            <w:vAlign w:val="bottom"/>
            <w:tcBorders>
              <w:bottom w:val="single" w:sz="8" w:color="auto"/>
            </w:tcBorders>
            <w:gridSpan w:val="4"/>
          </w:tcPr>
          <w:p>
            <w:pPr>
              <w:jc w:val="right"/>
              <w:ind w:right="691"/>
              <w:spacing w:after="0"/>
              <w:rPr>
                <w:sz w:val="20"/>
                <w:szCs w:val="20"/>
                <w:color w:val="auto"/>
              </w:rPr>
            </w:pPr>
            <w:r>
              <w:rPr>
                <w:rFonts w:ascii="Arial" w:cs="Arial" w:eastAsia="Arial" w:hAnsi="Arial"/>
                <w:sz w:val="14"/>
                <w:szCs w:val="14"/>
                <w:b w:val="1"/>
                <w:bCs w:val="1"/>
                <w:color w:val="auto"/>
              </w:rPr>
              <w:t>THREE MONTHS ENDED</w:t>
            </w:r>
          </w:p>
        </w:tc>
      </w:tr>
      <w:tr>
        <w:trPr>
          <w:trHeight w:val="152"/>
        </w:trPr>
        <w:tc>
          <w:tcPr>
            <w:tcW w:w="8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2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DECEMBER 27,</w:t>
            </w:r>
          </w:p>
        </w:tc>
        <w:tc>
          <w:tcPr>
            <w:tcW w:w="200" w:type="dxa"/>
            <w:vAlign w:val="bottom"/>
          </w:tcPr>
          <w:p>
            <w:pPr>
              <w:spacing w:after="0"/>
              <w:rPr>
                <w:sz w:val="13"/>
                <w:szCs w:val="13"/>
                <w:color w:val="auto"/>
              </w:rPr>
            </w:pPr>
          </w:p>
        </w:tc>
        <w:tc>
          <w:tcPr>
            <w:tcW w:w="1400" w:type="dxa"/>
            <w:vAlign w:val="bottom"/>
          </w:tcPr>
          <w:p>
            <w:pPr>
              <w:jc w:val="right"/>
              <w:ind w:right="211"/>
              <w:spacing w:after="0" w:line="153" w:lineRule="exact"/>
              <w:rPr>
                <w:sz w:val="20"/>
                <w:szCs w:val="20"/>
                <w:color w:val="auto"/>
              </w:rPr>
            </w:pPr>
            <w:r>
              <w:rPr>
                <w:rFonts w:ascii="Arial" w:cs="Arial" w:eastAsia="Arial" w:hAnsi="Arial"/>
                <w:sz w:val="14"/>
                <w:szCs w:val="14"/>
                <w:b w:val="1"/>
                <w:bCs w:val="1"/>
                <w:color w:val="auto"/>
              </w:rPr>
              <w:t>DECEMBER 28,</w:t>
            </w:r>
          </w:p>
        </w:tc>
      </w:tr>
      <w:tr>
        <w:trPr>
          <w:trHeight w:val="192"/>
        </w:trPr>
        <w:tc>
          <w:tcPr>
            <w:tcW w:w="8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2013</w:t>
            </w: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ACTIVITIES</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tcPr>
          <w:p>
            <w:pPr>
              <w:ind w:left="380"/>
              <w:spacing w:after="0"/>
              <w:rPr>
                <w:sz w:val="20"/>
                <w:szCs w:val="20"/>
                <w:color w:val="auto"/>
              </w:rPr>
            </w:pPr>
            <w:r>
              <w:rPr>
                <w:rFonts w:ascii="Arial" w:cs="Arial" w:eastAsia="Arial" w:hAnsi="Arial"/>
                <w:sz w:val="18"/>
                <w:szCs w:val="18"/>
                <w:color w:val="auto"/>
              </w:rPr>
              <w:t>Net loss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(74.0)</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(65.6)</w:t>
            </w:r>
          </w:p>
        </w:tc>
      </w:tr>
      <w:tr>
        <w:trPr>
          <w:trHeight w:val="27"/>
        </w:trPr>
        <w:tc>
          <w:tcPr>
            <w:tcW w:w="8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tcPr>
          <w:p>
            <w:pPr>
              <w:ind w:left="720"/>
              <w:spacing w:after="0"/>
              <w:rPr>
                <w:sz w:val="20"/>
                <w:szCs w:val="20"/>
                <w:color w:val="auto"/>
              </w:rPr>
            </w:pPr>
            <w:r>
              <w:rPr>
                <w:rFonts w:ascii="Arial" w:cs="Arial" w:eastAsia="Arial" w:hAnsi="Arial"/>
                <w:sz w:val="18"/>
                <w:szCs w:val="18"/>
                <w:color w:val="auto"/>
              </w:rPr>
              <w:t>Impairment, restructuring and other</w:t>
            </w:r>
          </w:p>
        </w:tc>
        <w:tc>
          <w:tcPr>
            <w:tcW w:w="180" w:type="dxa"/>
            <w:vAlign w:val="bottom"/>
          </w:tcPr>
          <w:p>
            <w:pPr>
              <w:spacing w:after="0"/>
              <w:rPr>
                <w:sz w:val="21"/>
                <w:szCs w:val="21"/>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Share-based compensation expense</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w:t>
            </w:r>
          </w:p>
        </w:tc>
      </w:tr>
      <w:tr>
        <w:trPr>
          <w:trHeight w:val="243"/>
        </w:trPr>
        <w:tc>
          <w:tcPr>
            <w:tcW w:w="8120" w:type="dxa"/>
            <w:vAlign w:val="bottom"/>
          </w:tcPr>
          <w:p>
            <w:pPr>
              <w:ind w:left="720"/>
              <w:spacing w:after="0"/>
              <w:rPr>
                <w:sz w:val="20"/>
                <w:szCs w:val="20"/>
                <w:color w:val="auto"/>
              </w:rPr>
            </w:pPr>
            <w:r>
              <w:rPr>
                <w:rFonts w:ascii="Arial" w:cs="Arial" w:eastAsia="Arial" w:hAnsi="Arial"/>
                <w:sz w:val="18"/>
                <w:szCs w:val="18"/>
                <w:color w:val="auto"/>
              </w:rPr>
              <w:t>Depreciation</w:t>
            </w:r>
          </w:p>
        </w:tc>
        <w:tc>
          <w:tcPr>
            <w:tcW w:w="180" w:type="dxa"/>
            <w:vAlign w:val="bottom"/>
          </w:tcPr>
          <w:p>
            <w:pPr>
              <w:spacing w:after="0"/>
              <w:rPr>
                <w:sz w:val="21"/>
                <w:szCs w:val="21"/>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13.0</w:t>
            </w:r>
          </w:p>
        </w:tc>
      </w:tr>
      <w:tr>
        <w:trPr>
          <w:trHeight w:val="27"/>
        </w:trPr>
        <w:tc>
          <w:tcPr>
            <w:tcW w:w="8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Amortization</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w:t>
            </w:r>
          </w:p>
        </w:tc>
      </w:tr>
      <w:tr>
        <w:trPr>
          <w:trHeight w:val="243"/>
        </w:trPr>
        <w:tc>
          <w:tcPr>
            <w:tcW w:w="8120" w:type="dxa"/>
            <w:vAlign w:val="bottom"/>
          </w:tcPr>
          <w:p>
            <w:pPr>
              <w:ind w:left="720"/>
              <w:spacing w:after="0"/>
              <w:rPr>
                <w:sz w:val="20"/>
                <w:szCs w:val="20"/>
                <w:color w:val="auto"/>
              </w:rPr>
            </w:pPr>
            <w:r>
              <w:rPr>
                <w:rFonts w:ascii="Arial" w:cs="Arial" w:eastAsia="Arial" w:hAnsi="Arial"/>
                <w:sz w:val="18"/>
                <w:szCs w:val="18"/>
                <w:color w:val="auto"/>
              </w:rPr>
              <w:t>Loss on sale of assets</w:t>
            </w:r>
          </w:p>
        </w:tc>
        <w:tc>
          <w:tcPr>
            <w:tcW w:w="180" w:type="dxa"/>
            <w:vAlign w:val="bottom"/>
          </w:tcPr>
          <w:p>
            <w:pPr>
              <w:spacing w:after="0"/>
              <w:rPr>
                <w:sz w:val="21"/>
                <w:szCs w:val="21"/>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0.1</w:t>
            </w:r>
          </w:p>
        </w:tc>
      </w:tr>
      <w:tr>
        <w:trPr>
          <w:trHeight w:val="27"/>
        </w:trPr>
        <w:tc>
          <w:tcPr>
            <w:tcW w:w="8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Changes in assets and liabilities, net of acquired businesses:</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tcPr>
          <w:p>
            <w:pPr>
              <w:ind w:left="1140"/>
              <w:spacing w:after="0"/>
              <w:rPr>
                <w:sz w:val="20"/>
                <w:szCs w:val="20"/>
                <w:color w:val="auto"/>
              </w:rPr>
            </w:pPr>
            <w:r>
              <w:rPr>
                <w:rFonts w:ascii="Arial" w:cs="Arial" w:eastAsia="Arial" w:hAnsi="Arial"/>
                <w:sz w:val="18"/>
                <w:szCs w:val="18"/>
                <w:color w:val="auto"/>
              </w:rPr>
              <w:t>Accounts receivable</w:t>
            </w:r>
          </w:p>
        </w:tc>
        <w:tc>
          <w:tcPr>
            <w:tcW w:w="180" w:type="dxa"/>
            <w:vAlign w:val="bottom"/>
          </w:tcPr>
          <w:p>
            <w:pPr>
              <w:spacing w:after="0"/>
              <w:rPr>
                <w:sz w:val="21"/>
                <w:szCs w:val="21"/>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148.9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145.5</w:t>
            </w:r>
          </w:p>
        </w:tc>
      </w:tr>
      <w:tr>
        <w:trPr>
          <w:trHeight w:val="27"/>
        </w:trPr>
        <w:tc>
          <w:tcPr>
            <w:tcW w:w="8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Inventories</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(301.2)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(278.9)</w:t>
            </w:r>
          </w:p>
        </w:tc>
      </w:tr>
      <w:tr>
        <w:trPr>
          <w:trHeight w:val="243"/>
        </w:trPr>
        <w:tc>
          <w:tcPr>
            <w:tcW w:w="8120" w:type="dxa"/>
            <w:vAlign w:val="bottom"/>
          </w:tcPr>
          <w:p>
            <w:pPr>
              <w:ind w:left="1140"/>
              <w:spacing w:after="0"/>
              <w:rPr>
                <w:sz w:val="20"/>
                <w:szCs w:val="20"/>
                <w:color w:val="auto"/>
              </w:rPr>
            </w:pPr>
            <w:r>
              <w:rPr>
                <w:rFonts w:ascii="Arial" w:cs="Arial" w:eastAsia="Arial" w:hAnsi="Arial"/>
                <w:sz w:val="18"/>
                <w:szCs w:val="18"/>
                <w:color w:val="auto"/>
              </w:rPr>
              <w:t>Prepaid and other assets</w:t>
            </w: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7"/>
        </w:trPr>
        <w:tc>
          <w:tcPr>
            <w:tcW w:w="8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Accounts payable</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98.5</w:t>
            </w:r>
          </w:p>
        </w:tc>
      </w:tr>
      <w:tr>
        <w:trPr>
          <w:trHeight w:val="243"/>
        </w:trPr>
        <w:tc>
          <w:tcPr>
            <w:tcW w:w="8120" w:type="dxa"/>
            <w:vAlign w:val="bottom"/>
          </w:tcPr>
          <w:p>
            <w:pPr>
              <w:ind w:left="1140"/>
              <w:spacing w:after="0"/>
              <w:rPr>
                <w:sz w:val="20"/>
                <w:szCs w:val="20"/>
                <w:color w:val="auto"/>
              </w:rPr>
            </w:pPr>
            <w:r>
              <w:rPr>
                <w:rFonts w:ascii="Arial" w:cs="Arial" w:eastAsia="Arial" w:hAnsi="Arial"/>
                <w:sz w:val="18"/>
                <w:szCs w:val="18"/>
                <w:color w:val="auto"/>
              </w:rPr>
              <w:t>Other current liabilities</w:t>
            </w: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(93.8)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(88.1)</w:t>
            </w:r>
          </w:p>
        </w:tc>
      </w:tr>
      <w:tr>
        <w:trPr>
          <w:trHeight w:val="27"/>
        </w:trPr>
        <w:tc>
          <w:tcPr>
            <w:tcW w:w="8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Restructuring reserves</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r>
      <w:tr>
        <w:trPr>
          <w:trHeight w:val="243"/>
        </w:trPr>
        <w:tc>
          <w:tcPr>
            <w:tcW w:w="8120" w:type="dxa"/>
            <w:vAlign w:val="bottom"/>
          </w:tcPr>
          <w:p>
            <w:pPr>
              <w:ind w:left="1140"/>
              <w:spacing w:after="0"/>
              <w:rPr>
                <w:sz w:val="20"/>
                <w:szCs w:val="20"/>
                <w:color w:val="auto"/>
              </w:rPr>
            </w:pPr>
            <w:r>
              <w:rPr>
                <w:rFonts w:ascii="Arial" w:cs="Arial" w:eastAsia="Arial" w:hAnsi="Arial"/>
                <w:sz w:val="18"/>
                <w:szCs w:val="18"/>
                <w:color w:val="auto"/>
              </w:rPr>
              <w:t>Other non-current items</w:t>
            </w:r>
          </w:p>
        </w:tc>
        <w:tc>
          <w:tcPr>
            <w:tcW w:w="180" w:type="dxa"/>
            <w:vAlign w:val="bottom"/>
          </w:tcPr>
          <w:p>
            <w:pPr>
              <w:spacing w:after="0"/>
              <w:rPr>
                <w:sz w:val="21"/>
                <w:szCs w:val="21"/>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1.7</w:t>
            </w:r>
          </w:p>
        </w:tc>
      </w:tr>
      <w:tr>
        <w:trPr>
          <w:trHeight w:val="27"/>
        </w:trPr>
        <w:tc>
          <w:tcPr>
            <w:tcW w:w="8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Other, net</w:t>
            </w: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r>
      <w:tr>
        <w:trPr>
          <w:trHeight w:val="237"/>
        </w:trPr>
        <w:tc>
          <w:tcPr>
            <w:tcW w:w="8120" w:type="dxa"/>
            <w:vAlign w:val="bottom"/>
          </w:tcPr>
          <w:p>
            <w:pPr>
              <w:ind w:left="1460"/>
              <w:spacing w:after="0"/>
              <w:rPr>
                <w:sz w:val="20"/>
                <w:szCs w:val="20"/>
                <w:color w:val="auto"/>
              </w:rPr>
            </w:pPr>
            <w:r>
              <w:rPr>
                <w:rFonts w:ascii="Arial" w:cs="Arial" w:eastAsia="Arial" w:hAnsi="Arial"/>
                <w:sz w:val="18"/>
                <w:szCs w:val="18"/>
                <w:color w:val="auto"/>
              </w:rPr>
              <w:t>Net cash used in operating activities</w:t>
            </w: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(267.0)</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(180.2)</w:t>
            </w:r>
          </w:p>
        </w:tc>
      </w:tr>
      <w:tr>
        <w:trPr>
          <w:trHeight w:val="27"/>
        </w:trPr>
        <w:tc>
          <w:tcPr>
            <w:tcW w:w="8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91"/>
        </w:trPr>
        <w:tc>
          <w:tcPr>
            <w:tcW w:w="8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7"/>
        </w:trPr>
        <w:tc>
          <w:tcPr>
            <w:tcW w:w="8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Investments in property, plant and equipment</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(43.4)</w:t>
            </w:r>
          </w:p>
        </w:tc>
      </w:tr>
      <w:tr>
        <w:trPr>
          <w:trHeight w:val="243"/>
        </w:trPr>
        <w:tc>
          <w:tcPr>
            <w:tcW w:w="8120" w:type="dxa"/>
            <w:vAlign w:val="bottom"/>
          </w:tcPr>
          <w:p>
            <w:pPr>
              <w:ind w:left="380"/>
              <w:spacing w:after="0"/>
              <w:rPr>
                <w:sz w:val="20"/>
                <w:szCs w:val="20"/>
                <w:color w:val="auto"/>
              </w:rPr>
            </w:pPr>
            <w:r>
              <w:rPr>
                <w:rFonts w:ascii="Arial" w:cs="Arial" w:eastAsia="Arial" w:hAnsi="Arial"/>
                <w:sz w:val="18"/>
                <w:szCs w:val="18"/>
                <w:color w:val="auto"/>
              </w:rPr>
              <w:t>Investment in acquired business, net of cash acquired</w:t>
            </w: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(60.0)</w:t>
            </w:r>
          </w:p>
        </w:tc>
      </w:tr>
      <w:tr>
        <w:trPr>
          <w:trHeight w:val="27"/>
        </w:trPr>
        <w:tc>
          <w:tcPr>
            <w:tcW w:w="8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64"/>
        </w:trPr>
        <w:tc>
          <w:tcPr>
            <w:tcW w:w="8120" w:type="dxa"/>
            <w:vAlign w:val="bottom"/>
            <w:tcBorders>
              <w:bottom w:val="single" w:sz="8" w:color="CCEEFF"/>
            </w:tcBorders>
            <w:shd w:val="clear" w:color="auto" w:fill="CCEEFF"/>
          </w:tcPr>
          <w:p>
            <w:pPr>
              <w:ind w:left="1440"/>
              <w:spacing w:after="0"/>
              <w:rPr>
                <w:sz w:val="20"/>
                <w:szCs w:val="20"/>
                <w:color w:val="auto"/>
              </w:rPr>
            </w:pPr>
            <w:r>
              <w:rPr>
                <w:rFonts w:ascii="Arial" w:cs="Arial" w:eastAsia="Arial" w:hAnsi="Arial"/>
                <w:sz w:val="18"/>
                <w:szCs w:val="18"/>
                <w:color w:val="auto"/>
              </w:rPr>
              <w:t>Net cash used in investing activities</w:t>
            </w:r>
          </w:p>
        </w:tc>
        <w:tc>
          <w:tcPr>
            <w:tcW w:w="1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(103.4)</w:t>
            </w:r>
          </w:p>
        </w:tc>
      </w:tr>
      <w:tr>
        <w:trPr>
          <w:trHeight w:val="277"/>
        </w:trPr>
        <w:tc>
          <w:tcPr>
            <w:tcW w:w="8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4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400" w:type="dxa"/>
            <w:vAlign w:val="bottom"/>
            <w:tcBorders>
              <w:top w:val="single" w:sz="8" w:color="auto"/>
            </w:tcBorders>
          </w:tcPr>
          <w:p>
            <w:pPr>
              <w:spacing w:after="0"/>
              <w:rPr>
                <w:sz w:val="24"/>
                <w:szCs w:val="24"/>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tcPr>
          <w:p>
            <w:pPr>
              <w:ind w:left="380"/>
              <w:spacing w:after="0"/>
              <w:rPr>
                <w:sz w:val="20"/>
                <w:szCs w:val="20"/>
                <w:color w:val="auto"/>
              </w:rPr>
            </w:pPr>
            <w:r>
              <w:rPr>
                <w:rFonts w:ascii="Arial" w:cs="Arial" w:eastAsia="Arial" w:hAnsi="Arial"/>
                <w:sz w:val="18"/>
                <w:szCs w:val="18"/>
                <w:color w:val="auto"/>
              </w:rPr>
              <w:t>Borrowings under revolving and bank lines of credit</w:t>
            </w:r>
          </w:p>
        </w:tc>
        <w:tc>
          <w:tcPr>
            <w:tcW w:w="180" w:type="dxa"/>
            <w:vAlign w:val="bottom"/>
          </w:tcPr>
          <w:p>
            <w:pPr>
              <w:spacing w:after="0"/>
              <w:rPr>
                <w:sz w:val="21"/>
                <w:szCs w:val="21"/>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539.6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508.3</w:t>
            </w:r>
          </w:p>
        </w:tc>
      </w:tr>
      <w:tr>
        <w:trPr>
          <w:trHeight w:val="27"/>
        </w:trPr>
        <w:tc>
          <w:tcPr>
            <w:tcW w:w="8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Repayments under revolving and bank lines of credit</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(197.1)</w:t>
            </w:r>
          </w:p>
        </w:tc>
      </w:tr>
      <w:tr>
        <w:trPr>
          <w:trHeight w:val="243"/>
        </w:trPr>
        <w:tc>
          <w:tcPr>
            <w:tcW w:w="8120" w:type="dxa"/>
            <w:vAlign w:val="bottom"/>
          </w:tcPr>
          <w:p>
            <w:pPr>
              <w:ind w:left="380"/>
              <w:spacing w:after="0"/>
              <w:rPr>
                <w:sz w:val="20"/>
                <w:szCs w:val="20"/>
                <w:color w:val="auto"/>
              </w:rPr>
            </w:pPr>
            <w:r>
              <w:rPr>
                <w:rFonts w:ascii="Arial" w:cs="Arial" w:eastAsia="Arial" w:hAnsi="Arial"/>
                <w:sz w:val="18"/>
                <w:szCs w:val="18"/>
                <w:color w:val="auto"/>
              </w:rPr>
              <w:t>Financing and issuance fees</w:t>
            </w:r>
          </w:p>
        </w:tc>
        <w:tc>
          <w:tcPr>
            <w:tcW w:w="180" w:type="dxa"/>
            <w:vAlign w:val="bottom"/>
          </w:tcPr>
          <w:p>
            <w:pPr>
              <w:spacing w:after="0"/>
              <w:rPr>
                <w:sz w:val="21"/>
                <w:szCs w:val="21"/>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7"/>
        </w:trPr>
        <w:tc>
          <w:tcPr>
            <w:tcW w:w="8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Dividends paid</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(27.3)</w:t>
            </w:r>
          </w:p>
        </w:tc>
      </w:tr>
      <w:tr>
        <w:trPr>
          <w:trHeight w:val="243"/>
        </w:trPr>
        <w:tc>
          <w:tcPr>
            <w:tcW w:w="8120" w:type="dxa"/>
            <w:vAlign w:val="bottom"/>
          </w:tcPr>
          <w:p>
            <w:pPr>
              <w:ind w:left="380"/>
              <w:spacing w:after="0"/>
              <w:rPr>
                <w:sz w:val="20"/>
                <w:szCs w:val="20"/>
                <w:color w:val="auto"/>
              </w:rPr>
            </w:pPr>
            <w:r>
              <w:rPr>
                <w:rFonts w:ascii="Arial" w:cs="Arial" w:eastAsia="Arial" w:hAnsi="Arial"/>
                <w:sz w:val="18"/>
                <w:szCs w:val="18"/>
                <w:color w:val="auto"/>
              </w:rPr>
              <w:t>Purchase of common shares</w:t>
            </w: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(14.8)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7"/>
        </w:trPr>
        <w:tc>
          <w:tcPr>
            <w:tcW w:w="8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Excess tax benefits from share-based payment arrangements</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w:t>
            </w:r>
          </w:p>
        </w:tc>
      </w:tr>
      <w:tr>
        <w:trPr>
          <w:trHeight w:val="243"/>
        </w:trPr>
        <w:tc>
          <w:tcPr>
            <w:tcW w:w="8120" w:type="dxa"/>
            <w:vAlign w:val="bottom"/>
          </w:tcPr>
          <w:p>
            <w:pPr>
              <w:ind w:left="380"/>
              <w:spacing w:after="0"/>
              <w:rPr>
                <w:sz w:val="20"/>
                <w:szCs w:val="20"/>
                <w:color w:val="auto"/>
              </w:rPr>
            </w:pPr>
            <w:r>
              <w:rPr>
                <w:rFonts w:ascii="Arial" w:cs="Arial" w:eastAsia="Arial" w:hAnsi="Arial"/>
                <w:sz w:val="18"/>
                <w:szCs w:val="18"/>
                <w:color w:val="auto"/>
              </w:rPr>
              <w:t>Cash received from the exercise of stock options</w:t>
            </w:r>
          </w:p>
        </w:tc>
        <w:tc>
          <w:tcPr>
            <w:tcW w:w="180" w:type="dxa"/>
            <w:vAlign w:val="bottom"/>
          </w:tcPr>
          <w:p>
            <w:pPr>
              <w:spacing w:after="0"/>
              <w:rPr>
                <w:sz w:val="21"/>
                <w:szCs w:val="21"/>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5.1</w:t>
            </w:r>
          </w:p>
        </w:tc>
      </w:tr>
      <w:tr>
        <w:trPr>
          <w:trHeight w:val="27"/>
        </w:trPr>
        <w:tc>
          <w:tcPr>
            <w:tcW w:w="8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64"/>
        </w:trPr>
        <w:tc>
          <w:tcPr>
            <w:tcW w:w="8120" w:type="dxa"/>
            <w:vAlign w:val="bottom"/>
            <w:tcBorders>
              <w:bottom w:val="single" w:sz="8" w:color="CCEEFF"/>
            </w:tcBorders>
            <w:shd w:val="clear" w:color="auto" w:fill="CCEEFF"/>
          </w:tcPr>
          <w:p>
            <w:pPr>
              <w:ind w:left="1460"/>
              <w:spacing w:after="0"/>
              <w:rPr>
                <w:sz w:val="20"/>
                <w:szCs w:val="20"/>
                <w:color w:val="auto"/>
              </w:rPr>
            </w:pPr>
            <w:r>
              <w:rPr>
                <w:rFonts w:ascii="Arial" w:cs="Arial" w:eastAsia="Arial" w:hAnsi="Arial"/>
                <w:sz w:val="18"/>
                <w:szCs w:val="18"/>
                <w:color w:val="auto"/>
              </w:rPr>
              <w:t>Net cash provided by financing activities</w:t>
            </w:r>
          </w:p>
        </w:tc>
        <w:tc>
          <w:tcPr>
            <w:tcW w:w="1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337.0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277.2</w:t>
            </w:r>
          </w:p>
        </w:tc>
      </w:tr>
      <w:tr>
        <w:trPr>
          <w:trHeight w:val="237"/>
        </w:trPr>
        <w:tc>
          <w:tcPr>
            <w:tcW w:w="8120" w:type="dxa"/>
            <w:vAlign w:val="bottom"/>
          </w:tcPr>
          <w:p>
            <w:pPr>
              <w:ind w:left="40"/>
              <w:spacing w:after="0"/>
              <w:rPr>
                <w:sz w:val="20"/>
                <w:szCs w:val="20"/>
                <w:color w:val="auto"/>
              </w:rPr>
            </w:pPr>
            <w:r>
              <w:rPr>
                <w:rFonts w:ascii="Arial" w:cs="Arial" w:eastAsia="Arial" w:hAnsi="Arial"/>
                <w:sz w:val="18"/>
                <w:szCs w:val="18"/>
                <w:color w:val="auto"/>
              </w:rPr>
              <w:t>Effect of exchange rate changes on cash</w:t>
            </w: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w:t>
            </w:r>
          </w:p>
        </w:tc>
      </w:tr>
      <w:tr>
        <w:trPr>
          <w:trHeight w:val="27"/>
        </w:trPr>
        <w:tc>
          <w:tcPr>
            <w:tcW w:w="8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increase (decrease) in cash and cash equivalents</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Cash and cash equivalents, beginning of period</w:t>
            </w:r>
          </w:p>
        </w:tc>
        <w:tc>
          <w:tcPr>
            <w:tcW w:w="180" w:type="dxa"/>
            <w:vAlign w:val="bottom"/>
          </w:tcPr>
          <w:p>
            <w:pPr>
              <w:spacing w:after="0"/>
              <w:rPr>
                <w:sz w:val="21"/>
                <w:szCs w:val="21"/>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89.3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129.8</w:t>
            </w:r>
          </w:p>
        </w:tc>
      </w:tr>
      <w:tr>
        <w:trPr>
          <w:trHeight w:val="27"/>
        </w:trPr>
        <w:tc>
          <w:tcPr>
            <w:tcW w:w="8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69"/>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end of period</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130.1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124.6</w:t>
            </w: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r>
        <w:trPr>
          <w:trHeight w:val="278"/>
        </w:trPr>
        <w:tc>
          <w:tcPr>
            <w:tcW w:w="8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SUPPLEMENTAL CASH FLOW INFORMATION</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tcPr>
          <w:p>
            <w:pPr>
              <w:ind w:left="380"/>
              <w:spacing w:after="0"/>
              <w:rPr>
                <w:sz w:val="20"/>
                <w:szCs w:val="20"/>
                <w:color w:val="auto"/>
              </w:rPr>
            </w:pPr>
            <w:r>
              <w:rPr>
                <w:rFonts w:ascii="Arial" w:cs="Arial" w:eastAsia="Arial" w:hAnsi="Arial"/>
                <w:sz w:val="18"/>
                <w:szCs w:val="18"/>
                <w:color w:val="auto"/>
              </w:rPr>
              <w:t>Interest paid</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(11.6)</w:t>
            </w:r>
          </w:p>
        </w:tc>
      </w:tr>
      <w:tr>
        <w:trPr>
          <w:trHeight w:val="27"/>
        </w:trPr>
        <w:tc>
          <w:tcPr>
            <w:tcW w:w="8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43"/>
        </w:trPr>
        <w:tc>
          <w:tcPr>
            <w:tcW w:w="81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Income taxes paid</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7"/>
        </w:trPr>
        <w:tc>
          <w:tcPr>
            <w:tcW w:w="8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r>
    </w:tbl>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ectPr>
          <w:pgSz w:w="11900" w:h="16838" w:orient="portrait"/>
          <w:cols w:equalWidth="0" w:num="1">
            <w:col w:w="11420"/>
          </w:cols>
          <w:pgMar w:left="240" w:top="125"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125" w:right="239" w:bottom="1440" w:gutter="0" w:footer="0" w:header="0"/>
          <w:type w:val="continuous"/>
        </w:sectPr>
      </w:pPr>
    </w:p>
    <w:bookmarkStart w:id="5" w:name="page6"/>
    <w:bookmarkEnd w:id="5"/>
    <w:p>
      <w:pPr>
        <w:spacing w:after="0"/>
        <w:rPr>
          <w:rFonts w:ascii="Arial" w:cs="Arial" w:eastAsia="Arial" w:hAnsi="Arial"/>
          <w:sz w:val="18"/>
          <w:szCs w:val="18"/>
          <w:color w:val="FFFFFF"/>
        </w:rPr>
      </w:pPr>
      <w:hyperlink w:anchor="page1">
        <w:r>
          <w:rPr>
            <w:rFonts w:ascii="Arial" w:cs="Arial" w:eastAsia="Arial" w:hAnsi="Arial"/>
            <w:sz w:val="18"/>
            <w:szCs w:val="18"/>
            <w:color w:val="FFFF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stated value per share)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8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27,</w:t>
            </w:r>
          </w:p>
        </w:tc>
        <w:tc>
          <w:tcPr>
            <w:tcW w:w="200" w:type="dxa"/>
            <w:vAlign w:val="bottom"/>
          </w:tcPr>
          <w:p>
            <w:pPr>
              <w:spacing w:after="0"/>
              <w:rPr>
                <w:sz w:val="14"/>
                <w:szCs w:val="14"/>
                <w:color w:val="auto"/>
              </w:rPr>
            </w:pPr>
          </w:p>
        </w:tc>
        <w:tc>
          <w:tcPr>
            <w:tcW w:w="150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28,</w:t>
            </w:r>
          </w:p>
        </w:tc>
        <w:tc>
          <w:tcPr>
            <w:tcW w:w="180" w:type="dxa"/>
            <w:vAlign w:val="bottom"/>
          </w:tcPr>
          <w:p>
            <w:pPr>
              <w:spacing w:after="0"/>
              <w:rPr>
                <w:sz w:val="14"/>
                <w:szCs w:val="14"/>
                <w:color w:val="auto"/>
              </w:rPr>
            </w:pPr>
          </w:p>
        </w:tc>
        <w:tc>
          <w:tcPr>
            <w:tcW w:w="1420" w:type="dxa"/>
            <w:vAlign w:val="bottom"/>
          </w:tcPr>
          <w:p>
            <w:pPr>
              <w:jc w:val="right"/>
              <w:ind w:right="171"/>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92"/>
        </w:trPr>
        <w:tc>
          <w:tcPr>
            <w:tcW w:w="268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30"/>
        </w:trPr>
        <w:tc>
          <w:tcPr>
            <w:tcW w:w="268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1580" w:type="dxa"/>
            <w:vAlign w:val="bottom"/>
            <w:gridSpan w:val="2"/>
          </w:tcPr>
          <w:p>
            <w:pPr>
              <w:jc w:val="center"/>
              <w:ind w:left="110"/>
              <w:spacing w:after="0"/>
              <w:rPr>
                <w:sz w:val="20"/>
                <w:szCs w:val="20"/>
                <w:color w:val="auto"/>
              </w:rPr>
            </w:pPr>
            <w:r>
              <w:rPr>
                <w:rFonts w:ascii="Arial" w:cs="Arial" w:eastAsia="Arial" w:hAnsi="Arial"/>
                <w:sz w:val="18"/>
                <w:szCs w:val="18"/>
                <w:b w:val="1"/>
                <w:bCs w:val="1"/>
                <w:color w:val="auto"/>
                <w:w w:val="91"/>
              </w:rPr>
              <w:t>ASSETS</w:t>
            </w:r>
          </w:p>
        </w:tc>
        <w:tc>
          <w:tcPr>
            <w:tcW w:w="2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680" w:type="dxa"/>
            <w:vAlign w:val="bottom"/>
          </w:tcPr>
          <w:p>
            <w:pPr>
              <w:spacing w:after="0"/>
              <w:rPr>
                <w:sz w:val="2"/>
                <w:szCs w:val="2"/>
                <w:color w:val="auto"/>
              </w:rPr>
            </w:pPr>
          </w:p>
        </w:tc>
        <w:tc>
          <w:tcPr>
            <w:tcW w:w="2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400" w:type="dxa"/>
            <w:vAlign w:val="bottom"/>
            <w:gridSpan w:val="4"/>
          </w:tcPr>
          <w:p>
            <w:pPr>
              <w:ind w:left="380"/>
              <w:spacing w:after="0"/>
              <w:rPr>
                <w:sz w:val="20"/>
                <w:szCs w:val="20"/>
                <w:color w:val="auto"/>
              </w:rPr>
            </w:pPr>
            <w:r>
              <w:rPr>
                <w:rFonts w:ascii="Arial" w:cs="Arial" w:eastAsia="Arial" w:hAnsi="Arial"/>
                <w:sz w:val="18"/>
                <w:szCs w:val="18"/>
                <w:color w:val="auto"/>
              </w:rPr>
              <w:t>Cash and cash equivalents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31"/>
              <w:spacing w:after="0"/>
              <w:rPr>
                <w:sz w:val="20"/>
                <w:szCs w:val="20"/>
                <w:color w:val="auto"/>
              </w:rPr>
            </w:pPr>
            <w:r>
              <w:rPr>
                <w:rFonts w:ascii="Arial" w:cs="Arial" w:eastAsia="Arial" w:hAnsi="Arial"/>
                <w:sz w:val="18"/>
                <w:szCs w:val="18"/>
                <w:color w:val="auto"/>
              </w:rPr>
              <w:t>130.1</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124.6</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89.3</w:t>
            </w:r>
          </w:p>
        </w:tc>
        <w:tc>
          <w:tcPr>
            <w:tcW w:w="0" w:type="dxa"/>
            <w:vAlign w:val="bottom"/>
          </w:tcPr>
          <w:p>
            <w:pPr>
              <w:spacing w:after="0"/>
              <w:rPr>
                <w:sz w:val="1"/>
                <w:szCs w:val="1"/>
                <w:color w:val="auto"/>
              </w:rPr>
            </w:pPr>
          </w:p>
        </w:tc>
      </w:tr>
      <w:tr>
        <w:trPr>
          <w:trHeight w:val="27"/>
        </w:trPr>
        <w:tc>
          <w:tcPr>
            <w:tcW w:w="2680" w:type="dxa"/>
            <w:vAlign w:val="bottom"/>
          </w:tcPr>
          <w:p>
            <w:pPr>
              <w:spacing w:after="0"/>
              <w:rPr>
                <w:sz w:val="2"/>
                <w:szCs w:val="2"/>
                <w:color w:val="auto"/>
              </w:rPr>
            </w:pPr>
          </w:p>
        </w:tc>
        <w:tc>
          <w:tcPr>
            <w:tcW w:w="2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gridSpan w:val="4"/>
            <w:shd w:val="clear" w:color="auto" w:fill="CCEEFF"/>
          </w:tcPr>
          <w:p>
            <w:pPr>
              <w:ind w:left="380"/>
              <w:spacing w:after="0"/>
              <w:rPr>
                <w:sz w:val="20"/>
                <w:szCs w:val="20"/>
                <w:color w:val="auto"/>
              </w:rPr>
            </w:pPr>
            <w:r>
              <w:rPr>
                <w:rFonts w:ascii="Arial" w:cs="Arial" w:eastAsia="Arial" w:hAnsi="Arial"/>
                <w:sz w:val="18"/>
                <w:szCs w:val="18"/>
                <w:color w:val="auto"/>
              </w:rPr>
              <w:t>Accounts receivable, less allowances of $6.8, $8.8 and $7.5, respectively</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185.4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158.2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224.0</w:t>
            </w:r>
          </w:p>
        </w:tc>
        <w:tc>
          <w:tcPr>
            <w:tcW w:w="0" w:type="dxa"/>
            <w:vAlign w:val="bottom"/>
          </w:tcPr>
          <w:p>
            <w:pPr>
              <w:spacing w:after="0"/>
              <w:rPr>
                <w:sz w:val="1"/>
                <w:szCs w:val="1"/>
                <w:color w:val="auto"/>
              </w:rPr>
            </w:pPr>
          </w:p>
        </w:tc>
      </w:tr>
      <w:tr>
        <w:trPr>
          <w:trHeight w:val="243"/>
        </w:trPr>
        <w:tc>
          <w:tcPr>
            <w:tcW w:w="6400" w:type="dxa"/>
            <w:vAlign w:val="bottom"/>
            <w:gridSpan w:val="4"/>
          </w:tcPr>
          <w:p>
            <w:pPr>
              <w:ind w:left="380"/>
              <w:spacing w:after="0"/>
              <w:rPr>
                <w:sz w:val="20"/>
                <w:szCs w:val="20"/>
                <w:color w:val="auto"/>
              </w:rPr>
            </w:pPr>
            <w:r>
              <w:rPr>
                <w:rFonts w:ascii="Arial" w:cs="Arial" w:eastAsia="Arial" w:hAnsi="Arial"/>
                <w:sz w:val="18"/>
                <w:szCs w:val="18"/>
                <w:color w:val="auto"/>
              </w:rPr>
              <w:t>Accounts receivable pledged</w:t>
            </w:r>
          </w:p>
        </w:tc>
        <w:tc>
          <w:tcPr>
            <w:tcW w:w="200" w:type="dxa"/>
            <w:vAlign w:val="bottom"/>
          </w:tcPr>
          <w:p>
            <w:pPr>
              <w:spacing w:after="0"/>
              <w:rPr>
                <w:sz w:val="21"/>
                <w:szCs w:val="21"/>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113.7</w:t>
            </w:r>
          </w:p>
        </w:tc>
        <w:tc>
          <w:tcPr>
            <w:tcW w:w="0" w:type="dxa"/>
            <w:vAlign w:val="bottom"/>
          </w:tcPr>
          <w:p>
            <w:pPr>
              <w:spacing w:after="0"/>
              <w:rPr>
                <w:sz w:val="1"/>
                <w:szCs w:val="1"/>
                <w:color w:val="auto"/>
              </w:rPr>
            </w:pPr>
          </w:p>
        </w:tc>
      </w:tr>
      <w:tr>
        <w:trPr>
          <w:trHeight w:val="27"/>
        </w:trPr>
        <w:tc>
          <w:tcPr>
            <w:tcW w:w="2680" w:type="dxa"/>
            <w:vAlign w:val="bottom"/>
          </w:tcPr>
          <w:p>
            <w:pPr>
              <w:spacing w:after="0"/>
              <w:rPr>
                <w:sz w:val="2"/>
                <w:szCs w:val="2"/>
                <w:color w:val="auto"/>
              </w:rPr>
            </w:pPr>
          </w:p>
        </w:tc>
        <w:tc>
          <w:tcPr>
            <w:tcW w:w="2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gridSpan w:val="4"/>
            <w:shd w:val="clear" w:color="auto" w:fill="CCEEFF"/>
          </w:tcPr>
          <w:p>
            <w:pPr>
              <w:ind w:left="380"/>
              <w:spacing w:after="0"/>
              <w:rPr>
                <w:sz w:val="20"/>
                <w:szCs w:val="20"/>
                <w:color w:val="auto"/>
              </w:rPr>
            </w:pPr>
            <w:r>
              <w:rPr>
                <w:rFonts w:ascii="Arial" w:cs="Arial" w:eastAsia="Arial" w:hAnsi="Arial"/>
                <w:sz w:val="18"/>
                <w:szCs w:val="18"/>
                <w:color w:val="auto"/>
              </w:rPr>
              <w:t>Inventories</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682.8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605.7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385.1</w:t>
            </w:r>
          </w:p>
        </w:tc>
        <w:tc>
          <w:tcPr>
            <w:tcW w:w="0" w:type="dxa"/>
            <w:vAlign w:val="bottom"/>
          </w:tcPr>
          <w:p>
            <w:pPr>
              <w:spacing w:after="0"/>
              <w:rPr>
                <w:sz w:val="1"/>
                <w:szCs w:val="1"/>
                <w:color w:val="auto"/>
              </w:rPr>
            </w:pPr>
          </w:p>
        </w:tc>
      </w:tr>
      <w:tr>
        <w:trPr>
          <w:trHeight w:val="243"/>
        </w:trPr>
        <w:tc>
          <w:tcPr>
            <w:tcW w:w="6400" w:type="dxa"/>
            <w:vAlign w:val="bottom"/>
            <w:gridSpan w:val="4"/>
          </w:tcPr>
          <w:p>
            <w:pPr>
              <w:ind w:left="380"/>
              <w:spacing w:after="0"/>
              <w:rPr>
                <w:sz w:val="20"/>
                <w:szCs w:val="20"/>
                <w:color w:val="auto"/>
              </w:rPr>
            </w:pPr>
            <w:r>
              <w:rPr>
                <w:rFonts w:ascii="Arial" w:cs="Arial" w:eastAsia="Arial" w:hAnsi="Arial"/>
                <w:sz w:val="18"/>
                <w:szCs w:val="18"/>
                <w:color w:val="auto"/>
              </w:rPr>
              <w:t>Prepaid and other current assets</w:t>
            </w:r>
          </w:p>
        </w:tc>
        <w:tc>
          <w:tcPr>
            <w:tcW w:w="200" w:type="dxa"/>
            <w:vAlign w:val="bottom"/>
          </w:tcPr>
          <w:p>
            <w:pPr>
              <w:spacing w:after="0"/>
              <w:rPr>
                <w:sz w:val="21"/>
                <w:szCs w:val="21"/>
                <w:color w:val="auto"/>
              </w:rPr>
            </w:pPr>
          </w:p>
        </w:tc>
        <w:tc>
          <w:tcPr>
            <w:tcW w:w="1420" w:type="dxa"/>
            <w:vAlign w:val="bottom"/>
          </w:tcPr>
          <w:p>
            <w:pPr>
              <w:jc w:val="right"/>
              <w:ind w:right="31"/>
              <w:spacing w:after="0"/>
              <w:rPr>
                <w:sz w:val="20"/>
                <w:szCs w:val="20"/>
                <w:color w:val="auto"/>
              </w:rPr>
            </w:pPr>
            <w:r>
              <w:rPr>
                <w:rFonts w:ascii="Arial" w:cs="Arial" w:eastAsia="Arial" w:hAnsi="Arial"/>
                <w:sz w:val="18"/>
                <w:szCs w:val="18"/>
                <w:color w:val="auto"/>
              </w:rPr>
              <w:t>127.6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117.9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122.9</w:t>
            </w:r>
          </w:p>
        </w:tc>
        <w:tc>
          <w:tcPr>
            <w:tcW w:w="0" w:type="dxa"/>
            <w:vAlign w:val="bottom"/>
          </w:tcPr>
          <w:p>
            <w:pPr>
              <w:spacing w:after="0"/>
              <w:rPr>
                <w:sz w:val="1"/>
                <w:szCs w:val="1"/>
                <w:color w:val="auto"/>
              </w:rPr>
            </w:pPr>
          </w:p>
        </w:tc>
      </w:tr>
      <w:tr>
        <w:trPr>
          <w:trHeight w:val="27"/>
        </w:trPr>
        <w:tc>
          <w:tcPr>
            <w:tcW w:w="2680" w:type="dxa"/>
            <w:vAlign w:val="bottom"/>
            <w:tcBorders>
              <w:bottom w:val="single" w:sz="8" w:color="CCEEFF"/>
            </w:tcBorders>
          </w:tcPr>
          <w:p>
            <w:pPr>
              <w:spacing w:after="0"/>
              <w:rPr>
                <w:sz w:val="2"/>
                <w:szCs w:val="2"/>
                <w:color w:val="auto"/>
              </w:rPr>
            </w:pPr>
          </w:p>
        </w:tc>
        <w:tc>
          <w:tcPr>
            <w:tcW w:w="214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400" w:type="dxa"/>
            <w:vAlign w:val="bottom"/>
            <w:tcBorders>
              <w:bottom w:val="single" w:sz="8" w:color="CCEEFF"/>
            </w:tcBorders>
            <w:gridSpan w:val="4"/>
            <w:shd w:val="clear" w:color="auto" w:fill="CCEEFF"/>
          </w:tcPr>
          <w:p>
            <w:pPr>
              <w:ind w:left="720"/>
              <w:spacing w:after="0"/>
              <w:rPr>
                <w:sz w:val="20"/>
                <w:szCs w:val="20"/>
                <w:color w:val="auto"/>
              </w:rPr>
            </w:pPr>
            <w:r>
              <w:rPr>
                <w:rFonts w:ascii="Arial" w:cs="Arial" w:eastAsia="Arial" w:hAnsi="Arial"/>
                <w:sz w:val="18"/>
                <w:szCs w:val="18"/>
                <w:color w:val="auto"/>
              </w:rPr>
              <w:t>Total current assets</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1,125.9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1,015.7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935.0</w:t>
            </w:r>
          </w:p>
        </w:tc>
        <w:tc>
          <w:tcPr>
            <w:tcW w:w="0" w:type="dxa"/>
            <w:vAlign w:val="bottom"/>
          </w:tcPr>
          <w:p>
            <w:pPr>
              <w:spacing w:after="0"/>
              <w:rPr>
                <w:sz w:val="1"/>
                <w:szCs w:val="1"/>
                <w:color w:val="auto"/>
              </w:rPr>
            </w:pPr>
          </w:p>
        </w:tc>
      </w:tr>
      <w:tr>
        <w:trPr>
          <w:trHeight w:val="229"/>
        </w:trPr>
        <w:tc>
          <w:tcPr>
            <w:tcW w:w="6400" w:type="dxa"/>
            <w:vAlign w:val="bottom"/>
            <w:gridSpan w:val="4"/>
          </w:tcPr>
          <w:p>
            <w:pPr>
              <w:ind w:left="40"/>
              <w:spacing w:after="0"/>
              <w:rPr>
                <w:sz w:val="20"/>
                <w:szCs w:val="20"/>
                <w:color w:val="auto"/>
              </w:rPr>
            </w:pPr>
            <w:r>
              <w:rPr>
                <w:rFonts w:ascii="Arial" w:cs="Arial" w:eastAsia="Arial" w:hAnsi="Arial"/>
                <w:sz w:val="18"/>
                <w:szCs w:val="18"/>
                <w:color w:val="auto"/>
                <w:w w:val="92"/>
              </w:rPr>
              <w:t>Property, plant and equipment, net of accumulated depreciation of $606.1, $586.6 and</w:t>
            </w:r>
          </w:p>
        </w:tc>
        <w:tc>
          <w:tcPr>
            <w:tcW w:w="2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0" w:type="dxa"/>
            <w:vAlign w:val="bottom"/>
            <w:gridSpan w:val="4"/>
          </w:tcPr>
          <w:p>
            <w:pPr>
              <w:ind w:left="40"/>
              <w:spacing w:after="0"/>
              <w:rPr>
                <w:sz w:val="20"/>
                <w:szCs w:val="20"/>
                <w:color w:val="auto"/>
              </w:rPr>
            </w:pPr>
            <w:r>
              <w:rPr>
                <w:rFonts w:ascii="Arial" w:cs="Arial" w:eastAsia="Arial" w:hAnsi="Arial"/>
                <w:sz w:val="18"/>
                <w:szCs w:val="18"/>
                <w:color w:val="auto"/>
              </w:rPr>
              <w:t>$597.2, respectively</w:t>
            </w:r>
          </w:p>
        </w:tc>
        <w:tc>
          <w:tcPr>
            <w:tcW w:w="200" w:type="dxa"/>
            <w:vAlign w:val="bottom"/>
          </w:tcPr>
          <w:p>
            <w:pPr>
              <w:spacing w:after="0"/>
              <w:rPr>
                <w:sz w:val="20"/>
                <w:szCs w:val="20"/>
                <w:color w:val="auto"/>
              </w:rPr>
            </w:pPr>
          </w:p>
        </w:tc>
        <w:tc>
          <w:tcPr>
            <w:tcW w:w="1420" w:type="dxa"/>
            <w:vAlign w:val="bottom"/>
          </w:tcPr>
          <w:p>
            <w:pPr>
              <w:jc w:val="right"/>
              <w:ind w:right="31"/>
              <w:spacing w:after="0"/>
              <w:rPr>
                <w:sz w:val="20"/>
                <w:szCs w:val="20"/>
                <w:color w:val="auto"/>
              </w:rPr>
            </w:pPr>
            <w:r>
              <w:rPr>
                <w:rFonts w:ascii="Arial" w:cs="Arial" w:eastAsia="Arial" w:hAnsi="Arial"/>
                <w:sz w:val="18"/>
                <w:szCs w:val="18"/>
                <w:color w:val="auto"/>
              </w:rPr>
              <w:t>434.4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447.5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437.0</w:t>
            </w:r>
          </w:p>
        </w:tc>
        <w:tc>
          <w:tcPr>
            <w:tcW w:w="0" w:type="dxa"/>
            <w:vAlign w:val="bottom"/>
          </w:tcPr>
          <w:p>
            <w:pPr>
              <w:spacing w:after="0"/>
              <w:rPr>
                <w:sz w:val="1"/>
                <w:szCs w:val="1"/>
                <w:color w:val="auto"/>
              </w:rPr>
            </w:pPr>
          </w:p>
        </w:tc>
      </w:tr>
      <w:tr>
        <w:trPr>
          <w:trHeight w:val="27"/>
        </w:trPr>
        <w:tc>
          <w:tcPr>
            <w:tcW w:w="2680" w:type="dxa"/>
            <w:vAlign w:val="bottom"/>
          </w:tcPr>
          <w:p>
            <w:pPr>
              <w:spacing w:after="0"/>
              <w:rPr>
                <w:sz w:val="2"/>
                <w:szCs w:val="2"/>
                <w:color w:val="auto"/>
              </w:rPr>
            </w:pPr>
          </w:p>
        </w:tc>
        <w:tc>
          <w:tcPr>
            <w:tcW w:w="2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364.3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335.0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350.9</w:t>
            </w:r>
          </w:p>
        </w:tc>
        <w:tc>
          <w:tcPr>
            <w:tcW w:w="0" w:type="dxa"/>
            <w:vAlign w:val="bottom"/>
          </w:tcPr>
          <w:p>
            <w:pPr>
              <w:spacing w:after="0"/>
              <w:rPr>
                <w:sz w:val="1"/>
                <w:szCs w:val="1"/>
                <w:color w:val="auto"/>
              </w:rPr>
            </w:pPr>
          </w:p>
        </w:tc>
      </w:tr>
      <w:tr>
        <w:trPr>
          <w:trHeight w:val="243"/>
        </w:trPr>
        <w:tc>
          <w:tcPr>
            <w:tcW w:w="6400" w:type="dxa"/>
            <w:vAlign w:val="bottom"/>
            <w:gridSpan w:val="4"/>
          </w:tcPr>
          <w:p>
            <w:pPr>
              <w:ind w:left="40"/>
              <w:spacing w:after="0"/>
              <w:rPr>
                <w:sz w:val="20"/>
                <w:szCs w:val="20"/>
                <w:color w:val="auto"/>
              </w:rPr>
            </w:pPr>
            <w:r>
              <w:rPr>
                <w:rFonts w:ascii="Arial" w:cs="Arial" w:eastAsia="Arial" w:hAnsi="Arial"/>
                <w:sz w:val="18"/>
                <w:szCs w:val="18"/>
                <w:color w:val="auto"/>
              </w:rPr>
              <w:t>Intangible assets, net</w:t>
            </w:r>
          </w:p>
        </w:tc>
        <w:tc>
          <w:tcPr>
            <w:tcW w:w="200" w:type="dxa"/>
            <w:vAlign w:val="bottom"/>
          </w:tcPr>
          <w:p>
            <w:pPr>
              <w:spacing w:after="0"/>
              <w:rPr>
                <w:sz w:val="21"/>
                <w:szCs w:val="21"/>
                <w:color w:val="auto"/>
              </w:rPr>
            </w:pPr>
          </w:p>
        </w:tc>
        <w:tc>
          <w:tcPr>
            <w:tcW w:w="1420" w:type="dxa"/>
            <w:vAlign w:val="bottom"/>
          </w:tcPr>
          <w:p>
            <w:pPr>
              <w:jc w:val="right"/>
              <w:ind w:right="31"/>
              <w:spacing w:after="0"/>
              <w:rPr>
                <w:sz w:val="20"/>
                <w:szCs w:val="20"/>
                <w:color w:val="auto"/>
              </w:rPr>
            </w:pPr>
            <w:r>
              <w:rPr>
                <w:rFonts w:ascii="Arial" w:cs="Arial" w:eastAsia="Arial" w:hAnsi="Arial"/>
                <w:sz w:val="18"/>
                <w:szCs w:val="18"/>
                <w:color w:val="auto"/>
              </w:rPr>
              <w:t>308.9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320.0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302.7</w:t>
            </w:r>
          </w:p>
        </w:tc>
        <w:tc>
          <w:tcPr>
            <w:tcW w:w="0" w:type="dxa"/>
            <w:vAlign w:val="bottom"/>
          </w:tcPr>
          <w:p>
            <w:pPr>
              <w:spacing w:after="0"/>
              <w:rPr>
                <w:sz w:val="1"/>
                <w:szCs w:val="1"/>
                <w:color w:val="auto"/>
              </w:rPr>
            </w:pPr>
          </w:p>
        </w:tc>
      </w:tr>
      <w:tr>
        <w:trPr>
          <w:trHeight w:val="27"/>
        </w:trPr>
        <w:tc>
          <w:tcPr>
            <w:tcW w:w="2680" w:type="dxa"/>
            <w:vAlign w:val="bottom"/>
          </w:tcPr>
          <w:p>
            <w:pPr>
              <w:spacing w:after="0"/>
              <w:rPr>
                <w:sz w:val="2"/>
                <w:szCs w:val="2"/>
                <w:color w:val="auto"/>
              </w:rPr>
            </w:pPr>
          </w:p>
        </w:tc>
        <w:tc>
          <w:tcPr>
            <w:tcW w:w="2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2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32.7</w:t>
            </w:r>
          </w:p>
        </w:tc>
        <w:tc>
          <w:tcPr>
            <w:tcW w:w="0" w:type="dxa"/>
            <w:vAlign w:val="bottom"/>
          </w:tcPr>
          <w:p>
            <w:pPr>
              <w:spacing w:after="0"/>
              <w:rPr>
                <w:sz w:val="1"/>
                <w:szCs w:val="1"/>
                <w:color w:val="auto"/>
              </w:rPr>
            </w:pPr>
          </w:p>
        </w:tc>
      </w:tr>
      <w:tr>
        <w:trPr>
          <w:trHeight w:val="237"/>
        </w:trPr>
        <w:tc>
          <w:tcPr>
            <w:tcW w:w="6400" w:type="dxa"/>
            <w:vAlign w:val="bottom"/>
            <w:gridSpan w:val="4"/>
          </w:tcPr>
          <w:p>
            <w:pPr>
              <w:ind w:left="720"/>
              <w:spacing w:after="0"/>
              <w:rPr>
                <w:sz w:val="20"/>
                <w:szCs w:val="20"/>
                <w:color w:val="auto"/>
              </w:rPr>
            </w:pPr>
            <w:r>
              <w:rPr>
                <w:rFonts w:ascii="Arial" w:cs="Arial" w:eastAsia="Arial" w:hAnsi="Arial"/>
                <w:sz w:val="18"/>
                <w:szCs w:val="18"/>
                <w:color w:val="auto"/>
              </w:rPr>
              <w:t>Total assets</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2,265.2</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2,159.4</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2,058.3</w:t>
            </w:r>
          </w:p>
        </w:tc>
        <w:tc>
          <w:tcPr>
            <w:tcW w:w="0" w:type="dxa"/>
            <w:vAlign w:val="bottom"/>
          </w:tcPr>
          <w:p>
            <w:pPr>
              <w:spacing w:after="0"/>
              <w:rPr>
                <w:sz w:val="1"/>
                <w:szCs w:val="1"/>
                <w:color w:val="auto"/>
              </w:rPr>
            </w:pPr>
          </w:p>
        </w:tc>
      </w:tr>
      <w:tr>
        <w:trPr>
          <w:trHeight w:val="67"/>
        </w:trPr>
        <w:tc>
          <w:tcPr>
            <w:tcW w:w="2680" w:type="dxa"/>
            <w:vAlign w:val="bottom"/>
            <w:tcBorders>
              <w:bottom w:val="single" w:sz="8" w:color="CCEEFF"/>
            </w:tcBorders>
          </w:tcPr>
          <w:p>
            <w:pPr>
              <w:spacing w:after="0"/>
              <w:rPr>
                <w:sz w:val="5"/>
                <w:szCs w:val="5"/>
                <w:color w:val="auto"/>
              </w:rPr>
            </w:pPr>
          </w:p>
        </w:tc>
        <w:tc>
          <w:tcPr>
            <w:tcW w:w="2140" w:type="dxa"/>
            <w:vAlign w:val="bottom"/>
            <w:tcBorders>
              <w:bottom w:val="single" w:sz="8" w:color="CCEEFF"/>
            </w:tcBorders>
          </w:tcPr>
          <w:p>
            <w:pPr>
              <w:spacing w:after="0"/>
              <w:rPr>
                <w:sz w:val="5"/>
                <w:szCs w:val="5"/>
                <w:color w:val="auto"/>
              </w:rPr>
            </w:pPr>
          </w:p>
        </w:tc>
        <w:tc>
          <w:tcPr>
            <w:tcW w:w="840" w:type="dxa"/>
            <w:vAlign w:val="bottom"/>
            <w:tcBorders>
              <w:bottom w:val="single" w:sz="8" w:color="CCEEFF"/>
            </w:tcBorders>
          </w:tcPr>
          <w:p>
            <w:pPr>
              <w:spacing w:after="0"/>
              <w:rPr>
                <w:sz w:val="5"/>
                <w:szCs w:val="5"/>
                <w:color w:val="auto"/>
              </w:rPr>
            </w:pPr>
          </w:p>
        </w:tc>
        <w:tc>
          <w:tcPr>
            <w:tcW w:w="740" w:type="dxa"/>
            <w:vAlign w:val="bottom"/>
            <w:tcBorders>
              <w:bottom w:val="single" w:sz="8" w:color="CCEEFF"/>
            </w:tcBorders>
          </w:tcPr>
          <w:p>
            <w:pPr>
              <w:spacing w:after="0"/>
              <w:rPr>
                <w:sz w:val="5"/>
                <w:szCs w:val="5"/>
                <w:color w:val="auto"/>
              </w:rPr>
            </w:pPr>
          </w:p>
        </w:tc>
        <w:tc>
          <w:tcPr>
            <w:tcW w:w="1620" w:type="dxa"/>
            <w:vAlign w:val="bottom"/>
            <w:tcBorders>
              <w:bottom w:val="single" w:sz="8" w:color="auto"/>
            </w:tcBorders>
            <w:gridSpan w:val="2"/>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4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4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70"/>
        </w:trPr>
        <w:tc>
          <w:tcPr>
            <w:tcW w:w="2680" w:type="dxa"/>
            <w:vAlign w:val="bottom"/>
            <w:shd w:val="clear" w:color="auto" w:fill="CCEEFF"/>
          </w:tcPr>
          <w:p>
            <w:pPr>
              <w:spacing w:after="0"/>
              <w:rPr>
                <w:sz w:val="14"/>
                <w:szCs w:val="14"/>
                <w:color w:val="auto"/>
              </w:rPr>
            </w:pPr>
          </w:p>
        </w:tc>
        <w:tc>
          <w:tcPr>
            <w:tcW w:w="2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2680" w:type="dxa"/>
            <w:vAlign w:val="bottom"/>
          </w:tcPr>
          <w:p>
            <w:pPr>
              <w:spacing w:after="0"/>
              <w:rPr>
                <w:sz w:val="21"/>
                <w:szCs w:val="21"/>
                <w:color w:val="auto"/>
              </w:rPr>
            </w:pPr>
          </w:p>
        </w:tc>
        <w:tc>
          <w:tcPr>
            <w:tcW w:w="5440" w:type="dxa"/>
            <w:vAlign w:val="bottom"/>
            <w:gridSpan w:val="6"/>
          </w:tcPr>
          <w:p>
            <w:pPr>
              <w:jc w:val="center"/>
              <w:ind w:left="530"/>
              <w:spacing w:after="0"/>
              <w:rPr>
                <w:sz w:val="20"/>
                <w:szCs w:val="20"/>
                <w:color w:val="auto"/>
              </w:rPr>
            </w:pPr>
            <w:r>
              <w:rPr>
                <w:rFonts w:ascii="Arial" w:cs="Arial" w:eastAsia="Arial" w:hAnsi="Arial"/>
                <w:sz w:val="18"/>
                <w:szCs w:val="18"/>
                <w:b w:val="1"/>
                <w:bCs w:val="1"/>
                <w:color w:val="auto"/>
              </w:rPr>
              <w:t>LIABILITIES AND SHAREHOLDERS’ EQUITY</w:t>
            </w:r>
          </w:p>
        </w:tc>
        <w:tc>
          <w:tcPr>
            <w:tcW w:w="2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680" w:type="dxa"/>
            <w:vAlign w:val="bottom"/>
          </w:tcPr>
          <w:p>
            <w:pPr>
              <w:spacing w:after="0"/>
              <w:rPr>
                <w:sz w:val="2"/>
                <w:szCs w:val="2"/>
                <w:color w:val="auto"/>
              </w:rPr>
            </w:pPr>
          </w:p>
        </w:tc>
        <w:tc>
          <w:tcPr>
            <w:tcW w:w="2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400" w:type="dxa"/>
            <w:vAlign w:val="bottom"/>
            <w:gridSpan w:val="4"/>
          </w:tcPr>
          <w:p>
            <w:pPr>
              <w:ind w:left="380"/>
              <w:spacing w:after="0"/>
              <w:rPr>
                <w:sz w:val="20"/>
                <w:szCs w:val="20"/>
                <w:color w:val="auto"/>
              </w:rPr>
            </w:pPr>
            <w:r>
              <w:rPr>
                <w:rFonts w:ascii="Arial" w:cs="Arial" w:eastAsia="Arial" w:hAnsi="Arial"/>
                <w:sz w:val="18"/>
                <w:szCs w:val="18"/>
                <w:color w:val="auto"/>
              </w:rPr>
              <w:t>Current portion of debt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31"/>
              <w:spacing w:after="0"/>
              <w:rPr>
                <w:sz w:val="20"/>
                <w:szCs w:val="20"/>
                <w:color w:val="auto"/>
              </w:rPr>
            </w:pPr>
            <w:r>
              <w:rPr>
                <w:rFonts w:ascii="Arial" w:cs="Arial" w:eastAsia="Arial" w:hAnsi="Arial"/>
                <w:sz w:val="18"/>
                <w:szCs w:val="18"/>
                <w:color w:val="auto"/>
              </w:rPr>
              <w:t>36.6</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229.7</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91.9</w:t>
            </w:r>
          </w:p>
        </w:tc>
        <w:tc>
          <w:tcPr>
            <w:tcW w:w="0" w:type="dxa"/>
            <w:vAlign w:val="bottom"/>
          </w:tcPr>
          <w:p>
            <w:pPr>
              <w:spacing w:after="0"/>
              <w:rPr>
                <w:sz w:val="1"/>
                <w:szCs w:val="1"/>
                <w:color w:val="auto"/>
              </w:rPr>
            </w:pPr>
          </w:p>
        </w:tc>
      </w:tr>
      <w:tr>
        <w:trPr>
          <w:trHeight w:val="27"/>
        </w:trPr>
        <w:tc>
          <w:tcPr>
            <w:tcW w:w="2680" w:type="dxa"/>
            <w:vAlign w:val="bottom"/>
          </w:tcPr>
          <w:p>
            <w:pPr>
              <w:spacing w:after="0"/>
              <w:rPr>
                <w:sz w:val="2"/>
                <w:szCs w:val="2"/>
                <w:color w:val="auto"/>
              </w:rPr>
            </w:pPr>
          </w:p>
        </w:tc>
        <w:tc>
          <w:tcPr>
            <w:tcW w:w="2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gridSpan w:val="4"/>
            <w:shd w:val="clear" w:color="auto" w:fill="CCEEFF"/>
          </w:tcPr>
          <w:p>
            <w:pPr>
              <w:ind w:left="380"/>
              <w:spacing w:after="0"/>
              <w:rPr>
                <w:sz w:val="20"/>
                <w:szCs w:val="20"/>
                <w:color w:val="auto"/>
              </w:rPr>
            </w:pPr>
            <w:r>
              <w:rPr>
                <w:rFonts w:ascii="Arial" w:cs="Arial" w:eastAsia="Arial" w:hAnsi="Arial"/>
                <w:sz w:val="18"/>
                <w:szCs w:val="18"/>
                <w:color w:val="auto"/>
              </w:rPr>
              <w:t>Accounts payable</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230.8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193.3</w:t>
            </w:r>
          </w:p>
        </w:tc>
        <w:tc>
          <w:tcPr>
            <w:tcW w:w="0" w:type="dxa"/>
            <w:vAlign w:val="bottom"/>
          </w:tcPr>
          <w:p>
            <w:pPr>
              <w:spacing w:after="0"/>
              <w:rPr>
                <w:sz w:val="1"/>
                <w:szCs w:val="1"/>
                <w:color w:val="auto"/>
              </w:rPr>
            </w:pPr>
          </w:p>
        </w:tc>
      </w:tr>
      <w:tr>
        <w:trPr>
          <w:trHeight w:val="243"/>
        </w:trPr>
        <w:tc>
          <w:tcPr>
            <w:tcW w:w="6400" w:type="dxa"/>
            <w:vAlign w:val="bottom"/>
            <w:gridSpan w:val="4"/>
          </w:tcPr>
          <w:p>
            <w:pPr>
              <w:ind w:left="380"/>
              <w:spacing w:after="0"/>
              <w:rPr>
                <w:sz w:val="20"/>
                <w:szCs w:val="20"/>
                <w:color w:val="auto"/>
              </w:rPr>
            </w:pPr>
            <w:r>
              <w:rPr>
                <w:rFonts w:ascii="Arial" w:cs="Arial" w:eastAsia="Arial" w:hAnsi="Arial"/>
                <w:sz w:val="18"/>
                <w:szCs w:val="18"/>
                <w:color w:val="auto"/>
              </w:rPr>
              <w:t>Other current liabilities</w:t>
            </w:r>
          </w:p>
        </w:tc>
        <w:tc>
          <w:tcPr>
            <w:tcW w:w="200" w:type="dxa"/>
            <w:vAlign w:val="bottom"/>
          </w:tcPr>
          <w:p>
            <w:pPr>
              <w:spacing w:after="0"/>
              <w:rPr>
                <w:sz w:val="21"/>
                <w:szCs w:val="21"/>
                <w:color w:val="auto"/>
              </w:rPr>
            </w:pPr>
          </w:p>
        </w:tc>
        <w:tc>
          <w:tcPr>
            <w:tcW w:w="1420" w:type="dxa"/>
            <w:vAlign w:val="bottom"/>
          </w:tcPr>
          <w:p>
            <w:pPr>
              <w:jc w:val="right"/>
              <w:ind w:right="31"/>
              <w:spacing w:after="0"/>
              <w:rPr>
                <w:sz w:val="20"/>
                <w:szCs w:val="20"/>
                <w:color w:val="auto"/>
              </w:rPr>
            </w:pPr>
            <w:r>
              <w:rPr>
                <w:rFonts w:ascii="Arial" w:cs="Arial" w:eastAsia="Arial" w:hAnsi="Arial"/>
                <w:sz w:val="18"/>
                <w:szCs w:val="18"/>
                <w:color w:val="auto"/>
              </w:rPr>
              <w:t>165.3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188.4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259.5</w:t>
            </w:r>
          </w:p>
        </w:tc>
        <w:tc>
          <w:tcPr>
            <w:tcW w:w="0" w:type="dxa"/>
            <w:vAlign w:val="bottom"/>
          </w:tcPr>
          <w:p>
            <w:pPr>
              <w:spacing w:after="0"/>
              <w:rPr>
                <w:sz w:val="1"/>
                <w:szCs w:val="1"/>
                <w:color w:val="auto"/>
              </w:rPr>
            </w:pPr>
          </w:p>
        </w:tc>
      </w:tr>
      <w:tr>
        <w:trPr>
          <w:trHeight w:val="27"/>
        </w:trPr>
        <w:tc>
          <w:tcPr>
            <w:tcW w:w="2680" w:type="dxa"/>
            <w:vAlign w:val="bottom"/>
            <w:tcBorders>
              <w:bottom w:val="single" w:sz="8" w:color="CCEEFF"/>
            </w:tcBorders>
          </w:tcPr>
          <w:p>
            <w:pPr>
              <w:spacing w:after="0"/>
              <w:rPr>
                <w:sz w:val="2"/>
                <w:szCs w:val="2"/>
                <w:color w:val="auto"/>
              </w:rPr>
            </w:pPr>
          </w:p>
        </w:tc>
        <w:tc>
          <w:tcPr>
            <w:tcW w:w="214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400" w:type="dxa"/>
            <w:vAlign w:val="bottom"/>
            <w:tcBorders>
              <w:bottom w:val="single" w:sz="8" w:color="CCEEFF"/>
            </w:tcBorders>
            <w:gridSpan w:val="4"/>
            <w:shd w:val="clear" w:color="auto" w:fill="CCEEFF"/>
          </w:tcPr>
          <w:p>
            <w:pPr>
              <w:ind w:left="720"/>
              <w:spacing w:after="0"/>
              <w:rPr>
                <w:sz w:val="20"/>
                <w:szCs w:val="20"/>
                <w:color w:val="auto"/>
              </w:rPr>
            </w:pPr>
            <w:r>
              <w:rPr>
                <w:rFonts w:ascii="Arial" w:cs="Arial" w:eastAsia="Arial" w:hAnsi="Arial"/>
                <w:sz w:val="18"/>
                <w:szCs w:val="18"/>
                <w:color w:val="auto"/>
              </w:rPr>
              <w:t>Total current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421.9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648.9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544.7</w:t>
            </w:r>
          </w:p>
        </w:tc>
        <w:tc>
          <w:tcPr>
            <w:tcW w:w="0" w:type="dxa"/>
            <w:vAlign w:val="bottom"/>
          </w:tcPr>
          <w:p>
            <w:pPr>
              <w:spacing w:after="0"/>
              <w:rPr>
                <w:sz w:val="1"/>
                <w:szCs w:val="1"/>
                <w:color w:val="auto"/>
              </w:rPr>
            </w:pPr>
          </w:p>
        </w:tc>
      </w:tr>
      <w:tr>
        <w:trPr>
          <w:trHeight w:val="243"/>
        </w:trPr>
        <w:tc>
          <w:tcPr>
            <w:tcW w:w="6400" w:type="dxa"/>
            <w:vAlign w:val="bottom"/>
            <w:gridSpan w:val="4"/>
          </w:tcPr>
          <w:p>
            <w:pPr>
              <w:ind w:left="40"/>
              <w:spacing w:after="0"/>
              <w:rPr>
                <w:sz w:val="20"/>
                <w:szCs w:val="20"/>
                <w:color w:val="auto"/>
              </w:rPr>
            </w:pPr>
            <w:r>
              <w:rPr>
                <w:rFonts w:ascii="Arial" w:cs="Arial" w:eastAsia="Arial" w:hAnsi="Arial"/>
                <w:sz w:val="18"/>
                <w:szCs w:val="18"/>
                <w:color w:val="auto"/>
              </w:rPr>
              <w:t>Long term debt</w:t>
            </w:r>
          </w:p>
        </w:tc>
        <w:tc>
          <w:tcPr>
            <w:tcW w:w="200" w:type="dxa"/>
            <w:vAlign w:val="bottom"/>
          </w:tcPr>
          <w:p>
            <w:pPr>
              <w:spacing w:after="0"/>
              <w:rPr>
                <w:sz w:val="21"/>
                <w:szCs w:val="21"/>
                <w:color w:val="auto"/>
              </w:rPr>
            </w:pPr>
          </w:p>
        </w:tc>
        <w:tc>
          <w:tcPr>
            <w:tcW w:w="1420" w:type="dxa"/>
            <w:vAlign w:val="bottom"/>
          </w:tcPr>
          <w:p>
            <w:pPr>
              <w:jc w:val="right"/>
              <w:ind w:right="31"/>
              <w:spacing w:after="0"/>
              <w:rPr>
                <w:sz w:val="20"/>
                <w:szCs w:val="20"/>
                <w:color w:val="auto"/>
              </w:rPr>
            </w:pPr>
            <w:r>
              <w:rPr>
                <w:rFonts w:ascii="Arial" w:cs="Arial" w:eastAsia="Arial" w:hAnsi="Arial"/>
                <w:sz w:val="18"/>
                <w:szCs w:val="18"/>
                <w:color w:val="auto"/>
              </w:rPr>
              <w:t>1,133.3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652.3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692.4</w:t>
            </w:r>
          </w:p>
        </w:tc>
        <w:tc>
          <w:tcPr>
            <w:tcW w:w="0" w:type="dxa"/>
            <w:vAlign w:val="bottom"/>
          </w:tcPr>
          <w:p>
            <w:pPr>
              <w:spacing w:after="0"/>
              <w:rPr>
                <w:sz w:val="1"/>
                <w:szCs w:val="1"/>
                <w:color w:val="auto"/>
              </w:rPr>
            </w:pPr>
          </w:p>
        </w:tc>
      </w:tr>
      <w:tr>
        <w:trPr>
          <w:trHeight w:val="27"/>
        </w:trPr>
        <w:tc>
          <w:tcPr>
            <w:tcW w:w="2680" w:type="dxa"/>
            <w:vAlign w:val="bottom"/>
          </w:tcPr>
          <w:p>
            <w:pPr>
              <w:spacing w:after="0"/>
              <w:rPr>
                <w:sz w:val="2"/>
                <w:szCs w:val="2"/>
                <w:color w:val="auto"/>
              </w:rPr>
            </w:pPr>
          </w:p>
        </w:tc>
        <w:tc>
          <w:tcPr>
            <w:tcW w:w="2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Other liabilities</w:t>
            </w:r>
          </w:p>
        </w:tc>
        <w:tc>
          <w:tcPr>
            <w:tcW w:w="2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249.1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236.9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254.0</w:t>
            </w:r>
          </w:p>
        </w:tc>
        <w:tc>
          <w:tcPr>
            <w:tcW w:w="0" w:type="dxa"/>
            <w:vAlign w:val="bottom"/>
          </w:tcPr>
          <w:p>
            <w:pPr>
              <w:spacing w:after="0"/>
              <w:rPr>
                <w:sz w:val="1"/>
                <w:szCs w:val="1"/>
                <w:color w:val="auto"/>
              </w:rPr>
            </w:pPr>
          </w:p>
        </w:tc>
      </w:tr>
      <w:tr>
        <w:trPr>
          <w:trHeight w:val="237"/>
        </w:trPr>
        <w:tc>
          <w:tcPr>
            <w:tcW w:w="6400" w:type="dxa"/>
            <w:vAlign w:val="bottom"/>
            <w:gridSpan w:val="4"/>
          </w:tcPr>
          <w:p>
            <w:pPr>
              <w:ind w:left="720"/>
              <w:spacing w:after="0"/>
              <w:rPr>
                <w:sz w:val="20"/>
                <w:szCs w:val="20"/>
                <w:color w:val="auto"/>
              </w:rPr>
            </w:pPr>
            <w:r>
              <w:rPr>
                <w:rFonts w:ascii="Arial" w:cs="Arial" w:eastAsia="Arial" w:hAnsi="Arial"/>
                <w:sz w:val="18"/>
                <w:szCs w:val="18"/>
                <w:color w:val="auto"/>
              </w:rPr>
              <w:t>Total liabilities</w:t>
            </w:r>
          </w:p>
        </w:tc>
        <w:tc>
          <w:tcPr>
            <w:tcW w:w="20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1,804.3</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1,538.1</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1,491.1</w:t>
            </w:r>
          </w:p>
        </w:tc>
        <w:tc>
          <w:tcPr>
            <w:tcW w:w="0" w:type="dxa"/>
            <w:vAlign w:val="bottom"/>
          </w:tcPr>
          <w:p>
            <w:pPr>
              <w:spacing w:after="0"/>
              <w:rPr>
                <w:sz w:val="1"/>
                <w:szCs w:val="1"/>
                <w:color w:val="auto"/>
              </w:rPr>
            </w:pPr>
          </w:p>
        </w:tc>
      </w:tr>
      <w:tr>
        <w:trPr>
          <w:trHeight w:val="27"/>
        </w:trPr>
        <w:tc>
          <w:tcPr>
            <w:tcW w:w="2680" w:type="dxa"/>
            <w:vAlign w:val="bottom"/>
          </w:tcPr>
          <w:p>
            <w:pPr>
              <w:spacing w:after="0"/>
              <w:rPr>
                <w:sz w:val="2"/>
                <w:szCs w:val="2"/>
                <w:color w:val="auto"/>
              </w:rPr>
            </w:pPr>
          </w:p>
        </w:tc>
        <w:tc>
          <w:tcPr>
            <w:tcW w:w="2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Contingencies (note 11)</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400" w:type="dxa"/>
            <w:vAlign w:val="bottom"/>
            <w:gridSpan w:val="4"/>
          </w:tcPr>
          <w:p>
            <w:pPr>
              <w:ind w:left="40"/>
              <w:spacing w:after="0"/>
              <w:rPr>
                <w:sz w:val="20"/>
                <w:szCs w:val="20"/>
                <w:color w:val="auto"/>
              </w:rPr>
            </w:pPr>
            <w:r>
              <w:rPr>
                <w:rFonts w:ascii="Arial" w:cs="Arial" w:eastAsia="Arial" w:hAnsi="Arial"/>
                <w:sz w:val="18"/>
                <w:szCs w:val="18"/>
                <w:color w:val="auto"/>
              </w:rPr>
              <w:t>Shareholders’ equity:</w:t>
            </w:r>
          </w:p>
        </w:tc>
        <w:tc>
          <w:tcPr>
            <w:tcW w:w="2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680" w:type="dxa"/>
            <w:vAlign w:val="bottom"/>
          </w:tcPr>
          <w:p>
            <w:pPr>
              <w:spacing w:after="0"/>
              <w:rPr>
                <w:sz w:val="2"/>
                <w:szCs w:val="2"/>
                <w:color w:val="auto"/>
              </w:rPr>
            </w:pPr>
          </w:p>
        </w:tc>
        <w:tc>
          <w:tcPr>
            <w:tcW w:w="2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48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89"/>
              </w:rPr>
              <w:t>Common shares and capital in excess of $.01 stated value per</w:t>
            </w:r>
          </w:p>
        </w:tc>
        <w:tc>
          <w:tcPr>
            <w:tcW w:w="840" w:type="dxa"/>
            <w:vAlign w:val="bottom"/>
            <w:shd w:val="clear" w:color="auto" w:fill="CCEEFF"/>
          </w:tcPr>
          <w:p>
            <w:pPr>
              <w:spacing w:after="0"/>
              <w:rPr>
                <w:sz w:val="20"/>
                <w:szCs w:val="20"/>
                <w:color w:val="auto"/>
              </w:rPr>
            </w:pPr>
            <w:r>
              <w:rPr>
                <w:rFonts w:ascii="Arial" w:cs="Arial" w:eastAsia="Arial" w:hAnsi="Arial"/>
                <w:sz w:val="18"/>
                <w:szCs w:val="18"/>
                <w:color w:val="auto"/>
                <w:w w:val="86"/>
                <w:shd w:val="clear" w:color="auto" w:fill="CCEEFF"/>
              </w:rPr>
              <w:t>share; 60.7,</w:t>
            </w:r>
          </w:p>
        </w:tc>
        <w:tc>
          <w:tcPr>
            <w:tcW w:w="7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6"/>
              </w:rPr>
              <w:t>62.2 and</w:t>
            </w: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82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60.7 shares issued and outstanding, respectively</w:t>
            </w:r>
          </w:p>
        </w:tc>
        <w:tc>
          <w:tcPr>
            <w:tcW w:w="84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399.0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394.2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395.3</w:t>
            </w:r>
          </w:p>
        </w:tc>
        <w:tc>
          <w:tcPr>
            <w:tcW w:w="0" w:type="dxa"/>
            <w:vAlign w:val="bottom"/>
          </w:tcPr>
          <w:p>
            <w:pPr>
              <w:spacing w:after="0"/>
              <w:rPr>
                <w:sz w:val="1"/>
                <w:szCs w:val="1"/>
                <w:color w:val="auto"/>
              </w:rPr>
            </w:pPr>
          </w:p>
        </w:tc>
      </w:tr>
      <w:tr>
        <w:trPr>
          <w:trHeight w:val="243"/>
        </w:trPr>
        <w:tc>
          <w:tcPr>
            <w:tcW w:w="6400" w:type="dxa"/>
            <w:vAlign w:val="bottom"/>
            <w:gridSpan w:val="4"/>
          </w:tcPr>
          <w:p>
            <w:pPr>
              <w:ind w:left="340"/>
              <w:spacing w:after="0"/>
              <w:rPr>
                <w:sz w:val="20"/>
                <w:szCs w:val="20"/>
                <w:color w:val="auto"/>
              </w:rPr>
            </w:pPr>
            <w:r>
              <w:rPr>
                <w:rFonts w:ascii="Arial" w:cs="Arial" w:eastAsia="Arial" w:hAnsi="Arial"/>
                <w:sz w:val="18"/>
                <w:szCs w:val="18"/>
                <w:color w:val="auto"/>
              </w:rPr>
              <w:t>Retained earnings</w:t>
            </w:r>
          </w:p>
        </w:tc>
        <w:tc>
          <w:tcPr>
            <w:tcW w:w="200" w:type="dxa"/>
            <w:vAlign w:val="bottom"/>
          </w:tcPr>
          <w:p>
            <w:pPr>
              <w:spacing w:after="0"/>
              <w:rPr>
                <w:sz w:val="21"/>
                <w:szCs w:val="21"/>
                <w:color w:val="auto"/>
              </w:rPr>
            </w:pPr>
          </w:p>
        </w:tc>
        <w:tc>
          <w:tcPr>
            <w:tcW w:w="1420" w:type="dxa"/>
            <w:vAlign w:val="bottom"/>
          </w:tcPr>
          <w:p>
            <w:pPr>
              <w:jc w:val="right"/>
              <w:ind w:right="31"/>
              <w:spacing w:after="0"/>
              <w:rPr>
                <w:sz w:val="20"/>
                <w:szCs w:val="20"/>
                <w:color w:val="auto"/>
              </w:rPr>
            </w:pPr>
            <w:r>
              <w:rPr>
                <w:rFonts w:ascii="Arial" w:cs="Arial" w:eastAsia="Arial" w:hAnsi="Arial"/>
                <w:sz w:val="18"/>
                <w:szCs w:val="18"/>
                <w:color w:val="auto"/>
              </w:rPr>
              <w:t>534.6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610.2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636.9</w:t>
            </w:r>
          </w:p>
        </w:tc>
        <w:tc>
          <w:tcPr>
            <w:tcW w:w="0" w:type="dxa"/>
            <w:vAlign w:val="bottom"/>
          </w:tcPr>
          <w:p>
            <w:pPr>
              <w:spacing w:after="0"/>
              <w:rPr>
                <w:sz w:val="1"/>
                <w:szCs w:val="1"/>
                <w:color w:val="auto"/>
              </w:rPr>
            </w:pPr>
          </w:p>
        </w:tc>
      </w:tr>
      <w:tr>
        <w:trPr>
          <w:trHeight w:val="27"/>
        </w:trPr>
        <w:tc>
          <w:tcPr>
            <w:tcW w:w="2680" w:type="dxa"/>
            <w:vAlign w:val="bottom"/>
          </w:tcPr>
          <w:p>
            <w:pPr>
              <w:spacing w:after="0"/>
              <w:rPr>
                <w:sz w:val="2"/>
                <w:szCs w:val="2"/>
                <w:color w:val="auto"/>
              </w:rPr>
            </w:pPr>
          </w:p>
        </w:tc>
        <w:tc>
          <w:tcPr>
            <w:tcW w:w="2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w w:val="87"/>
              </w:rPr>
              <w:t xml:space="preserve">Treasury shares, at cost; </w:t>
            </w:r>
            <w:r>
              <w:rPr>
                <w:rFonts w:ascii="Arial" w:cs="Arial" w:eastAsia="Arial" w:hAnsi="Arial"/>
                <w:sz w:val="18"/>
                <w:szCs w:val="18"/>
                <w:color w:val="auto"/>
                <w:w w:val="87"/>
                <w:shd w:val="clear" w:color="auto" w:fill="CCEEFF"/>
              </w:rPr>
              <w:t>7.5, 6.0</w:t>
            </w:r>
          </w:p>
        </w:tc>
        <w:tc>
          <w:tcPr>
            <w:tcW w:w="37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and 7.4 shares, respectively</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(398.2)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(307.9)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(392.3)</w:t>
            </w:r>
          </w:p>
        </w:tc>
        <w:tc>
          <w:tcPr>
            <w:tcW w:w="0" w:type="dxa"/>
            <w:vAlign w:val="bottom"/>
          </w:tcPr>
          <w:p>
            <w:pPr>
              <w:spacing w:after="0"/>
              <w:rPr>
                <w:sz w:val="1"/>
                <w:szCs w:val="1"/>
                <w:color w:val="auto"/>
              </w:rPr>
            </w:pPr>
          </w:p>
        </w:tc>
      </w:tr>
      <w:tr>
        <w:trPr>
          <w:trHeight w:val="243"/>
        </w:trPr>
        <w:tc>
          <w:tcPr>
            <w:tcW w:w="6400" w:type="dxa"/>
            <w:vAlign w:val="bottom"/>
            <w:gridSpan w:val="4"/>
          </w:tcPr>
          <w:p>
            <w:pPr>
              <w:ind w:left="340"/>
              <w:spacing w:after="0"/>
              <w:rPr>
                <w:sz w:val="20"/>
                <w:szCs w:val="20"/>
                <w:color w:val="auto"/>
              </w:rPr>
            </w:pPr>
            <w:r>
              <w:rPr>
                <w:rFonts w:ascii="Arial" w:cs="Arial" w:eastAsia="Arial" w:hAnsi="Arial"/>
                <w:sz w:val="18"/>
                <w:szCs w:val="18"/>
                <w:color w:val="auto"/>
              </w:rPr>
              <w:t>Accumulated other comprehensive loss</w:t>
            </w:r>
          </w:p>
        </w:tc>
        <w:tc>
          <w:tcPr>
            <w:tcW w:w="2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(88.6)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(75.2)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(86.2)</w:t>
            </w:r>
          </w:p>
        </w:tc>
        <w:tc>
          <w:tcPr>
            <w:tcW w:w="0" w:type="dxa"/>
            <w:vAlign w:val="bottom"/>
          </w:tcPr>
          <w:p>
            <w:pPr>
              <w:spacing w:after="0"/>
              <w:rPr>
                <w:sz w:val="1"/>
                <w:szCs w:val="1"/>
                <w:color w:val="auto"/>
              </w:rPr>
            </w:pPr>
          </w:p>
        </w:tc>
      </w:tr>
      <w:tr>
        <w:trPr>
          <w:trHeight w:val="27"/>
        </w:trPr>
        <w:tc>
          <w:tcPr>
            <w:tcW w:w="2680" w:type="dxa"/>
            <w:vAlign w:val="bottom"/>
            <w:tcBorders>
              <w:bottom w:val="single" w:sz="8" w:color="CCEEFF"/>
            </w:tcBorders>
          </w:tcPr>
          <w:p>
            <w:pPr>
              <w:spacing w:after="0"/>
              <w:rPr>
                <w:sz w:val="2"/>
                <w:szCs w:val="2"/>
                <w:color w:val="auto"/>
              </w:rPr>
            </w:pPr>
          </w:p>
        </w:tc>
        <w:tc>
          <w:tcPr>
            <w:tcW w:w="214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400" w:type="dxa"/>
            <w:vAlign w:val="bottom"/>
            <w:tcBorders>
              <w:bottom w:val="single" w:sz="8" w:color="CCEEFF"/>
            </w:tcBorders>
            <w:gridSpan w:val="4"/>
            <w:shd w:val="clear" w:color="auto" w:fill="CCEEFF"/>
          </w:tcPr>
          <w:p>
            <w:pPr>
              <w:ind w:left="720"/>
              <w:spacing w:after="0"/>
              <w:rPr>
                <w:sz w:val="20"/>
                <w:szCs w:val="20"/>
                <w:color w:val="auto"/>
              </w:rPr>
            </w:pPr>
            <w:r>
              <w:rPr>
                <w:rFonts w:ascii="Arial" w:cs="Arial" w:eastAsia="Arial" w:hAnsi="Arial"/>
                <w:sz w:val="18"/>
                <w:szCs w:val="18"/>
                <w:color w:val="auto"/>
              </w:rPr>
              <w:t>Total shareholders’ equity - controlling interest</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446.8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621.3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553.7</w:t>
            </w:r>
          </w:p>
        </w:tc>
        <w:tc>
          <w:tcPr>
            <w:tcW w:w="0" w:type="dxa"/>
            <w:vAlign w:val="bottom"/>
          </w:tcPr>
          <w:p>
            <w:pPr>
              <w:spacing w:after="0"/>
              <w:rPr>
                <w:sz w:val="1"/>
                <w:szCs w:val="1"/>
                <w:color w:val="auto"/>
              </w:rPr>
            </w:pPr>
          </w:p>
        </w:tc>
      </w:tr>
      <w:tr>
        <w:trPr>
          <w:trHeight w:val="243"/>
        </w:trPr>
        <w:tc>
          <w:tcPr>
            <w:tcW w:w="6400" w:type="dxa"/>
            <w:vAlign w:val="bottom"/>
            <w:gridSpan w:val="4"/>
          </w:tcPr>
          <w:p>
            <w:pPr>
              <w:ind w:left="720"/>
              <w:spacing w:after="0"/>
              <w:rPr>
                <w:sz w:val="20"/>
                <w:szCs w:val="20"/>
                <w:color w:val="auto"/>
              </w:rPr>
            </w:pPr>
            <w:r>
              <w:rPr>
                <w:rFonts w:ascii="Arial" w:cs="Arial" w:eastAsia="Arial" w:hAnsi="Arial"/>
                <w:sz w:val="18"/>
                <w:szCs w:val="18"/>
                <w:color w:val="auto"/>
              </w:rPr>
              <w:t>Noncontrolling interest</w:t>
            </w:r>
          </w:p>
        </w:tc>
        <w:tc>
          <w:tcPr>
            <w:tcW w:w="200" w:type="dxa"/>
            <w:vAlign w:val="bottom"/>
          </w:tcPr>
          <w:p>
            <w:pPr>
              <w:spacing w:after="0"/>
              <w:rPr>
                <w:sz w:val="21"/>
                <w:szCs w:val="21"/>
                <w:color w:val="auto"/>
              </w:rPr>
            </w:pPr>
          </w:p>
        </w:tc>
        <w:tc>
          <w:tcPr>
            <w:tcW w:w="1420" w:type="dxa"/>
            <w:vAlign w:val="bottom"/>
          </w:tcPr>
          <w:p>
            <w:pPr>
              <w:jc w:val="right"/>
              <w:ind w:right="31"/>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7"/>
        </w:trPr>
        <w:tc>
          <w:tcPr>
            <w:tcW w:w="2680" w:type="dxa"/>
            <w:vAlign w:val="bottom"/>
            <w:tcBorders>
              <w:bottom w:val="single" w:sz="8" w:color="CCEEFF"/>
            </w:tcBorders>
          </w:tcPr>
          <w:p>
            <w:pPr>
              <w:spacing w:after="0"/>
              <w:rPr>
                <w:sz w:val="2"/>
                <w:szCs w:val="2"/>
                <w:color w:val="auto"/>
              </w:rPr>
            </w:pPr>
          </w:p>
        </w:tc>
        <w:tc>
          <w:tcPr>
            <w:tcW w:w="214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400" w:type="dxa"/>
            <w:vAlign w:val="bottom"/>
            <w:tcBorders>
              <w:bottom w:val="single" w:sz="8" w:color="CCEEFF"/>
            </w:tcBorders>
            <w:gridSpan w:val="4"/>
            <w:shd w:val="clear" w:color="auto" w:fill="CCEEFF"/>
          </w:tcPr>
          <w:p>
            <w:pPr>
              <w:ind w:left="720"/>
              <w:spacing w:after="0"/>
              <w:rPr>
                <w:sz w:val="20"/>
                <w:szCs w:val="20"/>
                <w:color w:val="auto"/>
              </w:rPr>
            </w:pPr>
            <w:r>
              <w:rPr>
                <w:rFonts w:ascii="Arial" w:cs="Arial" w:eastAsia="Arial" w:hAnsi="Arial"/>
                <w:sz w:val="18"/>
                <w:szCs w:val="18"/>
                <w:color w:val="auto"/>
              </w:rPr>
              <w:t>Total equity</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460.9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621.3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567.2</w:t>
            </w: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bottom w:val="single" w:sz="8" w:color="CCEEFF"/>
            </w:tcBorders>
            <w:gridSpan w:val="4"/>
            <w:vMerge w:val="restart"/>
          </w:tcPr>
          <w:p>
            <w:pPr>
              <w:ind w:left="720"/>
              <w:spacing w:after="0"/>
              <w:rPr>
                <w:sz w:val="20"/>
                <w:szCs w:val="20"/>
                <w:color w:val="auto"/>
              </w:rPr>
            </w:pPr>
            <w:r>
              <w:rPr>
                <w:rFonts w:ascii="Arial" w:cs="Arial" w:eastAsia="Arial" w:hAnsi="Arial"/>
                <w:sz w:val="18"/>
                <w:szCs w:val="18"/>
                <w:color w:val="auto"/>
              </w:rPr>
              <w:t>Total liabilities and shareholders’ equity</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400" w:type="dxa"/>
            <w:vAlign w:val="bottom"/>
            <w:gridSpan w:val="4"/>
            <w:vMerge w:val="continue"/>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31"/>
              <w:spacing w:after="0"/>
              <w:rPr>
                <w:sz w:val="20"/>
                <w:szCs w:val="20"/>
                <w:color w:val="auto"/>
              </w:rPr>
            </w:pPr>
            <w:r>
              <w:rPr>
                <w:rFonts w:ascii="Arial" w:cs="Arial" w:eastAsia="Arial" w:hAnsi="Arial"/>
                <w:sz w:val="18"/>
                <w:szCs w:val="18"/>
                <w:color w:val="auto"/>
              </w:rPr>
              <w:t>2,265.2</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2,159.4</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2,058.3</w:t>
            </w:r>
          </w:p>
        </w:tc>
        <w:tc>
          <w:tcPr>
            <w:tcW w:w="0" w:type="dxa"/>
            <w:vAlign w:val="bottom"/>
          </w:tcPr>
          <w:p>
            <w:pPr>
              <w:spacing w:after="0"/>
              <w:rPr>
                <w:sz w:val="1"/>
                <w:szCs w:val="1"/>
                <w:color w:val="auto"/>
              </w:rPr>
            </w:pPr>
          </w:p>
        </w:tc>
      </w:tr>
      <w:tr>
        <w:trPr>
          <w:trHeight w:val="27"/>
        </w:trPr>
        <w:tc>
          <w:tcPr>
            <w:tcW w:w="2680" w:type="dxa"/>
            <w:vAlign w:val="bottom"/>
          </w:tcPr>
          <w:p>
            <w:pPr>
              <w:spacing w:after="0"/>
              <w:rPr>
                <w:sz w:val="2"/>
                <w:szCs w:val="2"/>
                <w:color w:val="auto"/>
              </w:rPr>
            </w:pPr>
          </w:p>
        </w:tc>
        <w:tc>
          <w:tcPr>
            <w:tcW w:w="2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6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5" w:right="239" w:bottom="1440" w:gutter="0" w:footer="0" w:header="0"/>
        </w:sectPr>
      </w:pPr>
    </w:p>
    <w:bookmarkStart w:id="6" w:name="page7"/>
    <w:bookmarkEnd w:id="6"/>
    <w:p>
      <w:pPr>
        <w:spacing w:after="0"/>
        <w:rPr>
          <w:rFonts w:ascii="Arial" w:cs="Arial" w:eastAsia="Arial" w:hAnsi="Arial"/>
          <w:sz w:val="18"/>
          <w:szCs w:val="18"/>
          <w:color w:val="FFFFFF"/>
        </w:rPr>
      </w:pPr>
      <w:hyperlink w:anchor="page1">
        <w:r>
          <w:rPr>
            <w:rFonts w:ascii="Arial" w:cs="Arial" w:eastAsia="Arial" w:hAnsi="Arial"/>
            <w:sz w:val="18"/>
            <w:szCs w:val="18"/>
            <w:color w:val="FFFFFF"/>
          </w:rPr>
          <w:t>Table of Contents</w:t>
        </w:r>
      </w:hyperlink>
    </w:p>
    <w:p>
      <w:pPr>
        <w:spacing w:after="0" w:line="383" w:lineRule="exact"/>
        <w:rPr>
          <w:sz w:val="20"/>
          <w:szCs w:val="20"/>
          <w:color w:val="auto"/>
        </w:rPr>
      </w:pPr>
    </w:p>
    <w:p>
      <w:pPr>
        <w:ind w:left="2140"/>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SUMMARY OF SIGNIFICANT ACCOUNTING POLICIES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Nature of Operations</w:t>
      </w:r>
    </w:p>
    <w:p>
      <w:pPr>
        <w:spacing w:after="0" w:line="144" w:lineRule="exact"/>
        <w:rPr>
          <w:sz w:val="20"/>
          <w:szCs w:val="20"/>
          <w:color w:val="auto"/>
        </w:rPr>
      </w:pPr>
    </w:p>
    <w:p>
      <w:pPr>
        <w:jc w:val="both"/>
        <w:ind w:firstLine="432"/>
        <w:spacing w:after="0" w:line="294" w:lineRule="auto"/>
        <w:rPr>
          <w:sz w:val="20"/>
          <w:szCs w:val="20"/>
          <w:color w:val="auto"/>
        </w:rPr>
      </w:pPr>
      <w:r>
        <w:rPr>
          <w:rFonts w:ascii="Arial" w:cs="Arial" w:eastAsia="Arial" w:hAnsi="Arial"/>
          <w:sz w:val="16"/>
          <w:szCs w:val="16"/>
          <w:color w:val="auto"/>
        </w:rPr>
        <w:t>The Scotts Miracle-Gro Company (“Scotts Miracle-Gro” or “Parent”) and its subsidiaries (collectively, together with Scotts Miracle-Gro, the “Company”) are engaged in the manufacturing, marketing and sale of consumer branded products for lawn and garden care. The Company’s primary customers include home centers, mass merchandisers, warehouse clubs, large hardware chains, independent hardware stores, nurseries, garden centers and food and drug stores. The Company’s products are sold primarily in North America and the European Union. The Company also operates the Scotts LawnService</w:t>
      </w:r>
      <w:r>
        <w:rPr>
          <w:rFonts w:ascii="Arial" w:cs="Arial" w:eastAsia="Arial" w:hAnsi="Arial"/>
          <w:sz w:val="22"/>
          <w:szCs w:val="22"/>
          <w:color w:val="auto"/>
          <w:vertAlign w:val="superscript"/>
        </w:rPr>
        <w:t>®</w:t>
      </w:r>
      <w:r>
        <w:rPr>
          <w:rFonts w:ascii="Arial" w:cs="Arial" w:eastAsia="Arial" w:hAnsi="Arial"/>
          <w:sz w:val="16"/>
          <w:szCs w:val="16"/>
          <w:color w:val="auto"/>
        </w:rPr>
        <w:t xml:space="preserve"> business, which provides residential and commercial lawn care, tree and shrub care and limited pest control services in the United States.</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Organization and Basis of Presentation</w:t>
      </w:r>
    </w:p>
    <w:p>
      <w:pPr>
        <w:spacing w:after="0" w:line="144"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The Company’s unaudited condensed consolidated financial statements for the three months ended December 27, 2014 and December 28, 2013 are presented in accordance with accounting principles generally accepted in the United States of America (“GAAP”). The condensed consolidated financial statements include the accounts of Scotts Miracle-Gro and its subsidiaries. All intercompany transactions and accounts have been eliminated in consolidation. The Company’s consolidation criteria are based on majority ownership (as evidenced by a majority voting interest in the entity) and an objective evaluation and determination of effective management control. AeroGrow International, Inc. (“AeroGrow”), in which the Company owns controlling interest, is consolidated with the equity owned by other shareholders shown as noncontrolling interest in the consolidated balance sheets, and the other shareholders' portion of net earnings and other comprehensive income is shown as net earnings or comprehensive income attributable to noncontrolling interest in the consolidated statement of operations and consolidated statements of comprehensive income (loss), respectively. In the opinion of management, interim results reflect all normal and recurring adjustments and are not necessarily indicative of results for a full year.</w:t>
      </w:r>
    </w:p>
    <w:p>
      <w:pPr>
        <w:spacing w:after="0" w:line="10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Certain information and footnote disclosures normally included in financial statements prepared in accordance with GAAP have been omitted or condensed pursuant to the rules and regulations of the Securities and Exchange Commission (“SEC”). Accordingly, this report should be read in conjunction with Scotts Miracle-Gro’s Annual Report on Form 10-K for the fiscal year ended September 30, 2014 (the “2014 Annual Report”), which includes a complete set of footnote disclosures, including the Company’s significant accounting policies.</w:t>
      </w:r>
    </w:p>
    <w:p>
      <w:pPr>
        <w:spacing w:after="0" w:line="106"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color w:val="auto"/>
        </w:rPr>
        <w:t>The Company’s Condensed Consolidated Balance Sheet at December 27, 2014 has been derived from the Company’s audited Consolidated Balance Sheet at that date, but does not include all of the information and footnotes required by GAAP for complete financial statements.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Use of Estimates</w:t>
      </w:r>
    </w:p>
    <w:p>
      <w:pPr>
        <w:spacing w:after="0" w:line="144" w:lineRule="exact"/>
        <w:rPr>
          <w:sz w:val="20"/>
          <w:szCs w:val="20"/>
          <w:color w:val="auto"/>
        </w:rPr>
      </w:pPr>
    </w:p>
    <w:p>
      <w:pPr>
        <w:jc w:val="both"/>
        <w:ind w:right="20" w:firstLine="432"/>
        <w:spacing w:after="0" w:line="264" w:lineRule="auto"/>
        <w:rPr>
          <w:sz w:val="20"/>
          <w:szCs w:val="20"/>
          <w:color w:val="auto"/>
        </w:rPr>
      </w:pPr>
      <w:r>
        <w:rPr>
          <w:rFonts w:ascii="Arial" w:cs="Arial" w:eastAsia="Arial" w:hAnsi="Arial"/>
          <w:sz w:val="18"/>
          <w:szCs w:val="18"/>
          <w:color w:val="auto"/>
        </w:rPr>
        <w:t>The preparation of condensed consolidated financial statements in conformity with GAAP requires management to make estimates and assumptions that affect the amounts reported and related disclosures. Although these estimates are based on management’s best knowledge of current events and actions the Company may undertake in the future, actual results ultimately may differ from the estimates.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Long-lived Assets</w:t>
      </w:r>
    </w:p>
    <w:p>
      <w:pPr>
        <w:spacing w:after="0" w:line="171"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Company had noncash investing activities of $3.0 million and $2.0 million representing unpaid liabilities incurred during the three months ended December 27, 2014 and December 28, 2013, respectively, to acquire property, plant and equipment.</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RECENT ACCOUNTING PRONOUNCEMENTS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Revenue Recognition from Contracts with Customers</w:t>
      </w:r>
    </w:p>
    <w:p>
      <w:pPr>
        <w:spacing w:after="0" w:line="225"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 xml:space="preserve">In May 2014, the Financial Accounting Standards Board (“FASB”) issued Accounting Standards Update No. 2014-09, </w:t>
      </w:r>
      <w:r>
        <w:rPr>
          <w:rFonts w:ascii="Arial" w:cs="Arial" w:eastAsia="Arial" w:hAnsi="Arial"/>
          <w:sz w:val="18"/>
          <w:szCs w:val="18"/>
          <w:i w:val="1"/>
          <w:iCs w:val="1"/>
          <w:color w:val="auto"/>
        </w:rPr>
        <w:t>Revenue from Contracts with</w:t>
      </w:r>
      <w:r>
        <w:rPr>
          <w:rFonts w:ascii="Arial" w:cs="Arial" w:eastAsia="Arial" w:hAnsi="Arial"/>
          <w:sz w:val="18"/>
          <w:szCs w:val="18"/>
          <w:color w:val="auto"/>
        </w:rPr>
        <w:t xml:space="preserve"> </w:t>
      </w:r>
      <w:r>
        <w:rPr>
          <w:rFonts w:ascii="Arial" w:cs="Arial" w:eastAsia="Arial" w:hAnsi="Arial"/>
          <w:sz w:val="18"/>
          <w:szCs w:val="18"/>
          <w:i w:val="1"/>
          <w:iCs w:val="1"/>
          <w:color w:val="auto"/>
        </w:rPr>
        <w:t>Customers</w:t>
      </w:r>
      <w:r>
        <w:rPr>
          <w:rFonts w:ascii="Arial" w:cs="Arial" w:eastAsia="Arial" w:hAnsi="Arial"/>
          <w:sz w:val="18"/>
          <w:szCs w:val="18"/>
          <w:color w:val="auto"/>
        </w:rPr>
        <w:t>. This guidance requires companies to recognize revenue in a manner that depicts the transfer of promised goods or services to customers in</w:t>
      </w:r>
      <w:r>
        <w:rPr>
          <w:rFonts w:ascii="Arial" w:cs="Arial" w:eastAsia="Arial" w:hAnsi="Arial"/>
          <w:sz w:val="18"/>
          <w:szCs w:val="18"/>
          <w:i w:val="1"/>
          <w:iCs w:val="1"/>
          <w:color w:val="auto"/>
        </w:rPr>
        <w:t xml:space="preserve"> </w:t>
      </w:r>
      <w:r>
        <w:rPr>
          <w:rFonts w:ascii="Arial" w:cs="Arial" w:eastAsia="Arial" w:hAnsi="Arial"/>
          <w:sz w:val="18"/>
          <w:szCs w:val="18"/>
          <w:color w:val="auto"/>
        </w:rPr>
        <w:t>amounts that reflect the consideration to which a company expects to be entitled in exchange for those goods or services. The new standard also will result in enhanced disclosures about the nature, amount, timing and uncertainty of revenue and cash flows arising from contracts with customers. The provisions are effective for the Company's financial statements for the fiscal year beginning October 1, 2017. The standard allows for either a full retrospective or a modified retrospective transition method. The Company is currently evaluating the impact of this standard on its consolidated results of operations, financial position and cash flows.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sectPr>
      </w:pPr>
    </w:p>
    <w:bookmarkStart w:id="7" w:name="page8"/>
    <w:bookmarkEnd w:id="7"/>
    <w:p>
      <w:pPr>
        <w:spacing w:after="0"/>
        <w:rPr>
          <w:rFonts w:ascii="Arial" w:cs="Arial" w:eastAsia="Arial" w:hAnsi="Arial"/>
          <w:sz w:val="18"/>
          <w:szCs w:val="18"/>
          <w:color w:val="FFFFFF"/>
        </w:rPr>
      </w:pPr>
      <w:hyperlink w:anchor="page1">
        <w:r>
          <w:rPr>
            <w:rFonts w:ascii="Arial" w:cs="Arial" w:eastAsia="Arial" w:hAnsi="Arial"/>
            <w:sz w:val="18"/>
            <w:szCs w:val="18"/>
            <w:color w:val="FFFFFF"/>
          </w:rPr>
          <w:t>Table of Contents</w:t>
        </w:r>
      </w:hyperlink>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Discontinued Operations Reporting</w:t>
      </w:r>
    </w:p>
    <w:p>
      <w:pPr>
        <w:spacing w:after="0" w:line="144"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In April 2014, the FASB issued an accounting standard update that amends the accounting guidance related to discontinued operations. This amendment defines discontinued operations as a component or group of components that is disposed of or is classified as held for sale and represents a strategic shift that has or will have a major effect on an entity’s operations and financial results. This amendment also introduces new disclosures for disposals that do not meet the criteria of discontinued operations. The provisions are effective for fiscal years beginning after December 15, 2014 and apply to new disposals and new classifications of disposal groups as held for sale after the effective date. The adoption of the amended guidance impacts presentation and disclosure and will not have a significant impact on the Company's consolidated financial position, results of operations or cash flows.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Going Concern</w:t>
      </w:r>
    </w:p>
    <w:p>
      <w:pPr>
        <w:spacing w:after="0" w:line="144"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In August 2014, the FASB issued a new accounting standard that requires management to assess if there is substantial doubt about an entity’s ability to continue as a going concern for each annual and interim period. If conditions or events give rise to substantial doubt, disclosures are required. The new accounting standard will be effective as of December 31, 2016 and is not expected to have an impact on the Company's financial statement disclosures.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DISCONTINUED OPERATIONS</w:t>
      </w:r>
    </w:p>
    <w:p>
      <w:pPr>
        <w:spacing w:after="0" w:line="229"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In March 2014, the Company completed the sale of its U.S. and Canadian wild bird food business, including intangible assets, certain on-hand inventory and fixed assets, for $4.1 million in cash and an estimated $1.0 million in future earn-out payments. As a result, effective in the second quarter of fiscal 2014, the Company classified its results of operations for all periods presented to reflect the wild bird food business as a discontinued operation. In addition, in the third quarter of fiscal 2014, the Company received $3.1 million for the sale of the remaining wild bird food manufacturing facilities resulting in a gain of $1.2 million.</w:t>
      </w:r>
    </w:p>
    <w:p>
      <w:pPr>
        <w:spacing w:after="0" w:line="10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the results of the wild bird food business within discontinued operations for the periods presented: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4"/>
          </w:tcPr>
          <w:p>
            <w:pPr>
              <w:jc w:val="right"/>
              <w:ind w:right="574"/>
              <w:spacing w:after="0"/>
              <w:rPr>
                <w:sz w:val="20"/>
                <w:szCs w:val="20"/>
                <w:color w:val="auto"/>
              </w:rPr>
            </w:pPr>
            <w:r>
              <w:rPr>
                <w:rFonts w:ascii="Arial" w:cs="Arial" w:eastAsia="Arial" w:hAnsi="Arial"/>
                <w:sz w:val="14"/>
                <w:szCs w:val="14"/>
                <w:b w:val="1"/>
                <w:bCs w:val="1"/>
                <w:color w:val="auto"/>
              </w:rPr>
              <w:t>THREE MONTHS ENDED</w:t>
            </w:r>
          </w:p>
        </w:tc>
      </w:tr>
      <w:tr>
        <w:trPr>
          <w:trHeight w:val="152"/>
        </w:trPr>
        <w:tc>
          <w:tcPr>
            <w:tcW w:w="8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2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DECEMBER 27,</w:t>
            </w:r>
          </w:p>
        </w:tc>
        <w:tc>
          <w:tcPr>
            <w:tcW w:w="160" w:type="dxa"/>
            <w:vAlign w:val="bottom"/>
          </w:tcPr>
          <w:p>
            <w:pPr>
              <w:spacing w:after="0"/>
              <w:rPr>
                <w:sz w:val="13"/>
                <w:szCs w:val="13"/>
                <w:color w:val="auto"/>
              </w:rPr>
            </w:pPr>
          </w:p>
        </w:tc>
        <w:tc>
          <w:tcPr>
            <w:tcW w:w="1320" w:type="dxa"/>
            <w:vAlign w:val="bottom"/>
          </w:tcPr>
          <w:p>
            <w:pPr>
              <w:jc w:val="right"/>
              <w:ind w:right="154"/>
              <w:spacing w:after="0" w:line="153" w:lineRule="exact"/>
              <w:rPr>
                <w:sz w:val="20"/>
                <w:szCs w:val="20"/>
                <w:color w:val="auto"/>
              </w:rPr>
            </w:pPr>
            <w:r>
              <w:rPr>
                <w:rFonts w:ascii="Arial" w:cs="Arial" w:eastAsia="Arial" w:hAnsi="Arial"/>
                <w:sz w:val="14"/>
                <w:szCs w:val="14"/>
                <w:b w:val="1"/>
                <w:bCs w:val="1"/>
                <w:color w:val="auto"/>
              </w:rPr>
              <w:t>DECEMBER 28,</w:t>
            </w:r>
          </w:p>
        </w:tc>
      </w:tr>
      <w:tr>
        <w:trPr>
          <w:trHeight w:val="192"/>
        </w:trPr>
        <w:tc>
          <w:tcPr>
            <w:tcW w:w="83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ind w:left="440"/>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2013</w:t>
            </w:r>
          </w:p>
        </w:tc>
      </w:tr>
      <w:tr>
        <w:trPr>
          <w:trHeight w:val="250"/>
        </w:trPr>
        <w:tc>
          <w:tcPr>
            <w:tcW w:w="83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900" w:type="dxa"/>
            <w:vAlign w:val="bottom"/>
            <w:gridSpan w:val="4"/>
          </w:tcPr>
          <w:p>
            <w:pPr>
              <w:jc w:val="right"/>
              <w:ind w:right="1054"/>
              <w:spacing w:after="0"/>
              <w:rPr>
                <w:sz w:val="20"/>
                <w:szCs w:val="20"/>
                <w:color w:val="auto"/>
              </w:rPr>
            </w:pPr>
            <w:r>
              <w:rPr>
                <w:rFonts w:ascii="Arial" w:cs="Arial" w:eastAsia="Arial" w:hAnsi="Arial"/>
                <w:sz w:val="14"/>
                <w:szCs w:val="14"/>
                <w:b w:val="1"/>
                <w:bCs w:val="1"/>
                <w:color w:val="auto"/>
              </w:rPr>
              <w:t>(In millions)</w:t>
            </w:r>
          </w:p>
        </w:tc>
      </w:tr>
      <w:tr>
        <w:trPr>
          <w:trHeight w:val="256"/>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6.8</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Operating costs</w:t>
            </w:r>
          </w:p>
        </w:tc>
        <w:tc>
          <w:tcPr>
            <w:tcW w:w="160" w:type="dxa"/>
            <w:vAlign w:val="bottom"/>
          </w:tcPr>
          <w:p>
            <w:pPr>
              <w:spacing w:after="0"/>
              <w:rPr>
                <w:sz w:val="21"/>
                <w:szCs w:val="21"/>
                <w:color w:val="auto"/>
              </w:rPr>
            </w:pPr>
          </w:p>
        </w:tc>
        <w:tc>
          <w:tcPr>
            <w:tcW w:w="142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6.6</w:t>
            </w:r>
          </w:p>
        </w:tc>
      </w:tr>
      <w:tr>
        <w:trPr>
          <w:trHeight w:val="27"/>
        </w:trPr>
        <w:tc>
          <w:tcPr>
            <w:tcW w:w="8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on sale of assets</w:t>
            </w: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37"/>
        </w:trPr>
        <w:tc>
          <w:tcPr>
            <w:tcW w:w="8360" w:type="dxa"/>
            <w:vAlign w:val="bottom"/>
          </w:tcPr>
          <w:p>
            <w:pPr>
              <w:ind w:left="380"/>
              <w:spacing w:after="0"/>
              <w:rPr>
                <w:sz w:val="20"/>
                <w:szCs w:val="20"/>
                <w:color w:val="auto"/>
              </w:rPr>
            </w:pPr>
            <w:r>
              <w:rPr>
                <w:rFonts w:ascii="Arial" w:cs="Arial" w:eastAsia="Arial" w:hAnsi="Arial"/>
                <w:sz w:val="18"/>
                <w:szCs w:val="18"/>
                <w:color w:val="auto"/>
              </w:rPr>
              <w:t>Income from discontinued operations before income taxes</w:t>
            </w: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ind w:left="10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0.2</w:t>
            </w:r>
          </w:p>
        </w:tc>
      </w:tr>
      <w:tr>
        <w:trPr>
          <w:trHeight w:val="27"/>
        </w:trPr>
        <w:tc>
          <w:tcPr>
            <w:tcW w:w="8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 from discontinued operations</w:t>
            </w: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0.1</w:t>
            </w:r>
          </w:p>
        </w:tc>
      </w:tr>
      <w:tr>
        <w:trPr>
          <w:trHeight w:val="237"/>
        </w:trPr>
        <w:tc>
          <w:tcPr>
            <w:tcW w:w="8360" w:type="dxa"/>
            <w:vAlign w:val="bottom"/>
          </w:tcPr>
          <w:p>
            <w:pPr>
              <w:ind w:left="380"/>
              <w:spacing w:after="0"/>
              <w:rPr>
                <w:sz w:val="20"/>
                <w:szCs w:val="20"/>
                <w:color w:val="auto"/>
              </w:rPr>
            </w:pPr>
            <w:r>
              <w:rPr>
                <w:rFonts w:ascii="Arial" w:cs="Arial" w:eastAsia="Arial" w:hAnsi="Arial"/>
                <w:sz w:val="18"/>
                <w:szCs w:val="18"/>
                <w:color w:val="auto"/>
              </w:rPr>
              <w:t>Income from discontinued operations, net of tax</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ind w:left="10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0.1</w:t>
            </w:r>
          </w:p>
        </w:tc>
      </w:tr>
      <w:tr>
        <w:trPr>
          <w:trHeight w:val="27"/>
        </w:trPr>
        <w:tc>
          <w:tcPr>
            <w:tcW w:w="83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0"/>
        </w:trPr>
        <w:tc>
          <w:tcPr>
            <w:tcW w:w="8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ACQUISITIONS</w:t>
      </w:r>
    </w:p>
    <w:p>
      <w:pPr>
        <w:spacing w:after="0" w:line="9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Fiscal 2015</w:t>
      </w:r>
    </w:p>
    <w:p>
      <w:pPr>
        <w:spacing w:after="0" w:line="90" w:lineRule="exact"/>
        <w:rPr>
          <w:sz w:val="20"/>
          <w:szCs w:val="20"/>
          <w:color w:val="auto"/>
        </w:rPr>
      </w:pPr>
    </w:p>
    <w:p>
      <w:pPr>
        <w:jc w:val="both"/>
        <w:ind w:firstLine="432"/>
        <w:spacing w:after="0" w:line="266" w:lineRule="auto"/>
        <w:rPr>
          <w:sz w:val="20"/>
          <w:szCs w:val="20"/>
          <w:color w:val="auto"/>
        </w:rPr>
      </w:pPr>
      <w:r>
        <w:rPr>
          <w:rFonts w:ascii="Arial" w:cs="Arial" w:eastAsia="Arial" w:hAnsi="Arial"/>
          <w:sz w:val="17"/>
          <w:szCs w:val="17"/>
          <w:color w:val="auto"/>
        </w:rPr>
        <w:t>On October 16, 2014, Scotts LawnService® acquired the assets of Action Pest Control, Inc. (“Action Pest”), a residential and commercial pest control provider in the Midwest, for $21.7 million. Action Pest provides residential and commercial pest control services to homeowners and businesses throughout Indiana, Kentucky, and Illinois. This transaction provides Scotts LawnService® an entry into the pest control market, which is part of the segment's long-term growth strategy. Included in the purchase price of $21.7 million is non-cash investing activity of $14.2 million representing the deferral of a portion of the purchase price into subsequent fiscal periods. The preliminary valuation of acquired assets included finite-lived identifiable intangible assets of $6.0 million and tax deductible goodwill of $13.6 million. Identifiable intangible assets included tradename, customer relationships and non-compete agreements with useful lives ranging between 5 to 12 years. The estimated fair values of the identifiable intangible assets were determined using an income-based approach, which includes market participant expectations of cash flows that an asset will generate over the remaining useful life discounted to present value using an appropriate rate of return. The Company expects to complete the valuation before the end of fiscal 2015. Net sales for Action Pest included in the Scotts LawnService</w:t>
      </w:r>
      <w:r>
        <w:rPr>
          <w:rFonts w:ascii="Arial" w:cs="Arial" w:eastAsia="Arial" w:hAnsi="Arial"/>
          <w:sz w:val="24"/>
          <w:szCs w:val="24"/>
          <w:color w:val="auto"/>
          <w:vertAlign w:val="superscript"/>
        </w:rPr>
        <w:t>®</w:t>
      </w:r>
      <w:r>
        <w:rPr>
          <w:rFonts w:ascii="Arial" w:cs="Arial" w:eastAsia="Arial" w:hAnsi="Arial"/>
          <w:sz w:val="17"/>
          <w:szCs w:val="17"/>
          <w:color w:val="auto"/>
        </w:rPr>
        <w:t xml:space="preserve"> segment for the three months ended December 27, 2014 were $1.9 million.</w:t>
      </w:r>
    </w:p>
    <w:p>
      <w:pPr>
        <w:spacing w:after="0" w:line="2"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In December 2014, the Company completed an acquisition within its growing media business within the Global Consumer segment to expand its naturals product offerings for an estimated purchase price of $7.1 million. Included in the purchase price of $7.1 million is non-cash investing activity of $3.5 million representing the deferral of a portion of the purchase price into subsequent fiscal periods.</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color w:val="FFFFFF"/>
        </w:rPr>
      </w:pPr>
      <w:hyperlink w:anchor="page1">
        <w:r>
          <w:rPr>
            <w:rFonts w:ascii="Arial" w:cs="Arial" w:eastAsia="Arial" w:hAnsi="Arial"/>
            <w:sz w:val="18"/>
            <w:szCs w:val="18"/>
            <w:color w:val="FFFFFF"/>
          </w:rPr>
          <w:t>Table of Contents</w:t>
        </w:r>
      </w:hyperlink>
    </w:p>
    <w:p>
      <w:pPr>
        <w:spacing w:after="0" w:line="333"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On January 30, 2015, the Company completed an acquisition within its growing media business within the Global Consumer segment to expand its growing media distribution assets for an estimated purchase price of $12.6 million.</w:t>
      </w:r>
    </w:p>
    <w:p>
      <w:pPr>
        <w:spacing w:after="0" w:line="3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Fiscal 2014</w:t>
      </w:r>
    </w:p>
    <w:p>
      <w:pPr>
        <w:spacing w:after="0" w:line="90"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During the three months ended September 30, 2014, the Company obtained control of the operations of AeroGrow through its increased involvement, influence, and working capital loan of $4.5 million provided in July 2014. AeroGrow is a developer, marketer, direct-seller, and wholesaler of advanced indoor garden systems designed for consumer use in gardening, cooking, healthy eating, and home and office décor markets. AeroGrow operates primarily in the United States and Canada, as well as select countries in Europe, Asia and Australia. The preliminary valuation of acquired assets included finite-lived identifiable intangible assets of $13.7 million, and goodwill of $11.6 million. Identifiable intangible assets included tradename and customer relationships with useful lives ranging between 9 to 20 years. The estimated fair values of the identifiable intangible assets were determined using an income-based approach, which includes market participant expectations of cash flows that an asset will generate over the remaining useful life discounted to present value using an appropriate rate of return. The Company expects to complete the valuation before the end of fiscal 2015. Net sales for AeroGrow included in the Global Consumer segment for the three months ended December 27, 2014 were $11.2 million.</w:t>
      </w:r>
    </w:p>
    <w:p>
      <w:pPr>
        <w:spacing w:after="0" w:line="47"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The Company completed an acquisition of the assets of the U.K. based Solus Garden and Leisure Limited (“Solus”) in the fourth quarter of fiscal 2014 within its Global Consumer segment for $7.4 million, $1.1 million of which was paid in cash and $6.3 million of which was paid through the forgiveness of outstanding accounts receivable owed by Solus to the Company. Solus is a supplier of garden and leisure products and offers a diverse mix of brands.</w:t>
      </w:r>
    </w:p>
    <w:p>
      <w:pPr>
        <w:spacing w:after="0" w:line="12" w:lineRule="exact"/>
        <w:rPr>
          <w:sz w:val="20"/>
          <w:szCs w:val="20"/>
          <w:color w:val="auto"/>
        </w:rPr>
      </w:pPr>
    </w:p>
    <w:p>
      <w:pPr>
        <w:jc w:val="both"/>
        <w:ind w:firstLine="432"/>
        <w:spacing w:after="0" w:line="269" w:lineRule="auto"/>
        <w:rPr>
          <w:sz w:val="20"/>
          <w:szCs w:val="20"/>
          <w:color w:val="auto"/>
        </w:rPr>
      </w:pPr>
      <w:r>
        <w:rPr>
          <w:rFonts w:ascii="Arial" w:cs="Arial" w:eastAsia="Arial" w:hAnsi="Arial"/>
          <w:sz w:val="17"/>
          <w:szCs w:val="17"/>
          <w:color w:val="auto"/>
        </w:rPr>
        <w:t>On September 30, 2014, Scotts Miracle-Gro's wholly-owned subsidiary, Scotts Canada Ltd., acquired Fafard &amp; Brothers Ltd. (“Fafard”) for $59.8 million. Fafard is a Canadian based producer of peat moss and growing media products for the consumer and professional markets, including peat-based and bark-based mixes, composts and premium soils. The acquisition of Fafard increases the Company's presence within Canada as Fafard serves customers primarily across Ontario, Quebec and New Brunswick. The preliminary valuation of acquired assets included working capital of $18.0 million, property, plant, and equipment of $23.7 million, finite-lived identifiable intangible assets of $13.6 million, and tax deductible goodwill of $6.0 million. Working capital included accounts receivable of $5.2 million, inventory of $17.3 million, and accounts payable of $4.5 million. Identifiable intangible assets included tradename, customer relationships, non-compete agreements, and peat harvesting rights with useful lives ranging between 5 to 25 years. The estimated fair values of the identifiable intangible assets were determined using an income-based approach, which includes market participant expectations of cash flows that an asset will generate over the remaining useful life discounted to present value using an appropriate rate of return. The Company expects to complete the valuation before the end of fiscal 2015. Included in the purchase price of Fafard is $7.1 million of contingent consideration, the payment of which will depend on the performance of the business over the next two years. Net sales for Fafard included in the Global Consumer segment for the three months ended December 27, 2014 were $7.8 million.</w:t>
      </w:r>
    </w:p>
    <w:p>
      <w:pPr>
        <w:spacing w:after="0" w:line="4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condensed consolidated financial statements include the results of operations for these business combinations from the date of each acquisition.</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IMPAIRMENT, RESTRUCTURING AND OTHER</w:t>
      </w:r>
    </w:p>
    <w:p>
      <w:pPr>
        <w:spacing w:after="0" w:line="148" w:lineRule="exact"/>
        <w:rPr>
          <w:sz w:val="20"/>
          <w:szCs w:val="20"/>
          <w:color w:val="auto"/>
        </w:rPr>
      </w:pPr>
    </w:p>
    <w:p>
      <w:pPr>
        <w:ind w:left="420"/>
        <w:spacing w:after="0"/>
        <w:rPr>
          <w:sz w:val="20"/>
          <w:szCs w:val="20"/>
          <w:color w:val="auto"/>
        </w:rPr>
      </w:pPr>
      <w:r>
        <w:rPr>
          <w:rFonts w:ascii="Arial" w:cs="Arial" w:eastAsia="Arial" w:hAnsi="Arial"/>
          <w:sz w:val="16"/>
          <w:szCs w:val="16"/>
          <w:color w:val="auto"/>
        </w:rPr>
        <w:t>Activity described herein is classified within the “Impairment, restructuring and other” lines in the Condensed Consolidated Statements of Operations.</w:t>
      </w:r>
    </w:p>
    <w:p>
      <w:pPr>
        <w:spacing w:after="0" w:line="16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details impairment, restructuring and other for the periods presented:</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spacing w:after="0"/>
        <w:rPr>
          <w:sz w:val="20"/>
          <w:szCs w:val="20"/>
          <w:color w:val="auto"/>
        </w:rPr>
      </w:pPr>
      <w:r>
        <w:rPr>
          <w:rFonts w:ascii="Arial" w:cs="Arial" w:eastAsia="Arial" w:hAnsi="Arial"/>
          <w:sz w:val="18"/>
          <w:szCs w:val="18"/>
          <w:color w:val="auto"/>
        </w:rPr>
        <w:t>Restructuring and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7246620" cy="1714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6"/>
          <w:szCs w:val="16"/>
          <w:color w:val="auto"/>
        </w:rPr>
        <w:t>Goodwill and intangible asset impairments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246620" cy="1885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7"/>
          <w:szCs w:val="17"/>
          <w:color w:val="auto"/>
        </w:rPr>
        <w:t>Total impairment, restructuring and other</w:t>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ind w:left="700"/>
        <w:spacing w:after="0"/>
        <w:rPr>
          <w:sz w:val="20"/>
          <w:szCs w:val="20"/>
          <w:color w:val="auto"/>
        </w:rPr>
      </w:pPr>
      <w:r>
        <w:rPr>
          <w:rFonts w:ascii="Arial" w:cs="Arial" w:eastAsia="Arial" w:hAnsi="Arial"/>
          <w:sz w:val="14"/>
          <w:szCs w:val="14"/>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23495</wp:posOffset>
            </wp:positionV>
            <wp:extent cx="19551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0" w:type="dxa"/>
            <w:vAlign w:val="bottom"/>
          </w:tcPr>
          <w:p>
            <w:pPr>
              <w:spacing w:after="0"/>
              <w:rPr>
                <w:sz w:val="14"/>
                <w:szCs w:val="14"/>
                <w:color w:val="auto"/>
              </w:rPr>
            </w:pPr>
          </w:p>
        </w:tc>
        <w:tc>
          <w:tcPr>
            <w:tcW w:w="1360" w:type="dxa"/>
            <w:vAlign w:val="bottom"/>
          </w:tcPr>
          <w:p>
            <w:pPr>
              <w:jc w:val="right"/>
              <w:ind w:right="179"/>
              <w:spacing w:after="0"/>
              <w:rPr>
                <w:sz w:val="20"/>
                <w:szCs w:val="20"/>
                <w:color w:val="auto"/>
              </w:rPr>
            </w:pPr>
            <w:r>
              <w:rPr>
                <w:rFonts w:ascii="Arial" w:cs="Arial" w:eastAsia="Arial" w:hAnsi="Arial"/>
                <w:sz w:val="14"/>
                <w:szCs w:val="14"/>
                <w:b w:val="1"/>
                <w:bCs w:val="1"/>
                <w:color w:val="auto"/>
              </w:rPr>
              <w:t>DECEMBER 27,</w:t>
            </w:r>
          </w:p>
        </w:tc>
        <w:tc>
          <w:tcPr>
            <w:tcW w:w="240" w:type="dxa"/>
            <w:vAlign w:val="bottom"/>
          </w:tcPr>
          <w:p>
            <w:pPr>
              <w:spacing w:after="0"/>
              <w:rPr>
                <w:sz w:val="14"/>
                <w:szCs w:val="14"/>
                <w:color w:val="auto"/>
              </w:rPr>
            </w:pPr>
          </w:p>
        </w:tc>
        <w:tc>
          <w:tcPr>
            <w:tcW w:w="1320" w:type="dxa"/>
            <w:vAlign w:val="bottom"/>
          </w:tcPr>
          <w:p>
            <w:pPr>
              <w:jc w:val="right"/>
              <w:ind w:right="157"/>
              <w:spacing w:after="0"/>
              <w:rPr>
                <w:sz w:val="20"/>
                <w:szCs w:val="20"/>
                <w:color w:val="auto"/>
              </w:rPr>
            </w:pPr>
            <w:r>
              <w:rPr>
                <w:rFonts w:ascii="Arial" w:cs="Arial" w:eastAsia="Arial" w:hAnsi="Arial"/>
                <w:sz w:val="14"/>
                <w:szCs w:val="14"/>
                <w:b w:val="1"/>
                <w:bCs w:val="1"/>
                <w:color w:val="auto"/>
              </w:rPr>
              <w:t>DECEMBER 28,</w:t>
            </w:r>
          </w:p>
        </w:tc>
      </w:tr>
      <w:tr>
        <w:trPr>
          <w:trHeight w:val="192"/>
        </w:trPr>
        <w:tc>
          <w:tcPr>
            <w:tcW w:w="1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39"/>
              <w:spacing w:after="0"/>
              <w:rPr>
                <w:sz w:val="20"/>
                <w:szCs w:val="20"/>
                <w:color w:val="auto"/>
              </w:rPr>
            </w:pPr>
            <w:r>
              <w:rPr>
                <w:rFonts w:ascii="Arial" w:cs="Arial" w:eastAsia="Arial" w:hAnsi="Arial"/>
                <w:sz w:val="14"/>
                <w:szCs w:val="14"/>
                <w:b w:val="1"/>
                <w:bCs w:val="1"/>
                <w:color w:val="auto"/>
              </w:rPr>
              <w:t>2014</w:t>
            </w:r>
          </w:p>
        </w:tc>
        <w:tc>
          <w:tcPr>
            <w:tcW w:w="2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2013</w:t>
            </w:r>
          </w:p>
        </w:tc>
      </w:tr>
      <w:tr>
        <w:trPr>
          <w:trHeight w:val="244"/>
        </w:trPr>
        <w:tc>
          <w:tcPr>
            <w:tcW w:w="160" w:type="dxa"/>
            <w:vAlign w:val="bottom"/>
          </w:tcPr>
          <w:p>
            <w:pPr>
              <w:spacing w:after="0"/>
              <w:rPr>
                <w:sz w:val="21"/>
                <w:szCs w:val="21"/>
                <w:color w:val="auto"/>
              </w:rPr>
            </w:pPr>
          </w:p>
        </w:tc>
        <w:tc>
          <w:tcPr>
            <w:tcW w:w="2920" w:type="dxa"/>
            <w:vAlign w:val="bottom"/>
            <w:gridSpan w:val="3"/>
          </w:tcPr>
          <w:p>
            <w:pPr>
              <w:jc w:val="right"/>
              <w:ind w:right="1057"/>
              <w:spacing w:after="0"/>
              <w:rPr>
                <w:sz w:val="20"/>
                <w:szCs w:val="20"/>
                <w:color w:val="auto"/>
              </w:rPr>
            </w:pPr>
            <w:r>
              <w:rPr>
                <w:rFonts w:ascii="Arial" w:cs="Arial" w:eastAsia="Arial" w:hAnsi="Arial"/>
                <w:sz w:val="14"/>
                <w:szCs w:val="14"/>
                <w:b w:val="1"/>
                <w:bCs w:val="1"/>
                <w:color w:val="auto"/>
              </w:rPr>
              <w:t>(In millions)</w:t>
            </w:r>
          </w:p>
        </w:tc>
      </w:tr>
      <w:tr>
        <w:trPr>
          <w:trHeight w:val="255"/>
        </w:trPr>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9"/>
              <w:spacing w:after="0"/>
              <w:rPr>
                <w:sz w:val="20"/>
                <w:szCs w:val="20"/>
                <w:color w:val="auto"/>
              </w:rPr>
            </w:pPr>
            <w:r>
              <w:rPr>
                <w:rFonts w:ascii="Arial" w:cs="Arial" w:eastAsia="Arial" w:hAnsi="Arial"/>
                <w:sz w:val="18"/>
                <w:szCs w:val="18"/>
                <w:color w:val="auto"/>
              </w:rPr>
              <w:t>9.6</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7"/>
              <w:spacing w:after="0"/>
              <w:rPr>
                <w:sz w:val="20"/>
                <w:szCs w:val="20"/>
                <w:color w:val="auto"/>
              </w:rPr>
            </w:pPr>
            <w:r>
              <w:rPr>
                <w:rFonts w:ascii="Arial" w:cs="Arial" w:eastAsia="Arial" w:hAnsi="Arial"/>
                <w:sz w:val="18"/>
                <w:szCs w:val="18"/>
                <w:color w:val="auto"/>
              </w:rPr>
              <w:t>0.3</w:t>
            </w:r>
          </w:p>
        </w:tc>
      </w:tr>
      <w:tr>
        <w:trPr>
          <w:trHeight w:val="270"/>
        </w:trPr>
        <w:tc>
          <w:tcPr>
            <w:tcW w:w="160" w:type="dxa"/>
            <w:vAlign w:val="bottom"/>
          </w:tcPr>
          <w:p>
            <w:pPr>
              <w:spacing w:after="0"/>
              <w:rPr>
                <w:sz w:val="23"/>
                <w:szCs w:val="23"/>
                <w:color w:val="auto"/>
              </w:rPr>
            </w:pPr>
          </w:p>
        </w:tc>
        <w:tc>
          <w:tcPr>
            <w:tcW w:w="1360" w:type="dxa"/>
            <w:vAlign w:val="bottom"/>
          </w:tcPr>
          <w:p>
            <w:pPr>
              <w:jc w:val="right"/>
              <w:ind w:right="39"/>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320" w:type="dxa"/>
            <w:vAlign w:val="bottom"/>
          </w:tcPr>
          <w:p>
            <w:pPr>
              <w:jc w:val="right"/>
              <w:ind w:right="17"/>
              <w:spacing w:after="0"/>
              <w:rPr>
                <w:sz w:val="20"/>
                <w:szCs w:val="20"/>
                <w:color w:val="auto"/>
              </w:rPr>
            </w:pPr>
            <w:r>
              <w:rPr>
                <w:rFonts w:ascii="Arial" w:cs="Arial" w:eastAsia="Arial" w:hAnsi="Arial"/>
                <w:sz w:val="18"/>
                <w:szCs w:val="18"/>
                <w:color w:val="auto"/>
              </w:rPr>
              <w:t>—</w:t>
            </w:r>
          </w:p>
        </w:tc>
      </w:tr>
      <w:tr>
        <w:trPr>
          <w:trHeight w:val="27"/>
        </w:trPr>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7"/>
        </w:trPr>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9"/>
              <w:spacing w:after="0"/>
              <w:rPr>
                <w:sz w:val="20"/>
                <w:szCs w:val="20"/>
                <w:color w:val="auto"/>
              </w:rPr>
            </w:pPr>
            <w:r>
              <w:rPr>
                <w:rFonts w:ascii="Arial" w:cs="Arial" w:eastAsia="Arial" w:hAnsi="Arial"/>
                <w:sz w:val="18"/>
                <w:szCs w:val="18"/>
                <w:color w:val="auto"/>
              </w:rPr>
              <w:t>9.6</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7"/>
              <w:spacing w:after="0"/>
              <w:rPr>
                <w:sz w:val="20"/>
                <w:szCs w:val="20"/>
                <w:color w:val="auto"/>
              </w:rPr>
            </w:pPr>
            <w:r>
              <w:rPr>
                <w:rFonts w:ascii="Arial" w:cs="Arial" w:eastAsia="Arial" w:hAnsi="Arial"/>
                <w:sz w:val="18"/>
                <w:szCs w:val="18"/>
                <w:color w:val="auto"/>
              </w:rPr>
              <w:t>0.3</w:t>
            </w:r>
          </w:p>
        </w:tc>
      </w:tr>
      <w:tr>
        <w:trPr>
          <w:trHeight w:val="27"/>
        </w:trPr>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0"/>
        </w:trPr>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620" w:space="720"/>
            <w:col w:w="3080"/>
          </w:cols>
          <w:pgMar w:left="240" w:top="125" w:right="239" w:bottom="1440" w:gutter="0" w:footer="0" w:header="0"/>
          <w:type w:val="continuous"/>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20"/>
          </w:cols>
          <w:pgMar w:left="240" w:top="125" w:right="239" w:bottom="1440" w:gutter="0" w:footer="0" w:header="0"/>
          <w:type w:val="continuous"/>
        </w:sectPr>
      </w:pPr>
    </w:p>
    <w:bookmarkStart w:id="9" w:name="page10"/>
    <w:bookmarkEnd w:id="9"/>
    <w:p>
      <w:pPr>
        <w:spacing w:after="0"/>
        <w:rPr>
          <w:rFonts w:ascii="Arial" w:cs="Arial" w:eastAsia="Arial" w:hAnsi="Arial"/>
          <w:sz w:val="18"/>
          <w:szCs w:val="18"/>
          <w:color w:val="FFFFFF"/>
        </w:rPr>
      </w:pPr>
      <w:hyperlink w:anchor="page1">
        <w:r>
          <w:rPr>
            <w:rFonts w:ascii="Arial" w:cs="Arial" w:eastAsia="Arial" w:hAnsi="Arial"/>
            <w:sz w:val="18"/>
            <w:szCs w:val="18"/>
            <w:color w:val="FFFFFF"/>
          </w:rPr>
          <w:t>Table of Contents</w:t>
        </w:r>
      </w:hyperlink>
    </w:p>
    <w:p>
      <w:pPr>
        <w:spacing w:after="0" w:line="387"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table summarizes the activity related to liabilities associated with the restructuring and other charges during the three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27, 2014 (in millions):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600" w:type="dxa"/>
            <w:vAlign w:val="bottom"/>
            <w:shd w:val="clear" w:color="auto" w:fill="CCEEFF"/>
          </w:tcPr>
          <w:p>
            <w:pPr>
              <w:ind w:left="40"/>
              <w:spacing w:after="0"/>
              <w:rPr>
                <w:sz w:val="20"/>
                <w:szCs w:val="20"/>
                <w:color w:val="auto"/>
              </w:rPr>
            </w:pPr>
            <w:r>
              <w:rPr>
                <w:rFonts w:ascii="Arial" w:cs="Arial" w:eastAsia="Arial" w:hAnsi="Arial"/>
                <w:sz w:val="18"/>
                <w:szCs w:val="18"/>
                <w:color w:val="auto"/>
              </w:rPr>
              <w:t>Amounts reserved for restructuring and other charges at September 30, 2014</w:t>
            </w:r>
          </w:p>
        </w:tc>
        <w:tc>
          <w:tcPr>
            <w:tcW w:w="76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16.0</w:t>
            </w:r>
          </w:p>
        </w:tc>
      </w:tr>
      <w:tr>
        <w:trPr>
          <w:trHeight w:val="243"/>
        </w:trPr>
        <w:tc>
          <w:tcPr>
            <w:tcW w:w="9600" w:type="dxa"/>
            <w:vAlign w:val="bottom"/>
          </w:tcPr>
          <w:p>
            <w:pPr>
              <w:ind w:left="40"/>
              <w:spacing w:after="0"/>
              <w:rPr>
                <w:sz w:val="20"/>
                <w:szCs w:val="20"/>
                <w:color w:val="auto"/>
              </w:rPr>
            </w:pPr>
            <w:r>
              <w:rPr>
                <w:rFonts w:ascii="Arial" w:cs="Arial" w:eastAsia="Arial" w:hAnsi="Arial"/>
                <w:sz w:val="18"/>
                <w:szCs w:val="18"/>
                <w:color w:val="auto"/>
              </w:rPr>
              <w:t>Restructuring and other charges</w:t>
            </w:r>
          </w:p>
        </w:tc>
        <w:tc>
          <w:tcPr>
            <w:tcW w:w="76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9.6</w:t>
            </w:r>
          </w:p>
        </w:tc>
      </w:tr>
      <w:tr>
        <w:trPr>
          <w:trHeight w:val="27"/>
        </w:trPr>
        <w:tc>
          <w:tcPr>
            <w:tcW w:w="96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9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Payments and other</w:t>
            </w:r>
          </w:p>
        </w:tc>
        <w:tc>
          <w:tcPr>
            <w:tcW w:w="7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w:t>
            </w:r>
          </w:p>
        </w:tc>
      </w:tr>
      <w:tr>
        <w:trPr>
          <w:trHeight w:val="237"/>
        </w:trPr>
        <w:tc>
          <w:tcPr>
            <w:tcW w:w="9600" w:type="dxa"/>
            <w:vAlign w:val="bottom"/>
          </w:tcPr>
          <w:p>
            <w:pPr>
              <w:ind w:left="40"/>
              <w:spacing w:after="0"/>
              <w:rPr>
                <w:sz w:val="20"/>
                <w:szCs w:val="20"/>
                <w:color w:val="auto"/>
              </w:rPr>
            </w:pPr>
            <w:r>
              <w:rPr>
                <w:rFonts w:ascii="Arial" w:cs="Arial" w:eastAsia="Arial" w:hAnsi="Arial"/>
                <w:sz w:val="18"/>
                <w:szCs w:val="18"/>
                <w:color w:val="auto"/>
              </w:rPr>
              <w:t>Amounts reserved for restructuring and other charges at December 27, 2014</w:t>
            </w:r>
          </w:p>
        </w:tc>
        <w:tc>
          <w:tcPr>
            <w:tcW w:w="760" w:type="dxa"/>
            <w:vAlign w:val="bottom"/>
            <w:tcBorders>
              <w:top w:val="single" w:sz="8" w:color="auto"/>
            </w:tcBorders>
          </w:tcPr>
          <w:p>
            <w:pPr>
              <w:jc w:val="right"/>
              <w:ind w:right="55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17.9</w:t>
            </w:r>
          </w:p>
        </w:tc>
      </w:tr>
      <w:tr>
        <w:trPr>
          <w:trHeight w:val="27"/>
        </w:trPr>
        <w:tc>
          <w:tcPr>
            <w:tcW w:w="96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
        </w:trPr>
        <w:tc>
          <w:tcPr>
            <w:tcW w:w="96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Included in the restructuring reserves as of December 27, 2014 is $3.7 million that is classified as long-term. Payments against the long-term reserves will be incurred as the employees covered by the restructuring plan retire. The remaining amounts reserved will continue to be paid out over the course of the next twelve months.</w:t>
      </w:r>
    </w:p>
    <w:p>
      <w:pPr>
        <w:spacing w:after="0" w:line="181"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6"/>
          <w:szCs w:val="16"/>
          <w:color w:val="auto"/>
        </w:rPr>
        <w:t>During the three months ended December 27, 2014, the Company recognized $9.6 million in restructuring costs related to termination benefits provided to U.S. executives and international personnel as part of a continuation of the fiscal 2014 restructuring initiative to eliminate layers and streamline decision making. The restructuring charge includes $3.6 million of costs related to the acceleration of equity compensation expense. Included within the restructuring charge incurred above was $1.0 million for the Scotts LawnService® segment, $2.0 million for the Global Consumer segment, and $6.6 million for Corporate</w:t>
      </w:r>
    </w:p>
    <w:p>
      <w:pPr>
        <w:spacing w:after="0" w:line="2" w:lineRule="exact"/>
        <w:rPr>
          <w:sz w:val="20"/>
          <w:szCs w:val="20"/>
          <w:color w:val="auto"/>
        </w:rPr>
      </w:pPr>
    </w:p>
    <w:p>
      <w:pPr>
        <w:ind w:firstLine="8"/>
        <w:spacing w:after="0" w:line="323" w:lineRule="auto"/>
        <w:tabs>
          <w:tab w:leader="none" w:pos="187" w:val="left"/>
        </w:tabs>
        <w:numPr>
          <w:ilvl w:val="0"/>
          <w:numId w:val="3"/>
        </w:numPr>
        <w:rPr>
          <w:rFonts w:ascii="Arial" w:cs="Arial" w:eastAsia="Arial" w:hAnsi="Arial"/>
          <w:sz w:val="16"/>
          <w:szCs w:val="16"/>
          <w:color w:val="auto"/>
        </w:rPr>
      </w:pPr>
      <w:r>
        <w:rPr>
          <w:rFonts w:ascii="Arial" w:cs="Arial" w:eastAsia="Arial" w:hAnsi="Arial"/>
          <w:sz w:val="16"/>
          <w:szCs w:val="16"/>
          <w:color w:val="auto"/>
        </w:rPr>
        <w:t>Other. Costs incurred to date since the inception of the fiscal 2014 initiative are $11.5 million for Global Consumer, $1.4 million for Scotts LawnService®, and $9.2 million for Corporate &amp; Other. The Company expects to complete its fiscal 2014 restructuring initiative in the second quarter of fiscal 2015.</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INVENTORIES</w:t>
      </w:r>
    </w:p>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Inventories consisted of the following for each of the periods presented:</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27,</w:t>
            </w:r>
          </w:p>
        </w:tc>
        <w:tc>
          <w:tcPr>
            <w:tcW w:w="200" w:type="dxa"/>
            <w:vAlign w:val="bottom"/>
          </w:tcPr>
          <w:p>
            <w:pPr>
              <w:spacing w:after="0"/>
              <w:rPr>
                <w:sz w:val="14"/>
                <w:szCs w:val="14"/>
                <w:color w:val="auto"/>
              </w:rPr>
            </w:pPr>
          </w:p>
        </w:tc>
        <w:tc>
          <w:tcPr>
            <w:tcW w:w="15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DECEMBER 28,</w:t>
            </w:r>
          </w:p>
        </w:tc>
        <w:tc>
          <w:tcPr>
            <w:tcW w:w="180" w:type="dxa"/>
            <w:vAlign w:val="bottom"/>
          </w:tcPr>
          <w:p>
            <w:pPr>
              <w:spacing w:after="0"/>
              <w:rPr>
                <w:sz w:val="14"/>
                <w:szCs w:val="14"/>
                <w:color w:val="auto"/>
              </w:rPr>
            </w:pPr>
          </w:p>
        </w:tc>
        <w:tc>
          <w:tcPr>
            <w:tcW w:w="1420" w:type="dxa"/>
            <w:vAlign w:val="bottom"/>
          </w:tcPr>
          <w:p>
            <w:pPr>
              <w:jc w:val="right"/>
              <w:ind w:right="176"/>
              <w:spacing w:after="0"/>
              <w:rPr>
                <w:sz w:val="20"/>
                <w:szCs w:val="20"/>
                <w:color w:val="auto"/>
              </w:rPr>
            </w:pPr>
            <w:r>
              <w:rPr>
                <w:rFonts w:ascii="Arial" w:cs="Arial" w:eastAsia="Arial" w:hAnsi="Arial"/>
                <w:sz w:val="14"/>
                <w:szCs w:val="14"/>
                <w:b w:val="1"/>
                <w:bCs w:val="1"/>
                <w:color w:val="auto"/>
              </w:rPr>
              <w:t>SEPTEMBER 30,</w:t>
            </w:r>
          </w:p>
        </w:tc>
      </w:tr>
      <w:tr>
        <w:trPr>
          <w:trHeight w:val="192"/>
        </w:trPr>
        <w:tc>
          <w:tcPr>
            <w:tcW w:w="64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118"/>
              <w:spacing w:after="0"/>
              <w:rPr>
                <w:sz w:val="20"/>
                <w:szCs w:val="20"/>
                <w:color w:val="auto"/>
              </w:rPr>
            </w:pPr>
            <w:r>
              <w:rPr>
                <w:rFonts w:ascii="Arial" w:cs="Arial" w:eastAsia="Arial" w:hAnsi="Arial"/>
                <w:sz w:val="14"/>
                <w:szCs w:val="14"/>
                <w:b w:val="1"/>
                <w:bCs w:val="1"/>
                <w:color w:val="auto"/>
                <w:w w:val="89"/>
              </w:rPr>
              <w:t>2013</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2014</w:t>
            </w:r>
          </w:p>
        </w:tc>
      </w:tr>
      <w:tr>
        <w:trPr>
          <w:trHeight w:val="250"/>
        </w:trPr>
        <w:tc>
          <w:tcPr>
            <w:tcW w:w="64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(In millions)</w:t>
            </w: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56"/>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476.4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412.4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217.5</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Work-in-process</w:t>
            </w:r>
          </w:p>
        </w:tc>
        <w:tc>
          <w:tcPr>
            <w:tcW w:w="200" w:type="dxa"/>
            <w:vAlign w:val="bottom"/>
          </w:tcPr>
          <w:p>
            <w:pPr>
              <w:spacing w:after="0"/>
              <w:rPr>
                <w:sz w:val="21"/>
                <w:szCs w:val="21"/>
                <w:color w:val="auto"/>
              </w:rPr>
            </w:pPr>
          </w:p>
        </w:tc>
        <w:tc>
          <w:tcPr>
            <w:tcW w:w="1420" w:type="dxa"/>
            <w:vAlign w:val="bottom"/>
          </w:tcPr>
          <w:p>
            <w:pPr>
              <w:jc w:val="right"/>
              <w:ind w:right="36"/>
              <w:spacing w:after="0"/>
              <w:rPr>
                <w:sz w:val="20"/>
                <w:szCs w:val="20"/>
                <w:color w:val="auto"/>
              </w:rPr>
            </w:pPr>
            <w:r>
              <w:rPr>
                <w:rFonts w:ascii="Arial" w:cs="Arial" w:eastAsia="Arial" w:hAnsi="Arial"/>
                <w:sz w:val="18"/>
                <w:szCs w:val="18"/>
                <w:color w:val="auto"/>
              </w:rPr>
              <w:t>60.5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8"/>
              <w:spacing w:after="0"/>
              <w:rPr>
                <w:sz w:val="20"/>
                <w:szCs w:val="20"/>
                <w:color w:val="auto"/>
              </w:rPr>
            </w:pPr>
            <w:r>
              <w:rPr>
                <w:rFonts w:ascii="Arial" w:cs="Arial" w:eastAsia="Arial" w:hAnsi="Arial"/>
                <w:sz w:val="18"/>
                <w:szCs w:val="18"/>
                <w:color w:val="auto"/>
              </w:rPr>
              <w:t>49.8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6"/>
              <w:spacing w:after="0"/>
              <w:rPr>
                <w:sz w:val="20"/>
                <w:szCs w:val="20"/>
                <w:color w:val="auto"/>
              </w:rPr>
            </w:pPr>
            <w:r>
              <w:rPr>
                <w:rFonts w:ascii="Arial" w:cs="Arial" w:eastAsia="Arial" w:hAnsi="Arial"/>
                <w:sz w:val="18"/>
                <w:szCs w:val="18"/>
                <w:color w:val="auto"/>
              </w:rPr>
              <w:t>46.2</w:t>
            </w:r>
          </w:p>
        </w:tc>
      </w:tr>
      <w:tr>
        <w:trPr>
          <w:trHeight w:val="27"/>
        </w:trPr>
        <w:tc>
          <w:tcPr>
            <w:tcW w:w="6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2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145.9</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143.5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121.4</w:t>
            </w:r>
          </w:p>
        </w:tc>
      </w:tr>
      <w:tr>
        <w:trPr>
          <w:trHeight w:val="237"/>
        </w:trPr>
        <w:tc>
          <w:tcPr>
            <w:tcW w:w="6400" w:type="dxa"/>
            <w:vAlign w:val="bottom"/>
          </w:tcPr>
          <w:p>
            <w:pPr>
              <w:ind w:left="40"/>
              <w:spacing w:after="0"/>
              <w:rPr>
                <w:sz w:val="20"/>
                <w:szCs w:val="20"/>
                <w:color w:val="auto"/>
              </w:rPr>
            </w:pPr>
            <w:r>
              <w:rPr>
                <w:rFonts w:ascii="Arial" w:cs="Arial" w:eastAsia="Arial" w:hAnsi="Arial"/>
                <w:sz w:val="18"/>
                <w:szCs w:val="18"/>
                <w:color w:val="auto"/>
              </w:rPr>
              <w:t>Total inventories</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682.8</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ind w:right="18"/>
              <w:spacing w:after="0"/>
              <w:rPr>
                <w:sz w:val="20"/>
                <w:szCs w:val="20"/>
                <w:color w:val="auto"/>
              </w:rPr>
            </w:pPr>
            <w:r>
              <w:rPr>
                <w:rFonts w:ascii="Arial" w:cs="Arial" w:eastAsia="Arial" w:hAnsi="Arial"/>
                <w:sz w:val="18"/>
                <w:szCs w:val="18"/>
                <w:color w:val="auto"/>
              </w:rPr>
              <w:t>605.7</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385.1</w:t>
            </w:r>
          </w:p>
        </w:tc>
      </w:tr>
      <w:tr>
        <w:trPr>
          <w:trHeight w:val="27"/>
        </w:trPr>
        <w:tc>
          <w:tcPr>
            <w:tcW w:w="64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0"/>
        </w:trPr>
        <w:tc>
          <w:tcPr>
            <w:tcW w:w="64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Adjustments to reflect inventories at net realizable values were $19.1 million at December 27, 2014, $19.4 million at December 28, 2013 and $18.4 million at September 30, 2014.</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MARKETING AGREEMENT</w:t>
      </w:r>
    </w:p>
    <w:p>
      <w:pPr>
        <w:spacing w:after="0" w:line="148" w:lineRule="exact"/>
        <w:rPr>
          <w:sz w:val="20"/>
          <w:szCs w:val="20"/>
          <w:color w:val="auto"/>
        </w:rPr>
      </w:pPr>
    </w:p>
    <w:p>
      <w:pPr>
        <w:jc w:val="both"/>
        <w:ind w:firstLine="432"/>
        <w:spacing w:after="0" w:line="234" w:lineRule="auto"/>
        <w:rPr>
          <w:sz w:val="20"/>
          <w:szCs w:val="20"/>
          <w:color w:val="auto"/>
        </w:rPr>
      </w:pPr>
      <w:r>
        <w:rPr>
          <w:rFonts w:ascii="Arial" w:cs="Arial" w:eastAsia="Arial" w:hAnsi="Arial"/>
          <w:sz w:val="17"/>
          <w:szCs w:val="17"/>
          <w:color w:val="auto"/>
        </w:rPr>
        <w:t>The Company is Monsanto’s exclusive agent for the marketing and distribution of consumer Roundup</w:t>
      </w:r>
      <w:r>
        <w:rPr>
          <w:rFonts w:ascii="Arial" w:cs="Arial" w:eastAsia="Arial" w:hAnsi="Arial"/>
          <w:sz w:val="24"/>
          <w:szCs w:val="24"/>
          <w:color w:val="auto"/>
          <w:vertAlign w:val="superscript"/>
        </w:rPr>
        <w:t>®</w:t>
      </w:r>
      <w:r>
        <w:rPr>
          <w:rFonts w:ascii="Arial" w:cs="Arial" w:eastAsia="Arial" w:hAnsi="Arial"/>
          <w:sz w:val="17"/>
          <w:szCs w:val="17"/>
          <w:color w:val="auto"/>
        </w:rPr>
        <w:t xml:space="preserve"> herbicide products (with additional rights to new products containing glyphosate or other similar non-selective herbicides) in the consumer lawn and garden market within the United States and other specified countries, including Australia, Austria, Belgium, Canada, France, Germany, the Netherlands and the United Kingdom. Under the terms of the marketing agreement the Company has entered into with Monsanto (the “Marketing Agreement”), the Company is entitled to receive an annual commission from Monsanto as consideration for the performance of the Company’s duties as agent. The annual gross commission under the Marketing Agreement is calculated as a percentage of the actual earnings before interest and income taxes of the consumer Roundup</w:t>
      </w:r>
      <w:r>
        <w:rPr>
          <w:rFonts w:ascii="Arial" w:cs="Arial" w:eastAsia="Arial" w:hAnsi="Arial"/>
          <w:sz w:val="24"/>
          <w:szCs w:val="24"/>
          <w:color w:val="auto"/>
          <w:vertAlign w:val="superscript"/>
        </w:rPr>
        <w:t>®</w:t>
      </w:r>
      <w:r>
        <w:rPr>
          <w:rFonts w:ascii="Arial" w:cs="Arial" w:eastAsia="Arial" w:hAnsi="Arial"/>
          <w:sz w:val="17"/>
          <w:szCs w:val="17"/>
          <w:color w:val="auto"/>
        </w:rPr>
        <w:t xml:space="preserve"> business in the markets covered by the Marketing Agreement and is based on the achievement of two earnings thresholds, as defined in the Marketing Agreement. The Marketing Agreement also requires the Company to make annual payments to Monsanto as a contribution against the overall expenses of the consumer Roundup</w:t>
      </w:r>
      <w:r>
        <w:rPr>
          <w:rFonts w:ascii="Arial" w:cs="Arial" w:eastAsia="Arial" w:hAnsi="Arial"/>
          <w:sz w:val="24"/>
          <w:szCs w:val="24"/>
          <w:color w:val="auto"/>
          <w:vertAlign w:val="superscript"/>
        </w:rPr>
        <w:t>®</w:t>
      </w:r>
      <w:r>
        <w:rPr>
          <w:rFonts w:ascii="Arial" w:cs="Arial" w:eastAsia="Arial" w:hAnsi="Arial"/>
          <w:sz w:val="17"/>
          <w:szCs w:val="17"/>
          <w:color w:val="auto"/>
        </w:rPr>
        <w:t xml:space="preserve"> business. The annual contribution payment is defined in the Marketing Agreement as $20 million.</w:t>
      </w:r>
    </w:p>
    <w:p>
      <w:pPr>
        <w:spacing w:after="0" w:line="129"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In consideration for the rights granted to the Company under the Marketing Agreement for North America, the Company was required to pay a marketing fee of $32 million to Monsanto. The Company has deferred this amount on the basis that the payment will provide a future benefit through commissions that will be earned under the Marketing Agreement. The economic useful life over which the marketing fee is being amortized is 20 years, with a remaining amortization period of less than four years as of December 27, 2014.</w:t>
      </w:r>
    </w:p>
    <w:p>
      <w:pPr>
        <w:spacing w:after="0" w:line="106" w:lineRule="exact"/>
        <w:rPr>
          <w:sz w:val="20"/>
          <w:szCs w:val="20"/>
          <w:color w:val="auto"/>
        </w:rPr>
      </w:pPr>
    </w:p>
    <w:p>
      <w:pPr>
        <w:jc w:val="both"/>
        <w:ind w:firstLine="432"/>
        <w:spacing w:after="0" w:line="226" w:lineRule="auto"/>
        <w:rPr>
          <w:sz w:val="20"/>
          <w:szCs w:val="20"/>
          <w:color w:val="auto"/>
        </w:rPr>
      </w:pPr>
      <w:r>
        <w:rPr>
          <w:rFonts w:ascii="Arial" w:cs="Arial" w:eastAsia="Arial" w:hAnsi="Arial"/>
          <w:sz w:val="18"/>
          <w:szCs w:val="18"/>
          <w:color w:val="auto"/>
        </w:rPr>
        <w:t>Under the terms of the Marketing Agreement, the Company performs certain functions, primarily manufacturing conversion, distribution and logistics, and selling and marketing support, on behalf of Monsanto in the conduct of the consumer Roundup</w:t>
      </w:r>
      <w:r>
        <w:rPr>
          <w:rFonts w:ascii="Arial" w:cs="Arial" w:eastAsia="Arial" w:hAnsi="Arial"/>
          <w:sz w:val="25"/>
          <w:szCs w:val="25"/>
          <w:color w:val="auto"/>
          <w:vertAlign w:val="superscript"/>
        </w:rPr>
        <w:t>®</w:t>
      </w:r>
      <w:r>
        <w:rPr>
          <w:rFonts w:ascii="Arial" w:cs="Arial" w:eastAsia="Arial" w:hAnsi="Arial"/>
          <w:sz w:val="18"/>
          <w:szCs w:val="18"/>
          <w:color w:val="auto"/>
        </w:rPr>
        <w:t xml:space="preserve"> business. The actual costs incurred for these activities are charged to and reimbursed by Monsanto. The Company records costs</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color w:val="FFFFFF"/>
        </w:rPr>
      </w:pPr>
      <w:hyperlink w:anchor="page1">
        <w:r>
          <w:rPr>
            <w:rFonts w:ascii="Arial" w:cs="Arial" w:eastAsia="Arial" w:hAnsi="Arial"/>
            <w:sz w:val="18"/>
            <w:szCs w:val="18"/>
            <w:color w:val="FFFFFF"/>
          </w:rPr>
          <w:t>Table of Contents</w:t>
        </w:r>
      </w:hyperlink>
    </w:p>
    <w:p>
      <w:pPr>
        <w:spacing w:after="0" w:line="3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incurred under the Marketing Agreement for which the Company is the primary obligor on a gross basis, recognizing such costs in “Cost of sales” and the reimbursement of these costs in “Net sales,” with no effect on gross profit dollars or net income.</w:t>
      </w:r>
    </w:p>
    <w:p>
      <w:pPr>
        <w:spacing w:after="0" w:line="89"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gross commission earned under the Marketing Agreement, the contribution payments to Monsanto and the amortization of the initial marketing fee paid to Monsanto are included in the calculation of net sales in the Company’s Consolidated Statements of Operations. The elements of the net commission and reimbursements earned under the Marketing Agreement and included in “Net sales” are as follows: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4"/>
          </w:tcPr>
          <w:p>
            <w:pPr>
              <w:jc w:val="right"/>
              <w:ind w:right="574"/>
              <w:spacing w:after="0"/>
              <w:rPr>
                <w:sz w:val="20"/>
                <w:szCs w:val="20"/>
                <w:color w:val="auto"/>
              </w:rPr>
            </w:pPr>
            <w:r>
              <w:rPr>
                <w:rFonts w:ascii="Arial" w:cs="Arial" w:eastAsia="Arial" w:hAnsi="Arial"/>
                <w:sz w:val="14"/>
                <w:szCs w:val="14"/>
                <w:b w:val="1"/>
                <w:bCs w:val="1"/>
                <w:color w:val="auto"/>
              </w:rPr>
              <w:t>THREE MONTHS ENDED</w:t>
            </w:r>
          </w:p>
        </w:tc>
      </w:tr>
      <w:tr>
        <w:trPr>
          <w:trHeight w:val="152"/>
        </w:trPr>
        <w:tc>
          <w:tcPr>
            <w:tcW w:w="8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4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DECEMBER 27,</w:t>
            </w:r>
          </w:p>
        </w:tc>
        <w:tc>
          <w:tcPr>
            <w:tcW w:w="160" w:type="dxa"/>
            <w:vAlign w:val="bottom"/>
          </w:tcPr>
          <w:p>
            <w:pPr>
              <w:spacing w:after="0"/>
              <w:rPr>
                <w:sz w:val="13"/>
                <w:szCs w:val="13"/>
                <w:color w:val="auto"/>
              </w:rPr>
            </w:pPr>
          </w:p>
        </w:tc>
        <w:tc>
          <w:tcPr>
            <w:tcW w:w="1320" w:type="dxa"/>
            <w:vAlign w:val="bottom"/>
          </w:tcPr>
          <w:p>
            <w:pPr>
              <w:jc w:val="right"/>
              <w:ind w:right="154"/>
              <w:spacing w:after="0" w:line="153" w:lineRule="exact"/>
              <w:rPr>
                <w:sz w:val="20"/>
                <w:szCs w:val="20"/>
                <w:color w:val="auto"/>
              </w:rPr>
            </w:pPr>
            <w:r>
              <w:rPr>
                <w:rFonts w:ascii="Arial" w:cs="Arial" w:eastAsia="Arial" w:hAnsi="Arial"/>
                <w:sz w:val="14"/>
                <w:szCs w:val="14"/>
                <w:b w:val="1"/>
                <w:bCs w:val="1"/>
                <w:color w:val="auto"/>
              </w:rPr>
              <w:t>DECEMBER 28,</w:t>
            </w:r>
          </w:p>
        </w:tc>
      </w:tr>
      <w:tr>
        <w:trPr>
          <w:trHeight w:val="192"/>
        </w:trPr>
        <w:tc>
          <w:tcPr>
            <w:tcW w:w="83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2013</w:t>
            </w:r>
          </w:p>
        </w:tc>
      </w:tr>
      <w:tr>
        <w:trPr>
          <w:trHeight w:val="250"/>
        </w:trPr>
        <w:tc>
          <w:tcPr>
            <w:tcW w:w="8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920" w:type="dxa"/>
            <w:vAlign w:val="bottom"/>
            <w:gridSpan w:val="4"/>
          </w:tcPr>
          <w:p>
            <w:pPr>
              <w:jc w:val="right"/>
              <w:ind w:right="1054"/>
              <w:spacing w:after="0"/>
              <w:rPr>
                <w:sz w:val="20"/>
                <w:szCs w:val="20"/>
                <w:color w:val="auto"/>
              </w:rPr>
            </w:pPr>
            <w:r>
              <w:rPr>
                <w:rFonts w:ascii="Arial" w:cs="Arial" w:eastAsia="Arial" w:hAnsi="Arial"/>
                <w:sz w:val="14"/>
                <w:szCs w:val="14"/>
                <w:b w:val="1"/>
                <w:bCs w:val="1"/>
                <w:color w:val="auto"/>
              </w:rPr>
              <w:t>(In millions)</w:t>
            </w:r>
          </w:p>
        </w:tc>
      </w:tr>
      <w:tr>
        <w:trPr>
          <w:trHeight w:val="25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commission</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Contribution expenses</w:t>
            </w: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marketing fee</w:t>
            </w: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r>
      <w:tr>
        <w:trPr>
          <w:trHeight w:val="237"/>
        </w:trPr>
        <w:tc>
          <w:tcPr>
            <w:tcW w:w="8340" w:type="dxa"/>
            <w:vAlign w:val="bottom"/>
          </w:tcPr>
          <w:p>
            <w:pPr>
              <w:ind w:left="460"/>
              <w:spacing w:after="0"/>
              <w:rPr>
                <w:sz w:val="20"/>
                <w:szCs w:val="20"/>
                <w:color w:val="auto"/>
              </w:rPr>
            </w:pPr>
            <w:r>
              <w:rPr>
                <w:rFonts w:ascii="Arial" w:cs="Arial" w:eastAsia="Arial" w:hAnsi="Arial"/>
                <w:sz w:val="18"/>
                <w:szCs w:val="18"/>
                <w:color w:val="auto"/>
              </w:rPr>
              <w:t>Net commission income</w:t>
            </w:r>
          </w:p>
        </w:tc>
        <w:tc>
          <w:tcPr>
            <w:tcW w:w="1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w:t>
            </w: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Reimbursements associated with Marketing Agreement</w:t>
            </w: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17.3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15.1</w:t>
            </w:r>
          </w:p>
        </w:tc>
      </w:tr>
      <w:tr>
        <w:trPr>
          <w:trHeight w:val="237"/>
        </w:trPr>
        <w:tc>
          <w:tcPr>
            <w:tcW w:w="8340" w:type="dxa"/>
            <w:vAlign w:val="bottom"/>
          </w:tcPr>
          <w:p>
            <w:pPr>
              <w:ind w:left="460"/>
              <w:spacing w:after="0"/>
              <w:rPr>
                <w:sz w:val="20"/>
                <w:szCs w:val="20"/>
                <w:color w:val="auto"/>
              </w:rPr>
            </w:pPr>
            <w:r>
              <w:rPr>
                <w:rFonts w:ascii="Arial" w:cs="Arial" w:eastAsia="Arial" w:hAnsi="Arial"/>
                <w:sz w:val="18"/>
                <w:szCs w:val="18"/>
                <w:color w:val="auto"/>
              </w:rPr>
              <w:t>Total net sales associated with Marketing Agreement</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9.9</w:t>
            </w:r>
          </w:p>
        </w:tc>
      </w:tr>
      <w:tr>
        <w:trPr>
          <w:trHeight w:val="27"/>
        </w:trPr>
        <w:tc>
          <w:tcPr>
            <w:tcW w:w="83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color w:val="auto"/>
        </w:rPr>
        <w:t>The Marketing Agreement has no definite term except as it relates to the European Union countries (the “EU term”). The EU term extends through September 30, 2015. Thereafter, the Marketing Agreement provides that the parties may agree to renew the EU term for an additional three years.</w:t>
      </w:r>
    </w:p>
    <w:p>
      <w:pPr>
        <w:spacing w:after="0" w:line="66" w:lineRule="exact"/>
        <w:rPr>
          <w:sz w:val="20"/>
          <w:szCs w:val="20"/>
          <w:color w:val="auto"/>
        </w:rPr>
      </w:pPr>
    </w:p>
    <w:p>
      <w:pPr>
        <w:jc w:val="both"/>
        <w:ind w:firstLine="432"/>
        <w:spacing w:after="0" w:line="237" w:lineRule="auto"/>
        <w:rPr>
          <w:sz w:val="20"/>
          <w:szCs w:val="20"/>
          <w:color w:val="auto"/>
        </w:rPr>
      </w:pPr>
      <w:r>
        <w:rPr>
          <w:rFonts w:ascii="Arial" w:cs="Arial" w:eastAsia="Arial" w:hAnsi="Arial"/>
          <w:sz w:val="17"/>
          <w:szCs w:val="17"/>
          <w:color w:val="auto"/>
        </w:rPr>
        <w:t>The Marketing Agreement provides Monsanto with termination rights upon an event of default (as defined in the Marketing Agreement) by the Company, a change in control of Monsanto or the sale of the consumer Roundup</w:t>
      </w:r>
      <w:r>
        <w:rPr>
          <w:rFonts w:ascii="Arial" w:cs="Arial" w:eastAsia="Arial" w:hAnsi="Arial"/>
          <w:sz w:val="24"/>
          <w:szCs w:val="24"/>
          <w:color w:val="auto"/>
          <w:vertAlign w:val="superscript"/>
        </w:rPr>
        <w:t>®</w:t>
      </w:r>
      <w:r>
        <w:rPr>
          <w:rFonts w:ascii="Arial" w:cs="Arial" w:eastAsia="Arial" w:hAnsi="Arial"/>
          <w:sz w:val="17"/>
          <w:szCs w:val="17"/>
          <w:color w:val="auto"/>
        </w:rPr>
        <w:t xml:space="preserve"> business. The Marketing Agreement provides the Company with termination rights in certain circumstances, including an event of default by Monsanto or the sale of the consumer Roundup</w:t>
      </w:r>
      <w:r>
        <w:rPr>
          <w:rFonts w:ascii="Arial" w:cs="Arial" w:eastAsia="Arial" w:hAnsi="Arial"/>
          <w:sz w:val="24"/>
          <w:szCs w:val="24"/>
          <w:color w:val="auto"/>
          <w:vertAlign w:val="superscript"/>
        </w:rPr>
        <w:t>®</w:t>
      </w:r>
      <w:r>
        <w:rPr>
          <w:rFonts w:ascii="Arial" w:cs="Arial" w:eastAsia="Arial" w:hAnsi="Arial"/>
          <w:sz w:val="17"/>
          <w:szCs w:val="17"/>
          <w:color w:val="auto"/>
        </w:rPr>
        <w:t xml:space="preserve"> business. Unless Monsanto terminates the Marketing Agreement due to an event of default by the Company, Monsanto is required to pay a termination fee to the Company that varies by program year. The termination fee is calculated as a percentage of the value of the Roundup</w:t>
      </w:r>
      <w:r>
        <w:rPr>
          <w:rFonts w:ascii="Arial" w:cs="Arial" w:eastAsia="Arial" w:hAnsi="Arial"/>
          <w:sz w:val="24"/>
          <w:szCs w:val="24"/>
          <w:color w:val="auto"/>
          <w:vertAlign w:val="superscript"/>
        </w:rPr>
        <w:t>®</w:t>
      </w:r>
      <w:r>
        <w:rPr>
          <w:rFonts w:ascii="Arial" w:cs="Arial" w:eastAsia="Arial" w:hAnsi="Arial"/>
          <w:sz w:val="17"/>
          <w:szCs w:val="17"/>
          <w:color w:val="auto"/>
        </w:rPr>
        <w:t xml:space="preserve"> business exceeding a certain threshold, but in no event will the termination fee be less than $16 million. If Monsanto were to terminate the Marketing Agreement for cause, the Company would not be entitled to any termination fee. Monsanto may also be able to terminate the Marketing Agreement within a given region, including North America, without paying a termination fee if unit volume sales to consumers in that region decline: (1) over a cumulative three-fiscal-year period; or (2) by more than 5% for each of two consecutive years. If the Marketing Agreement was terminated, the Company would also lose all, or a substantial portion, of the significant source of earnings and overhead expense absorption the Marketing Agreement provides.</w:t>
      </w:r>
    </w:p>
    <w:p>
      <w:pPr>
        <w:spacing w:after="0" w:line="127" w:lineRule="exact"/>
        <w:rPr>
          <w:sz w:val="20"/>
          <w:szCs w:val="20"/>
          <w:color w:val="auto"/>
        </w:rPr>
      </w:pPr>
    </w:p>
    <w:p>
      <w:pPr>
        <w:jc w:val="both"/>
        <w:ind w:firstLine="432"/>
        <w:spacing w:after="0" w:line="222" w:lineRule="auto"/>
        <w:rPr>
          <w:sz w:val="20"/>
          <w:szCs w:val="20"/>
          <w:color w:val="auto"/>
        </w:rPr>
      </w:pPr>
      <w:r>
        <w:rPr>
          <w:rFonts w:ascii="Arial" w:cs="Arial" w:eastAsia="Arial" w:hAnsi="Arial"/>
          <w:sz w:val="17"/>
          <w:szCs w:val="17"/>
          <w:color w:val="auto"/>
        </w:rPr>
        <w:t>Under the Marketing Agreement, Monsanto must provide the Company with notice of any proposed sale of the consumer Roundup</w:t>
      </w:r>
      <w:r>
        <w:rPr>
          <w:rFonts w:ascii="Arial" w:cs="Arial" w:eastAsia="Arial" w:hAnsi="Arial"/>
          <w:sz w:val="24"/>
          <w:szCs w:val="24"/>
          <w:color w:val="auto"/>
          <w:vertAlign w:val="superscript"/>
        </w:rPr>
        <w:t>®</w:t>
      </w:r>
      <w:r>
        <w:rPr>
          <w:rFonts w:ascii="Arial" w:cs="Arial" w:eastAsia="Arial" w:hAnsi="Arial"/>
          <w:sz w:val="17"/>
          <w:szCs w:val="17"/>
          <w:color w:val="auto"/>
        </w:rPr>
        <w:t xml:space="preserve"> business, allow the Company to participate in the sale process and negotiate in good faith with the Company with respect to any such proposed sale. In the event the Company acquires the consumer Roundup</w:t>
      </w:r>
      <w:r>
        <w:rPr>
          <w:rFonts w:ascii="Arial" w:cs="Arial" w:eastAsia="Arial" w:hAnsi="Arial"/>
          <w:sz w:val="24"/>
          <w:szCs w:val="24"/>
          <w:color w:val="auto"/>
          <w:vertAlign w:val="superscript"/>
        </w:rPr>
        <w:t>®</w:t>
      </w:r>
      <w:r>
        <w:rPr>
          <w:rFonts w:ascii="Arial" w:cs="Arial" w:eastAsia="Arial" w:hAnsi="Arial"/>
          <w:sz w:val="17"/>
          <w:szCs w:val="17"/>
          <w:color w:val="auto"/>
        </w:rPr>
        <w:t xml:space="preserve"> business in such a sale, the Company would receive as a credit against the purchase price the amount of the termination fee that would have been paid to the Company if Monsanto had exercised its right to terminate the Marketing Agreement in connection with a sale to another party. If Monsanto decides to sell the consumer Roundup</w:t>
      </w:r>
      <w:r>
        <w:rPr>
          <w:rFonts w:ascii="Arial" w:cs="Arial" w:eastAsia="Arial" w:hAnsi="Arial"/>
          <w:sz w:val="24"/>
          <w:szCs w:val="24"/>
          <w:color w:val="auto"/>
          <w:vertAlign w:val="superscript"/>
        </w:rPr>
        <w:t>®</w:t>
      </w:r>
      <w:r>
        <w:rPr>
          <w:rFonts w:ascii="Arial" w:cs="Arial" w:eastAsia="Arial" w:hAnsi="Arial"/>
          <w:sz w:val="17"/>
          <w:szCs w:val="17"/>
          <w:color w:val="auto"/>
        </w:rPr>
        <w:t xml:space="preserve"> business to another party, the Company must let Monsanto know whether the Company intends to terminate the Marketing Agreement and forfeit any right to a termination fee.</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color w:val="FFFFFF"/>
        </w:rPr>
      </w:pPr>
      <w:hyperlink w:anchor="page1">
        <w:r>
          <w:rPr>
            <w:rFonts w:ascii="Arial" w:cs="Arial" w:eastAsia="Arial" w:hAnsi="Arial"/>
            <w:sz w:val="18"/>
            <w:szCs w:val="18"/>
            <w:color w:val="FFFFFF"/>
          </w:rPr>
          <w:t>Table of Contents</w:t>
        </w:r>
      </w:hyperlink>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DEBT</w:t>
      </w:r>
    </w:p>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components of long-term debt are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00" w:type="dxa"/>
            <w:vAlign w:val="bottom"/>
            <w:gridSpan w:val="2"/>
          </w:tcPr>
          <w:p>
            <w:pPr>
              <w:ind w:left="140"/>
              <w:spacing w:after="0"/>
              <w:rPr>
                <w:sz w:val="20"/>
                <w:szCs w:val="20"/>
                <w:color w:val="auto"/>
              </w:rPr>
            </w:pPr>
            <w:r>
              <w:rPr>
                <w:rFonts w:ascii="Arial" w:cs="Arial" w:eastAsia="Arial" w:hAnsi="Arial"/>
                <w:sz w:val="14"/>
                <w:szCs w:val="14"/>
                <w:b w:val="1"/>
                <w:bCs w:val="1"/>
                <w:color w:val="auto"/>
              </w:rPr>
              <w:t>DECEMBER 27,</w:t>
            </w:r>
          </w:p>
        </w:tc>
        <w:tc>
          <w:tcPr>
            <w:tcW w:w="240" w:type="dxa"/>
            <w:vAlign w:val="bottom"/>
          </w:tcPr>
          <w:p>
            <w:pPr>
              <w:spacing w:after="0"/>
              <w:rPr>
                <w:sz w:val="14"/>
                <w:szCs w:val="14"/>
                <w:color w:val="auto"/>
              </w:rPr>
            </w:pPr>
          </w:p>
        </w:tc>
        <w:tc>
          <w:tcPr>
            <w:tcW w:w="1700" w:type="dxa"/>
            <w:vAlign w:val="bottom"/>
            <w:gridSpan w:val="2"/>
          </w:tcPr>
          <w:p>
            <w:pPr>
              <w:ind w:left="140"/>
              <w:spacing w:after="0"/>
              <w:rPr>
                <w:sz w:val="20"/>
                <w:szCs w:val="20"/>
                <w:color w:val="auto"/>
              </w:rPr>
            </w:pPr>
            <w:r>
              <w:rPr>
                <w:rFonts w:ascii="Arial" w:cs="Arial" w:eastAsia="Arial" w:hAnsi="Arial"/>
                <w:sz w:val="14"/>
                <w:szCs w:val="14"/>
                <w:b w:val="1"/>
                <w:bCs w:val="1"/>
                <w:color w:val="auto"/>
              </w:rPr>
              <w:t>DECEMBER 28,</w:t>
            </w:r>
          </w:p>
        </w:tc>
        <w:tc>
          <w:tcPr>
            <w:tcW w:w="220" w:type="dxa"/>
            <w:vAlign w:val="bottom"/>
          </w:tcPr>
          <w:p>
            <w:pPr>
              <w:spacing w:after="0"/>
              <w:rPr>
                <w:sz w:val="14"/>
                <w:szCs w:val="14"/>
                <w:color w:val="auto"/>
              </w:rPr>
            </w:pPr>
          </w:p>
        </w:tc>
        <w:tc>
          <w:tcPr>
            <w:tcW w:w="1600" w:type="dxa"/>
            <w:vAlign w:val="bottom"/>
          </w:tcPr>
          <w:p>
            <w:pPr>
              <w:jc w:val="right"/>
              <w:ind w:right="294"/>
              <w:spacing w:after="0"/>
              <w:rPr>
                <w:sz w:val="20"/>
                <w:szCs w:val="20"/>
                <w:color w:val="auto"/>
              </w:rPr>
            </w:pPr>
            <w:r>
              <w:rPr>
                <w:rFonts w:ascii="Arial" w:cs="Arial" w:eastAsia="Arial" w:hAnsi="Arial"/>
                <w:sz w:val="14"/>
                <w:szCs w:val="14"/>
                <w:b w:val="1"/>
                <w:bCs w:val="1"/>
                <w:color w:val="auto"/>
              </w:rPr>
              <w:t>SEPTEMBER 30,</w:t>
            </w:r>
          </w:p>
        </w:tc>
      </w:tr>
      <w:tr>
        <w:trPr>
          <w:trHeight w:val="192"/>
        </w:trPr>
        <w:tc>
          <w:tcPr>
            <w:tcW w:w="57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694"/>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675"/>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b w:val="1"/>
                <w:bCs w:val="1"/>
                <w:color w:val="auto"/>
              </w:rPr>
              <w:t>2014</w:t>
            </w:r>
          </w:p>
        </w:tc>
      </w:tr>
      <w:tr>
        <w:trPr>
          <w:trHeight w:val="250"/>
        </w:trPr>
        <w:tc>
          <w:tcPr>
            <w:tcW w:w="57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00" w:type="dxa"/>
            <w:vAlign w:val="bottom"/>
            <w:gridSpan w:val="2"/>
          </w:tcPr>
          <w:p>
            <w:pPr>
              <w:ind w:left="300"/>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56"/>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Credit facility – Revolving loans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922.9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447.4</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481.8</w:t>
            </w: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Senior Notes – 7.25%</w:t>
            </w:r>
          </w:p>
        </w:tc>
        <w:tc>
          <w:tcPr>
            <w:tcW w:w="240" w:type="dxa"/>
            <w:vAlign w:val="bottom"/>
          </w:tcPr>
          <w:p>
            <w:pPr>
              <w:spacing w:after="0"/>
              <w:rPr>
                <w:sz w:val="21"/>
                <w:szCs w:val="21"/>
                <w:color w:val="auto"/>
              </w:rPr>
            </w:pPr>
          </w:p>
        </w:tc>
        <w:tc>
          <w:tcPr>
            <w:tcW w:w="1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580" w:type="dxa"/>
            <w:vAlign w:val="bottom"/>
          </w:tcPr>
          <w:p>
            <w:pPr>
              <w:jc w:val="right"/>
              <w:ind w:right="15"/>
              <w:spacing w:after="0"/>
              <w:rPr>
                <w:sz w:val="20"/>
                <w:szCs w:val="20"/>
                <w:color w:val="auto"/>
              </w:rPr>
            </w:pPr>
            <w:r>
              <w:rPr>
                <w:rFonts w:ascii="Arial" w:cs="Arial" w:eastAsia="Arial" w:hAnsi="Arial"/>
                <w:sz w:val="18"/>
                <w:szCs w:val="18"/>
                <w:color w:val="auto"/>
              </w:rPr>
              <w:t>200.0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
        </w:trPr>
        <w:tc>
          <w:tcPr>
            <w:tcW w:w="5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Senior Notes – 6.625%</w:t>
            </w:r>
          </w:p>
        </w:tc>
        <w:tc>
          <w:tcPr>
            <w:tcW w:w="2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200.0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200.0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200.0</w:t>
            </w: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Master Accounts Receivable Purchase Agreement</w:t>
            </w:r>
          </w:p>
        </w:tc>
        <w:tc>
          <w:tcPr>
            <w:tcW w:w="240" w:type="dxa"/>
            <w:vAlign w:val="bottom"/>
          </w:tcPr>
          <w:p>
            <w:pPr>
              <w:spacing w:after="0"/>
              <w:rPr>
                <w:sz w:val="21"/>
                <w:szCs w:val="21"/>
                <w:color w:val="auto"/>
              </w:rPr>
            </w:pPr>
          </w:p>
        </w:tc>
        <w:tc>
          <w:tcPr>
            <w:tcW w:w="1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580" w:type="dxa"/>
            <w:vAlign w:val="bottom"/>
          </w:tcPr>
          <w:p>
            <w:pPr>
              <w:jc w:val="right"/>
              <w:ind w:right="15"/>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ind w:right="14"/>
              <w:spacing w:after="0"/>
              <w:rPr>
                <w:sz w:val="20"/>
                <w:szCs w:val="20"/>
                <w:color w:val="auto"/>
              </w:rPr>
            </w:pPr>
            <w:r>
              <w:rPr>
                <w:rFonts w:ascii="Arial" w:cs="Arial" w:eastAsia="Arial" w:hAnsi="Arial"/>
                <w:sz w:val="18"/>
                <w:szCs w:val="18"/>
                <w:color w:val="auto"/>
              </w:rPr>
              <w:t>84.0</w:t>
            </w:r>
          </w:p>
        </w:tc>
      </w:tr>
      <w:tr>
        <w:trPr>
          <w:trHeight w:val="27"/>
        </w:trPr>
        <w:tc>
          <w:tcPr>
            <w:tcW w:w="5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47.0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27.2</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18.5</w:t>
            </w:r>
          </w:p>
        </w:tc>
      </w:tr>
      <w:tr>
        <w:trPr>
          <w:trHeight w:val="237"/>
        </w:trPr>
        <w:tc>
          <w:tcPr>
            <w:tcW w:w="57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1,169.9</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882.0</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784.3</w:t>
            </w:r>
          </w:p>
        </w:tc>
      </w:tr>
      <w:tr>
        <w:trPr>
          <w:trHeight w:val="27"/>
        </w:trPr>
        <w:tc>
          <w:tcPr>
            <w:tcW w:w="5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current portions</w:t>
            </w:r>
          </w:p>
        </w:tc>
        <w:tc>
          <w:tcPr>
            <w:tcW w:w="24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36.6</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229.7</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91.9</w:t>
            </w:r>
          </w:p>
        </w:tc>
      </w:tr>
      <w:tr>
        <w:trPr>
          <w:trHeight w:val="237"/>
        </w:trPr>
        <w:tc>
          <w:tcPr>
            <w:tcW w:w="5720" w:type="dxa"/>
            <w:vAlign w:val="bottom"/>
          </w:tcPr>
          <w:p>
            <w:pPr>
              <w:ind w:left="40"/>
              <w:spacing w:after="0"/>
              <w:rPr>
                <w:sz w:val="20"/>
                <w:szCs w:val="20"/>
                <w:color w:val="auto"/>
              </w:rPr>
            </w:pPr>
            <w:r>
              <w:rPr>
                <w:rFonts w:ascii="Arial" w:cs="Arial" w:eastAsia="Arial" w:hAnsi="Arial"/>
                <w:sz w:val="18"/>
                <w:szCs w:val="18"/>
                <w:color w:val="auto"/>
              </w:rPr>
              <w:t>Total long-term debt</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1,133.3</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652.3</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692.4</w:t>
            </w:r>
          </w:p>
        </w:tc>
      </w:tr>
      <w:tr>
        <w:trPr>
          <w:trHeight w:val="27"/>
        </w:trPr>
        <w:tc>
          <w:tcPr>
            <w:tcW w:w="57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0"/>
        </w:trPr>
        <w:tc>
          <w:tcPr>
            <w:tcW w:w="57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On January 15, 2014, the Company redeemed all of its outstanding $200.0 million aggregate principal amount of 7.25% senior notes due 2018 (the “7.25% Senior Notes”) paying a redemption price of $214.5 million, which included $7.25 million of accrued and unpaid interest, $7.25 million of call premium, and $200.0 million for outstanding principal amount. The $7.25 million call premium charge was recognized within the “Costs related to refinancing” line on the Condensed Consolidated Statement of Operations in the Company's second quarter of fiscal 2014. Additionally, the Company had $3.5 million in unamortized bond discount and issuance costs associated with the 7.25% Senior Notes that were written-off and recognized in the “Costs related to refinancing” line on the Condensed Consolidated Statement of Operations in the Company's second quarter of fiscal 2014.</w:t>
      </w:r>
    </w:p>
    <w:p>
      <w:pPr>
        <w:spacing w:after="0" w:line="97"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On December 20, 2013, the Company entered into a third amended and restated senior secured credit agreement (“credit facility”), providing the Company and certain of its subsidiaries with a five-year senior secured revolving loan facility in the aggregate principal amount of up to $1.7 billion. The credit facility also provides the Company with the right to seek to increase the credit facility by an aggregate amount of up to $450.0 million, subject to certain specified conditions, including approval from lenders.</w:t>
      </w:r>
    </w:p>
    <w:p>
      <w:pPr>
        <w:spacing w:after="0" w:line="106"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The terms of the credit facility include customary representations and warranties, affirmative and negative covenants, financial covenants and events of default. The proceeds of borrowings on the credit facility may be used: (i) to finance working capital requirements and other general corporate purposes of the Company and its subsidiaries; and (ii) to refinance the amounts outstanding under the previous credit agreement. The Company may use the credit facility for issuance of up to $75 million of letters of credit and for borrowings under swing line loans of up to $100 million. The credit facility will terminate on December 20, 2018.</w:t>
      </w:r>
    </w:p>
    <w:p>
      <w:pPr>
        <w:spacing w:after="0" w:line="107"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Under the terms of the credit facility, loans made bear interest, at the Company’s election, at a rate per annum equal to either the ABR or LIBOR (both as defined in the credit facility) plus the applicable margin. The credit facility is guaranteed by substantially all of the Company's domestic subsidiaries. The credit facility is secured by (i) a perfected first priority security interest in all of the accounts receivable, inventory and equipment of the Company and those of the Company’s domestic subsidiaries that are parties to the third amended and restated guarantee and collateral agreement and (ii) the pledge of all of the capital stock of the Company’s domestic subsidiaries that are parties to the third amended and restated guarantee and collateral agreement.</w:t>
      </w:r>
    </w:p>
    <w:p>
      <w:pPr>
        <w:spacing w:after="0" w:line="158"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As of December 27, 2014, there was $753.1 million of availability under the credit facility, including availability for letters of credit. At December 27, 2014, the Company had letters of credit in the aggregate face amount of $24.0 million outstanding under the credit facility.</w:t>
      </w:r>
    </w:p>
    <w:p>
      <w:pPr>
        <w:spacing w:after="0" w:line="89"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The credit facility contains, among other obligations, an affirmative covenant regarding the Company’s leverage ratio, calculated as average total indebtedness, relative to the Company’s earnings before interest, taxes, depreciation and amortization (“EBITDA”), as adjusted pursuant to the terms of the credit facility (“Adjusted EBITDA”). Under the terms of the credit facility, the maximum leverage ratio was 4.00 as of December 27, 2014. The Company’s leverage ratio was 2.41 at December 27, 2014. The new credit facility also includes an affirmative covenant regarding its interest coverage ratio. The interest coverage ratio is calculated as Adjusted EBITDA divided by interest expense, as described in the credit facility, and excludes costs related to refinancings. Under the terms of the credit facility, the minimum interest coverage ratio was 3.50 for the twelve months ended December 27, 2014. The Company’s interest coverage ratio was 10.09 for the twelve months ended December 27, 2014. The Company may make restricted payments (as defined in the third amended and restated credit agreement); provided that if after giving effect to any such restricted payment the leverage ratio is not greater than 3.00. Otherwise the Company may only make</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color w:val="FFFFFF"/>
        </w:rPr>
      </w:pPr>
      <w:hyperlink w:anchor="page1">
        <w:r>
          <w:rPr>
            <w:rFonts w:ascii="Arial" w:cs="Arial" w:eastAsia="Arial" w:hAnsi="Arial"/>
            <w:sz w:val="18"/>
            <w:szCs w:val="18"/>
            <w:color w:val="FFFFFF"/>
          </w:rPr>
          <w:t>Table of Contents</w:t>
        </w:r>
      </w:hyperlink>
    </w:p>
    <w:p>
      <w:pPr>
        <w:spacing w:after="0" w:line="3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restricted payments in an aggregate amount for each fiscal year not to exceed the amount set forth for such fiscal year ($150.0 million for 2015 and $175.0 million for 2016 and in each fiscal year thereafter).</w:t>
      </w:r>
    </w:p>
    <w:p>
      <w:pPr>
        <w:spacing w:after="0" w:line="89"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The Company accounts for the sale of receivables under the Master Accounts Receivable Purchase Agreement (“MARP Agreement”) as short-term debt and continues to carry the receivables on its Consolidated Balance Sheet, primarily as a result of the Company’s right to repurchase receivables sold. Refer to “NOTE 10. DEBT” in the 2014 Annual Report for more information regarding the MARP Agreement. There were no borrowings under the MARP Agreement as of December 27, 2014 and $7.4 million in borrowings as of December 28, 2013. There were no receivables pledged as collateral as of December 27, 2014 and the carrying value of the receivables pledged as collateral was $9.3 million as of December 28, 2013. As of December 27, 2014, there was $29.6 million of availability under the MARP Agreement.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Estimated Fair Values</w:t>
      </w:r>
    </w:p>
    <w:p>
      <w:pPr>
        <w:spacing w:after="0" w:line="14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description of the methods and assumptions used to estimate the fair values of the Company’s debt instruments is as follows:</w:t>
      </w:r>
    </w:p>
    <w:p>
      <w:pPr>
        <w:spacing w:after="0" w:line="14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Credit Facility</w:t>
      </w:r>
    </w:p>
    <w:p>
      <w:pPr>
        <w:spacing w:after="0" w:line="144" w:lineRule="exact"/>
        <w:rPr>
          <w:sz w:val="20"/>
          <w:szCs w:val="20"/>
          <w:color w:val="auto"/>
        </w:rPr>
      </w:pPr>
    </w:p>
    <w:p>
      <w:pPr>
        <w:jc w:val="both"/>
        <w:ind w:firstLine="432"/>
        <w:spacing w:after="0" w:line="342" w:lineRule="auto"/>
        <w:rPr>
          <w:sz w:val="20"/>
          <w:szCs w:val="20"/>
          <w:color w:val="auto"/>
        </w:rPr>
      </w:pPr>
      <w:r>
        <w:rPr>
          <w:rFonts w:ascii="Arial" w:cs="Arial" w:eastAsia="Arial" w:hAnsi="Arial"/>
          <w:sz w:val="16"/>
          <w:szCs w:val="16"/>
          <w:color w:val="auto"/>
        </w:rPr>
        <w:t>The interest rate currently available to the Company fluctuates with the applicable LIBOR rate, prime rate or Federal Funds Effective Rate and thus the carrying value is a reasonable estimate of fair value. The fair value measurement for the credit facility was classified in Level 2 of the fair value hierarchy.</w:t>
      </w:r>
    </w:p>
    <w:p>
      <w:pPr>
        <w:spacing w:after="0" w:line="4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6.625% Senior Notes</w:t>
      </w:r>
    </w:p>
    <w:p>
      <w:pPr>
        <w:spacing w:after="0" w:line="144"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The fair value of Scotts Miracle-Gro’s 6.625% senior notes due 2020 (the “6.625% Senior Notes”) can be determined based on the trading of the 6.625% Senior Notes in the open market. The difference between the carrying value and the fair value of the 6.625% Senior Notes represents the premium or discount on that date. Based on the trading value on or around December 27, 2014, December 28, 2013 and September 30, 2014, the fair value of the 6.625% Senior Notes was approximately $210.5 million, $216.2 million and $212.5 million, respectively. The fair value measurement for the 6.625% Senior Notes was classified in Level 1 of the fair value hierarchy.</w:t>
      </w:r>
    </w:p>
    <w:p>
      <w:pPr>
        <w:spacing w:after="0" w:line="10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Accounts Receivable Pledged</w:t>
      </w:r>
    </w:p>
    <w:p>
      <w:pPr>
        <w:spacing w:after="0" w:line="14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interest rate on the short-term debt associated with accounts receivable pledged under the MARP Agreement fluctuates with the applicable LIBOR rate and thus the carrying value is a reasonable estimate of fair value. The fair value measurement for the MARP Agreement was classified in Level 2 of the fair value hierarchy.</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Interest Rate Swap Agreements</w:t>
      </w:r>
    </w:p>
    <w:p>
      <w:pPr>
        <w:spacing w:after="0" w:line="144"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The Company has outstanding interest rate swap agreements with major financial institutions that effectively converts a portion of the Company’s variable-rate debt to a fixed rate. The swap agreements had a total U.S. dollar equivalent notional amount of $1,300.0 million at December 27, 2014, $1,100.0 million at December 28, 2013, and $1,300.0 million at September 30, 2014. Interest payments made between the effective date and expiration date are hedged by the swap agreements, except as noted below. The notional amount, effective date, expiration date and rate of each of these swap agreements are shown in the table below.</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2200" w:type="dxa"/>
            <w:vAlign w:val="bottom"/>
          </w:tcPr>
          <w:p>
            <w:pPr>
              <w:jc w:val="right"/>
              <w:ind w:right="713"/>
              <w:spacing w:after="0"/>
              <w:rPr>
                <w:sz w:val="20"/>
                <w:szCs w:val="20"/>
                <w:color w:val="auto"/>
              </w:rPr>
            </w:pPr>
            <w:r>
              <w:rPr>
                <w:rFonts w:ascii="Arial" w:cs="Arial" w:eastAsia="Arial" w:hAnsi="Arial"/>
                <w:sz w:val="14"/>
                <w:szCs w:val="14"/>
                <w:b w:val="1"/>
                <w:bCs w:val="1"/>
                <w:color w:val="auto"/>
              </w:rPr>
              <w:t>Notional Amount</w:t>
            </w:r>
          </w:p>
        </w:tc>
        <w:tc>
          <w:tcPr>
            <w:tcW w:w="360" w:type="dxa"/>
            <w:vAlign w:val="bottom"/>
          </w:tcPr>
          <w:p>
            <w:pPr>
              <w:spacing w:after="0"/>
              <w:rPr>
                <w:sz w:val="14"/>
                <w:szCs w:val="14"/>
                <w:color w:val="auto"/>
              </w:rPr>
            </w:pPr>
          </w:p>
        </w:tc>
        <w:tc>
          <w:tcPr>
            <w:tcW w:w="28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Effective</w:t>
            </w:r>
          </w:p>
        </w:tc>
        <w:tc>
          <w:tcPr>
            <w:tcW w:w="28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9"/>
              </w:rPr>
              <w:t>Expiration</w:t>
            </w:r>
          </w:p>
        </w:tc>
        <w:tc>
          <w:tcPr>
            <w:tcW w:w="2720" w:type="dxa"/>
            <w:vAlign w:val="bottom"/>
          </w:tcPr>
          <w:p>
            <w:pPr>
              <w:jc w:val="center"/>
              <w:spacing w:after="0"/>
              <w:rPr>
                <w:sz w:val="20"/>
                <w:szCs w:val="20"/>
                <w:color w:val="auto"/>
              </w:rPr>
            </w:pPr>
            <w:r>
              <w:rPr>
                <w:rFonts w:ascii="Arial" w:cs="Arial" w:eastAsia="Arial" w:hAnsi="Arial"/>
                <w:sz w:val="14"/>
                <w:szCs w:val="14"/>
                <w:b w:val="1"/>
                <w:bCs w:val="1"/>
                <w:color w:val="auto"/>
                <w:w w:val="92"/>
              </w:rPr>
              <w:t>Fixed</w:t>
            </w:r>
          </w:p>
        </w:tc>
      </w:tr>
      <w:tr>
        <w:trPr>
          <w:trHeight w:val="192"/>
        </w:trPr>
        <w:tc>
          <w:tcPr>
            <w:tcW w:w="460" w:type="dxa"/>
            <w:vAlign w:val="bottom"/>
          </w:tcPr>
          <w:p>
            <w:pPr>
              <w:spacing w:after="0"/>
              <w:rPr>
                <w:sz w:val="16"/>
                <w:szCs w:val="16"/>
                <w:color w:val="auto"/>
              </w:rPr>
            </w:pPr>
          </w:p>
        </w:tc>
        <w:tc>
          <w:tcPr>
            <w:tcW w:w="2200" w:type="dxa"/>
            <w:vAlign w:val="bottom"/>
          </w:tcPr>
          <w:p>
            <w:pPr>
              <w:jc w:val="right"/>
              <w:ind w:right="873"/>
              <w:spacing w:after="0"/>
              <w:rPr>
                <w:sz w:val="20"/>
                <w:szCs w:val="20"/>
                <w:color w:val="auto"/>
              </w:rPr>
            </w:pPr>
            <w:r>
              <w:rPr>
                <w:rFonts w:ascii="Arial" w:cs="Arial" w:eastAsia="Arial" w:hAnsi="Arial"/>
                <w:sz w:val="14"/>
                <w:szCs w:val="14"/>
                <w:b w:val="1"/>
                <w:bCs w:val="1"/>
                <w:color w:val="auto"/>
              </w:rPr>
              <w:t>(in millions)</w:t>
            </w:r>
          </w:p>
        </w:tc>
        <w:tc>
          <w:tcPr>
            <w:tcW w:w="360" w:type="dxa"/>
            <w:vAlign w:val="bottom"/>
          </w:tcPr>
          <w:p>
            <w:pPr>
              <w:spacing w:after="0"/>
              <w:rPr>
                <w:sz w:val="16"/>
                <w:szCs w:val="16"/>
                <w:color w:val="auto"/>
              </w:rPr>
            </w:pPr>
          </w:p>
        </w:tc>
        <w:tc>
          <w:tcPr>
            <w:tcW w:w="28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Date (a)</w:t>
            </w:r>
          </w:p>
        </w:tc>
        <w:tc>
          <w:tcPr>
            <w:tcW w:w="28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Date</w:t>
            </w:r>
          </w:p>
        </w:tc>
        <w:tc>
          <w:tcPr>
            <w:tcW w:w="2720" w:type="dxa"/>
            <w:vAlign w:val="bottom"/>
          </w:tcPr>
          <w:p>
            <w:pPr>
              <w:jc w:val="center"/>
              <w:spacing w:after="0"/>
              <w:rPr>
                <w:sz w:val="20"/>
                <w:szCs w:val="20"/>
                <w:color w:val="auto"/>
              </w:rPr>
            </w:pPr>
            <w:r>
              <w:rPr>
                <w:rFonts w:ascii="Arial" w:cs="Arial" w:eastAsia="Arial" w:hAnsi="Arial"/>
                <w:sz w:val="14"/>
                <w:szCs w:val="14"/>
                <w:b w:val="1"/>
                <w:bCs w:val="1"/>
                <w:color w:val="auto"/>
                <w:w w:val="92"/>
              </w:rPr>
              <w:t>Rate</w:t>
            </w:r>
          </w:p>
        </w:tc>
      </w:tr>
      <w:tr>
        <w:trPr>
          <w:trHeight w:val="250"/>
        </w:trPr>
        <w:tc>
          <w:tcPr>
            <w:tcW w:w="460" w:type="dxa"/>
            <w:vAlign w:val="bottom"/>
            <w:tcBorders>
              <w:top w:val="single" w:sz="8" w:color="auto"/>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220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50</w:t>
            </w:r>
          </w:p>
        </w:tc>
        <w:tc>
          <w:tcPr>
            <w:tcW w:w="360" w:type="dxa"/>
            <w:vAlign w:val="bottom"/>
            <w:tcBorders>
              <w:top w:val="single" w:sz="8" w:color="CCEEFF"/>
              <w:bottom w:val="single" w:sz="8" w:color="CCEEFF"/>
            </w:tcBorders>
            <w:shd w:val="clear" w:color="auto" w:fill="CCEEFF"/>
          </w:tcPr>
          <w:p>
            <w:pPr>
              <w:spacing w:after="0"/>
              <w:rPr>
                <w:sz w:val="21"/>
                <w:szCs w:val="21"/>
                <w:color w:val="auto"/>
              </w:rPr>
            </w:pPr>
          </w:p>
        </w:tc>
        <w:tc>
          <w:tcPr>
            <w:tcW w:w="272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2/14/2012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72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2/14/2016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72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3.78%</w:t>
            </w:r>
          </w:p>
        </w:tc>
      </w:tr>
      <w:tr>
        <w:trPr>
          <w:trHeight w:val="243"/>
        </w:trPr>
        <w:tc>
          <w:tcPr>
            <w:tcW w:w="460" w:type="dxa"/>
            <w:vAlign w:val="bottom"/>
          </w:tcPr>
          <w:p>
            <w:pPr>
              <w:spacing w:after="0"/>
              <w:rPr>
                <w:sz w:val="21"/>
                <w:szCs w:val="21"/>
                <w:color w:val="auto"/>
              </w:rPr>
            </w:pPr>
          </w:p>
        </w:tc>
        <w:tc>
          <w:tcPr>
            <w:tcW w:w="2200" w:type="dxa"/>
            <w:vAlign w:val="bottom"/>
          </w:tcPr>
          <w:p>
            <w:pPr>
              <w:jc w:val="right"/>
              <w:ind w:right="33"/>
              <w:spacing w:after="0"/>
              <w:rPr>
                <w:sz w:val="20"/>
                <w:szCs w:val="20"/>
                <w:color w:val="auto"/>
              </w:rPr>
            </w:pPr>
            <w:r>
              <w:rPr>
                <w:rFonts w:ascii="Arial" w:cs="Arial" w:eastAsia="Arial" w:hAnsi="Arial"/>
                <w:sz w:val="18"/>
                <w:szCs w:val="18"/>
                <w:color w:val="auto"/>
              </w:rPr>
              <w:t>150</w:t>
            </w:r>
          </w:p>
        </w:tc>
        <w:tc>
          <w:tcPr>
            <w:tcW w:w="360" w:type="dxa"/>
            <w:vAlign w:val="bottom"/>
          </w:tcPr>
          <w:p>
            <w:pPr>
              <w:ind w:left="40"/>
              <w:spacing w:after="0"/>
              <w:rPr>
                <w:sz w:val="20"/>
                <w:szCs w:val="20"/>
                <w:color w:val="auto"/>
              </w:rPr>
            </w:pPr>
            <w:r>
              <w:rPr>
                <w:rFonts w:ascii="Arial" w:cs="Arial" w:eastAsia="Arial" w:hAnsi="Arial"/>
                <w:sz w:val="13"/>
                <w:szCs w:val="13"/>
                <w:color w:val="auto"/>
              </w:rPr>
              <w:t>(b)</w:t>
            </w:r>
          </w:p>
        </w:tc>
        <w:tc>
          <w:tcPr>
            <w:tcW w:w="2720" w:type="dxa"/>
            <w:vAlign w:val="bottom"/>
          </w:tcPr>
          <w:p>
            <w:pPr>
              <w:jc w:val="center"/>
              <w:spacing w:after="0"/>
              <w:rPr>
                <w:sz w:val="20"/>
                <w:szCs w:val="20"/>
                <w:color w:val="auto"/>
              </w:rPr>
            </w:pPr>
            <w:r>
              <w:rPr>
                <w:rFonts w:ascii="Arial" w:cs="Arial" w:eastAsia="Arial" w:hAnsi="Arial"/>
                <w:sz w:val="18"/>
                <w:szCs w:val="18"/>
                <w:color w:val="auto"/>
                <w:w w:val="91"/>
              </w:rPr>
              <w:t>2/7/2012</w:t>
            </w:r>
          </w:p>
        </w:tc>
        <w:tc>
          <w:tcPr>
            <w:tcW w:w="120" w:type="dxa"/>
            <w:vAlign w:val="bottom"/>
          </w:tcPr>
          <w:p>
            <w:pPr>
              <w:spacing w:after="0"/>
              <w:rPr>
                <w:sz w:val="21"/>
                <w:szCs w:val="21"/>
                <w:color w:val="auto"/>
              </w:rPr>
            </w:pPr>
          </w:p>
        </w:tc>
        <w:tc>
          <w:tcPr>
            <w:tcW w:w="2720" w:type="dxa"/>
            <w:vAlign w:val="bottom"/>
          </w:tcPr>
          <w:p>
            <w:pPr>
              <w:jc w:val="center"/>
              <w:spacing w:after="0"/>
              <w:rPr>
                <w:sz w:val="20"/>
                <w:szCs w:val="20"/>
                <w:color w:val="auto"/>
              </w:rPr>
            </w:pPr>
            <w:r>
              <w:rPr>
                <w:rFonts w:ascii="Arial" w:cs="Arial" w:eastAsia="Arial" w:hAnsi="Arial"/>
                <w:sz w:val="18"/>
                <w:szCs w:val="18"/>
                <w:color w:val="auto"/>
                <w:w w:val="91"/>
              </w:rPr>
              <w:t>5/7/2016</w:t>
            </w:r>
          </w:p>
        </w:tc>
        <w:tc>
          <w:tcPr>
            <w:tcW w:w="120" w:type="dxa"/>
            <w:vAlign w:val="bottom"/>
          </w:tcPr>
          <w:p>
            <w:pPr>
              <w:spacing w:after="0"/>
              <w:rPr>
                <w:sz w:val="21"/>
                <w:szCs w:val="21"/>
                <w:color w:val="auto"/>
              </w:rPr>
            </w:pPr>
          </w:p>
        </w:tc>
        <w:tc>
          <w:tcPr>
            <w:tcW w:w="2720" w:type="dxa"/>
            <w:vAlign w:val="bottom"/>
          </w:tcPr>
          <w:p>
            <w:pPr>
              <w:jc w:val="center"/>
              <w:spacing w:after="0"/>
              <w:rPr>
                <w:sz w:val="20"/>
                <w:szCs w:val="20"/>
                <w:color w:val="auto"/>
              </w:rPr>
            </w:pPr>
            <w:r>
              <w:rPr>
                <w:rFonts w:ascii="Arial" w:cs="Arial" w:eastAsia="Arial" w:hAnsi="Arial"/>
                <w:sz w:val="18"/>
                <w:szCs w:val="18"/>
                <w:color w:val="auto"/>
                <w:w w:val="90"/>
              </w:rPr>
              <w:t>2.42%</w:t>
            </w:r>
          </w:p>
        </w:tc>
      </w:tr>
      <w:tr>
        <w:trPr>
          <w:trHeight w:val="27"/>
        </w:trPr>
        <w:tc>
          <w:tcPr>
            <w:tcW w:w="460" w:type="dxa"/>
            <w:vAlign w:val="bottom"/>
          </w:tcPr>
          <w:p>
            <w:pPr>
              <w:spacing w:after="0"/>
              <w:rPr>
                <w:sz w:val="2"/>
                <w:szCs w:val="2"/>
                <w:color w:val="auto"/>
              </w:rPr>
            </w:pPr>
          </w:p>
        </w:tc>
        <w:tc>
          <w:tcPr>
            <w:tcW w:w="2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20" w:type="dxa"/>
            <w:vAlign w:val="bottom"/>
          </w:tcPr>
          <w:p>
            <w:pPr>
              <w:spacing w:after="0"/>
              <w:rPr>
                <w:sz w:val="2"/>
                <w:szCs w:val="2"/>
                <w:color w:val="auto"/>
              </w:rPr>
            </w:pPr>
          </w:p>
        </w:tc>
      </w:tr>
      <w:tr>
        <w:trPr>
          <w:trHeight w:val="250"/>
        </w:trPr>
        <w:tc>
          <w:tcPr>
            <w:tcW w:w="460" w:type="dxa"/>
            <w:vAlign w:val="bottom"/>
            <w:tcBorders>
              <w:bottom w:val="single" w:sz="8" w:color="CCEEFF"/>
            </w:tcBorders>
            <w:shd w:val="clear" w:color="auto" w:fill="CCEEFF"/>
          </w:tcPr>
          <w:p>
            <w:pPr>
              <w:spacing w:after="0"/>
              <w:rPr>
                <w:sz w:val="21"/>
                <w:szCs w:val="21"/>
                <w:color w:val="auto"/>
              </w:rPr>
            </w:pPr>
          </w:p>
        </w:tc>
        <w:tc>
          <w:tcPr>
            <w:tcW w:w="22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150</w:t>
            </w:r>
          </w:p>
        </w:tc>
        <w:tc>
          <w:tcPr>
            <w:tcW w:w="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(c)</w:t>
            </w:r>
          </w:p>
        </w:tc>
        <w:tc>
          <w:tcPr>
            <w:tcW w:w="2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11/16/2009</w:t>
            </w:r>
          </w:p>
        </w:tc>
        <w:tc>
          <w:tcPr>
            <w:tcW w:w="120" w:type="dxa"/>
            <w:vAlign w:val="bottom"/>
            <w:tcBorders>
              <w:bottom w:val="single" w:sz="8" w:color="CCEEFF"/>
            </w:tcBorders>
            <w:shd w:val="clear" w:color="auto" w:fill="CCEEFF"/>
          </w:tcPr>
          <w:p>
            <w:pPr>
              <w:spacing w:after="0"/>
              <w:rPr>
                <w:sz w:val="21"/>
                <w:szCs w:val="21"/>
                <w:color w:val="auto"/>
              </w:rPr>
            </w:pPr>
          </w:p>
        </w:tc>
        <w:tc>
          <w:tcPr>
            <w:tcW w:w="2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5/16/2016</w:t>
            </w:r>
          </w:p>
        </w:tc>
        <w:tc>
          <w:tcPr>
            <w:tcW w:w="120" w:type="dxa"/>
            <w:vAlign w:val="bottom"/>
            <w:tcBorders>
              <w:bottom w:val="single" w:sz="8" w:color="CCEEFF"/>
            </w:tcBorders>
            <w:shd w:val="clear" w:color="auto" w:fill="CCEEFF"/>
          </w:tcPr>
          <w:p>
            <w:pPr>
              <w:spacing w:after="0"/>
              <w:rPr>
                <w:sz w:val="21"/>
                <w:szCs w:val="21"/>
                <w:color w:val="auto"/>
              </w:rPr>
            </w:pPr>
          </w:p>
        </w:tc>
        <w:tc>
          <w:tcPr>
            <w:tcW w:w="2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3.26%</w:t>
            </w:r>
          </w:p>
        </w:tc>
      </w:tr>
      <w:tr>
        <w:trPr>
          <w:trHeight w:val="243"/>
        </w:trPr>
        <w:tc>
          <w:tcPr>
            <w:tcW w:w="460" w:type="dxa"/>
            <w:vAlign w:val="bottom"/>
          </w:tcPr>
          <w:p>
            <w:pPr>
              <w:spacing w:after="0"/>
              <w:rPr>
                <w:sz w:val="21"/>
                <w:szCs w:val="21"/>
                <w:color w:val="auto"/>
              </w:rPr>
            </w:pPr>
          </w:p>
        </w:tc>
        <w:tc>
          <w:tcPr>
            <w:tcW w:w="2200" w:type="dxa"/>
            <w:vAlign w:val="bottom"/>
          </w:tcPr>
          <w:p>
            <w:pPr>
              <w:jc w:val="right"/>
              <w:ind w:right="33"/>
              <w:spacing w:after="0"/>
              <w:rPr>
                <w:sz w:val="20"/>
                <w:szCs w:val="20"/>
                <w:color w:val="auto"/>
              </w:rPr>
            </w:pPr>
            <w:r>
              <w:rPr>
                <w:rFonts w:ascii="Arial" w:cs="Arial" w:eastAsia="Arial" w:hAnsi="Arial"/>
                <w:sz w:val="18"/>
                <w:szCs w:val="18"/>
                <w:color w:val="auto"/>
              </w:rPr>
              <w:t>50</w:t>
            </w:r>
          </w:p>
        </w:tc>
        <w:tc>
          <w:tcPr>
            <w:tcW w:w="360" w:type="dxa"/>
            <w:vAlign w:val="bottom"/>
          </w:tcPr>
          <w:p>
            <w:pPr>
              <w:ind w:left="40"/>
              <w:spacing w:after="0"/>
              <w:rPr>
                <w:sz w:val="20"/>
                <w:szCs w:val="20"/>
                <w:color w:val="auto"/>
              </w:rPr>
            </w:pPr>
            <w:r>
              <w:rPr>
                <w:rFonts w:ascii="Arial" w:cs="Arial" w:eastAsia="Arial" w:hAnsi="Arial"/>
                <w:sz w:val="13"/>
                <w:szCs w:val="13"/>
                <w:color w:val="auto"/>
              </w:rPr>
              <w:t>(b)</w:t>
            </w:r>
          </w:p>
        </w:tc>
        <w:tc>
          <w:tcPr>
            <w:tcW w:w="2720" w:type="dxa"/>
            <w:vAlign w:val="bottom"/>
          </w:tcPr>
          <w:p>
            <w:pPr>
              <w:jc w:val="center"/>
              <w:spacing w:after="0"/>
              <w:rPr>
                <w:sz w:val="20"/>
                <w:szCs w:val="20"/>
                <w:color w:val="auto"/>
              </w:rPr>
            </w:pPr>
            <w:r>
              <w:rPr>
                <w:rFonts w:ascii="Arial" w:cs="Arial" w:eastAsia="Arial" w:hAnsi="Arial"/>
                <w:sz w:val="18"/>
                <w:szCs w:val="18"/>
                <w:color w:val="auto"/>
                <w:w w:val="89"/>
              </w:rPr>
              <w:t>2/16/2010</w:t>
            </w:r>
          </w:p>
        </w:tc>
        <w:tc>
          <w:tcPr>
            <w:tcW w:w="120" w:type="dxa"/>
            <w:vAlign w:val="bottom"/>
          </w:tcPr>
          <w:p>
            <w:pPr>
              <w:spacing w:after="0"/>
              <w:rPr>
                <w:sz w:val="21"/>
                <w:szCs w:val="21"/>
                <w:color w:val="auto"/>
              </w:rPr>
            </w:pPr>
          </w:p>
        </w:tc>
        <w:tc>
          <w:tcPr>
            <w:tcW w:w="2720" w:type="dxa"/>
            <w:vAlign w:val="bottom"/>
          </w:tcPr>
          <w:p>
            <w:pPr>
              <w:jc w:val="center"/>
              <w:spacing w:after="0"/>
              <w:rPr>
                <w:sz w:val="20"/>
                <w:szCs w:val="20"/>
                <w:color w:val="auto"/>
              </w:rPr>
            </w:pPr>
            <w:r>
              <w:rPr>
                <w:rFonts w:ascii="Arial" w:cs="Arial" w:eastAsia="Arial" w:hAnsi="Arial"/>
                <w:sz w:val="18"/>
                <w:szCs w:val="18"/>
                <w:color w:val="auto"/>
                <w:w w:val="89"/>
              </w:rPr>
              <w:t>5/16/2016</w:t>
            </w:r>
          </w:p>
        </w:tc>
        <w:tc>
          <w:tcPr>
            <w:tcW w:w="120" w:type="dxa"/>
            <w:vAlign w:val="bottom"/>
          </w:tcPr>
          <w:p>
            <w:pPr>
              <w:spacing w:after="0"/>
              <w:rPr>
                <w:sz w:val="21"/>
                <w:szCs w:val="21"/>
                <w:color w:val="auto"/>
              </w:rPr>
            </w:pPr>
          </w:p>
        </w:tc>
        <w:tc>
          <w:tcPr>
            <w:tcW w:w="2720" w:type="dxa"/>
            <w:vAlign w:val="bottom"/>
          </w:tcPr>
          <w:p>
            <w:pPr>
              <w:jc w:val="center"/>
              <w:spacing w:after="0"/>
              <w:rPr>
                <w:sz w:val="20"/>
                <w:szCs w:val="20"/>
                <w:color w:val="auto"/>
              </w:rPr>
            </w:pPr>
            <w:r>
              <w:rPr>
                <w:rFonts w:ascii="Arial" w:cs="Arial" w:eastAsia="Arial" w:hAnsi="Arial"/>
                <w:sz w:val="18"/>
                <w:szCs w:val="18"/>
                <w:color w:val="auto"/>
                <w:w w:val="90"/>
              </w:rPr>
              <w:t>3.05%</w:t>
            </w:r>
          </w:p>
        </w:tc>
      </w:tr>
      <w:tr>
        <w:trPr>
          <w:trHeight w:val="27"/>
        </w:trPr>
        <w:tc>
          <w:tcPr>
            <w:tcW w:w="460" w:type="dxa"/>
            <w:vAlign w:val="bottom"/>
          </w:tcPr>
          <w:p>
            <w:pPr>
              <w:spacing w:after="0"/>
              <w:rPr>
                <w:sz w:val="2"/>
                <w:szCs w:val="2"/>
                <w:color w:val="auto"/>
              </w:rPr>
            </w:pPr>
          </w:p>
        </w:tc>
        <w:tc>
          <w:tcPr>
            <w:tcW w:w="2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20" w:type="dxa"/>
            <w:vAlign w:val="bottom"/>
          </w:tcPr>
          <w:p>
            <w:pPr>
              <w:spacing w:after="0"/>
              <w:rPr>
                <w:sz w:val="2"/>
                <w:szCs w:val="2"/>
                <w:color w:val="auto"/>
              </w:rPr>
            </w:pPr>
          </w:p>
        </w:tc>
      </w:tr>
      <w:tr>
        <w:trPr>
          <w:trHeight w:val="250"/>
        </w:trPr>
        <w:tc>
          <w:tcPr>
            <w:tcW w:w="460" w:type="dxa"/>
            <w:vAlign w:val="bottom"/>
            <w:tcBorders>
              <w:bottom w:val="single" w:sz="8" w:color="CCEEFF"/>
            </w:tcBorders>
            <w:shd w:val="clear" w:color="auto" w:fill="CCEEFF"/>
          </w:tcPr>
          <w:p>
            <w:pPr>
              <w:spacing w:after="0"/>
              <w:rPr>
                <w:sz w:val="21"/>
                <w:szCs w:val="21"/>
                <w:color w:val="auto"/>
              </w:rPr>
            </w:pPr>
          </w:p>
        </w:tc>
        <w:tc>
          <w:tcPr>
            <w:tcW w:w="22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100</w:t>
            </w:r>
          </w:p>
        </w:tc>
        <w:tc>
          <w:tcPr>
            <w:tcW w:w="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(b)</w:t>
            </w:r>
          </w:p>
        </w:tc>
        <w:tc>
          <w:tcPr>
            <w:tcW w:w="2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2/21/2012</w:t>
            </w:r>
          </w:p>
        </w:tc>
        <w:tc>
          <w:tcPr>
            <w:tcW w:w="120" w:type="dxa"/>
            <w:vAlign w:val="bottom"/>
            <w:tcBorders>
              <w:bottom w:val="single" w:sz="8" w:color="CCEEFF"/>
            </w:tcBorders>
            <w:shd w:val="clear" w:color="auto" w:fill="CCEEFF"/>
          </w:tcPr>
          <w:p>
            <w:pPr>
              <w:spacing w:after="0"/>
              <w:rPr>
                <w:sz w:val="21"/>
                <w:szCs w:val="21"/>
                <w:color w:val="auto"/>
              </w:rPr>
            </w:pPr>
          </w:p>
        </w:tc>
        <w:tc>
          <w:tcPr>
            <w:tcW w:w="2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5/23/2016</w:t>
            </w:r>
          </w:p>
        </w:tc>
        <w:tc>
          <w:tcPr>
            <w:tcW w:w="120" w:type="dxa"/>
            <w:vAlign w:val="bottom"/>
            <w:tcBorders>
              <w:bottom w:val="single" w:sz="8" w:color="CCEEFF"/>
            </w:tcBorders>
            <w:shd w:val="clear" w:color="auto" w:fill="CCEEFF"/>
          </w:tcPr>
          <w:p>
            <w:pPr>
              <w:spacing w:after="0"/>
              <w:rPr>
                <w:sz w:val="21"/>
                <w:szCs w:val="21"/>
                <w:color w:val="auto"/>
              </w:rPr>
            </w:pPr>
          </w:p>
        </w:tc>
        <w:tc>
          <w:tcPr>
            <w:tcW w:w="2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2.40%</w:t>
            </w:r>
          </w:p>
        </w:tc>
      </w:tr>
      <w:tr>
        <w:trPr>
          <w:trHeight w:val="243"/>
        </w:trPr>
        <w:tc>
          <w:tcPr>
            <w:tcW w:w="460" w:type="dxa"/>
            <w:vAlign w:val="bottom"/>
          </w:tcPr>
          <w:p>
            <w:pPr>
              <w:spacing w:after="0"/>
              <w:rPr>
                <w:sz w:val="21"/>
                <w:szCs w:val="21"/>
                <w:color w:val="auto"/>
              </w:rPr>
            </w:pPr>
          </w:p>
        </w:tc>
        <w:tc>
          <w:tcPr>
            <w:tcW w:w="2200" w:type="dxa"/>
            <w:vAlign w:val="bottom"/>
          </w:tcPr>
          <w:p>
            <w:pPr>
              <w:jc w:val="right"/>
              <w:ind w:right="33"/>
              <w:spacing w:after="0"/>
              <w:rPr>
                <w:sz w:val="20"/>
                <w:szCs w:val="20"/>
                <w:color w:val="auto"/>
              </w:rPr>
            </w:pPr>
            <w:r>
              <w:rPr>
                <w:rFonts w:ascii="Arial" w:cs="Arial" w:eastAsia="Arial" w:hAnsi="Arial"/>
                <w:sz w:val="18"/>
                <w:szCs w:val="18"/>
                <w:color w:val="auto"/>
              </w:rPr>
              <w:t>150</w:t>
            </w:r>
          </w:p>
        </w:tc>
        <w:tc>
          <w:tcPr>
            <w:tcW w:w="360" w:type="dxa"/>
            <w:vAlign w:val="bottom"/>
          </w:tcPr>
          <w:p>
            <w:pPr>
              <w:ind w:left="40"/>
              <w:spacing w:after="0"/>
              <w:rPr>
                <w:sz w:val="20"/>
                <w:szCs w:val="20"/>
                <w:color w:val="auto"/>
              </w:rPr>
            </w:pPr>
            <w:r>
              <w:rPr>
                <w:rFonts w:ascii="Arial" w:cs="Arial" w:eastAsia="Arial" w:hAnsi="Arial"/>
                <w:sz w:val="13"/>
                <w:szCs w:val="13"/>
                <w:color w:val="auto"/>
              </w:rPr>
              <w:t>(c)</w:t>
            </w:r>
          </w:p>
        </w:tc>
        <w:tc>
          <w:tcPr>
            <w:tcW w:w="2720" w:type="dxa"/>
            <w:vAlign w:val="bottom"/>
          </w:tcPr>
          <w:p>
            <w:pPr>
              <w:jc w:val="center"/>
              <w:spacing w:after="0"/>
              <w:rPr>
                <w:sz w:val="20"/>
                <w:szCs w:val="20"/>
                <w:color w:val="auto"/>
              </w:rPr>
            </w:pPr>
            <w:r>
              <w:rPr>
                <w:rFonts w:ascii="Arial" w:cs="Arial" w:eastAsia="Arial" w:hAnsi="Arial"/>
                <w:sz w:val="18"/>
                <w:szCs w:val="18"/>
                <w:color w:val="auto"/>
                <w:w w:val="90"/>
              </w:rPr>
              <w:t>12/20/2011</w:t>
            </w:r>
          </w:p>
        </w:tc>
        <w:tc>
          <w:tcPr>
            <w:tcW w:w="120" w:type="dxa"/>
            <w:vAlign w:val="bottom"/>
          </w:tcPr>
          <w:p>
            <w:pPr>
              <w:spacing w:after="0"/>
              <w:rPr>
                <w:sz w:val="21"/>
                <w:szCs w:val="21"/>
                <w:color w:val="auto"/>
              </w:rPr>
            </w:pPr>
          </w:p>
        </w:tc>
        <w:tc>
          <w:tcPr>
            <w:tcW w:w="2720" w:type="dxa"/>
            <w:vAlign w:val="bottom"/>
          </w:tcPr>
          <w:p>
            <w:pPr>
              <w:jc w:val="center"/>
              <w:spacing w:after="0"/>
              <w:rPr>
                <w:sz w:val="20"/>
                <w:szCs w:val="20"/>
                <w:color w:val="auto"/>
              </w:rPr>
            </w:pPr>
            <w:r>
              <w:rPr>
                <w:rFonts w:ascii="Arial" w:cs="Arial" w:eastAsia="Arial" w:hAnsi="Arial"/>
                <w:sz w:val="18"/>
                <w:szCs w:val="18"/>
                <w:color w:val="auto"/>
                <w:w w:val="89"/>
              </w:rPr>
              <w:t>6/20/2016</w:t>
            </w:r>
          </w:p>
        </w:tc>
        <w:tc>
          <w:tcPr>
            <w:tcW w:w="120" w:type="dxa"/>
            <w:vAlign w:val="bottom"/>
          </w:tcPr>
          <w:p>
            <w:pPr>
              <w:spacing w:after="0"/>
              <w:rPr>
                <w:sz w:val="21"/>
                <w:szCs w:val="21"/>
                <w:color w:val="auto"/>
              </w:rPr>
            </w:pPr>
          </w:p>
        </w:tc>
        <w:tc>
          <w:tcPr>
            <w:tcW w:w="2720" w:type="dxa"/>
            <w:vAlign w:val="bottom"/>
          </w:tcPr>
          <w:p>
            <w:pPr>
              <w:jc w:val="center"/>
              <w:spacing w:after="0"/>
              <w:rPr>
                <w:sz w:val="20"/>
                <w:szCs w:val="20"/>
                <w:color w:val="auto"/>
              </w:rPr>
            </w:pPr>
            <w:r>
              <w:rPr>
                <w:rFonts w:ascii="Arial" w:cs="Arial" w:eastAsia="Arial" w:hAnsi="Arial"/>
                <w:sz w:val="18"/>
                <w:szCs w:val="18"/>
                <w:color w:val="auto"/>
                <w:w w:val="90"/>
              </w:rPr>
              <w:t>2.61%</w:t>
            </w:r>
          </w:p>
        </w:tc>
      </w:tr>
      <w:tr>
        <w:trPr>
          <w:trHeight w:val="27"/>
        </w:trPr>
        <w:tc>
          <w:tcPr>
            <w:tcW w:w="460" w:type="dxa"/>
            <w:vAlign w:val="bottom"/>
          </w:tcPr>
          <w:p>
            <w:pPr>
              <w:spacing w:after="0"/>
              <w:rPr>
                <w:sz w:val="2"/>
                <w:szCs w:val="2"/>
                <w:color w:val="auto"/>
              </w:rPr>
            </w:pPr>
          </w:p>
        </w:tc>
        <w:tc>
          <w:tcPr>
            <w:tcW w:w="2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20" w:type="dxa"/>
            <w:vAlign w:val="bottom"/>
          </w:tcPr>
          <w:p>
            <w:pPr>
              <w:spacing w:after="0"/>
              <w:rPr>
                <w:sz w:val="2"/>
                <w:szCs w:val="2"/>
                <w:color w:val="auto"/>
              </w:rPr>
            </w:pPr>
          </w:p>
        </w:tc>
      </w:tr>
      <w:tr>
        <w:trPr>
          <w:trHeight w:val="250"/>
        </w:trPr>
        <w:tc>
          <w:tcPr>
            <w:tcW w:w="460" w:type="dxa"/>
            <w:vAlign w:val="bottom"/>
            <w:tcBorders>
              <w:bottom w:val="single" w:sz="8" w:color="CCEEFF"/>
            </w:tcBorders>
            <w:shd w:val="clear" w:color="auto" w:fill="CCEEFF"/>
          </w:tcPr>
          <w:p>
            <w:pPr>
              <w:spacing w:after="0"/>
              <w:rPr>
                <w:sz w:val="21"/>
                <w:szCs w:val="21"/>
                <w:color w:val="auto"/>
              </w:rPr>
            </w:pPr>
          </w:p>
        </w:tc>
        <w:tc>
          <w:tcPr>
            <w:tcW w:w="22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50</w:t>
            </w:r>
          </w:p>
        </w:tc>
        <w:tc>
          <w:tcPr>
            <w:tcW w:w="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(d)</w:t>
            </w:r>
          </w:p>
        </w:tc>
        <w:tc>
          <w:tcPr>
            <w:tcW w:w="2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12/6/2012</w:t>
            </w:r>
          </w:p>
        </w:tc>
        <w:tc>
          <w:tcPr>
            <w:tcW w:w="120" w:type="dxa"/>
            <w:vAlign w:val="bottom"/>
            <w:tcBorders>
              <w:bottom w:val="single" w:sz="8" w:color="CCEEFF"/>
            </w:tcBorders>
            <w:shd w:val="clear" w:color="auto" w:fill="CCEEFF"/>
          </w:tcPr>
          <w:p>
            <w:pPr>
              <w:spacing w:after="0"/>
              <w:rPr>
                <w:sz w:val="21"/>
                <w:szCs w:val="21"/>
                <w:color w:val="auto"/>
              </w:rPr>
            </w:pPr>
          </w:p>
        </w:tc>
        <w:tc>
          <w:tcPr>
            <w:tcW w:w="2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9/6/2017</w:t>
            </w:r>
          </w:p>
        </w:tc>
        <w:tc>
          <w:tcPr>
            <w:tcW w:w="120" w:type="dxa"/>
            <w:vAlign w:val="bottom"/>
            <w:tcBorders>
              <w:bottom w:val="single" w:sz="8" w:color="CCEEFF"/>
            </w:tcBorders>
            <w:shd w:val="clear" w:color="auto" w:fill="CCEEFF"/>
          </w:tcPr>
          <w:p>
            <w:pPr>
              <w:spacing w:after="0"/>
              <w:rPr>
                <w:sz w:val="21"/>
                <w:szCs w:val="21"/>
                <w:color w:val="auto"/>
              </w:rPr>
            </w:pPr>
          </w:p>
        </w:tc>
        <w:tc>
          <w:tcPr>
            <w:tcW w:w="2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2.96%</w:t>
            </w:r>
          </w:p>
        </w:tc>
      </w:tr>
      <w:tr>
        <w:trPr>
          <w:trHeight w:val="243"/>
        </w:trPr>
        <w:tc>
          <w:tcPr>
            <w:tcW w:w="460" w:type="dxa"/>
            <w:vAlign w:val="bottom"/>
          </w:tcPr>
          <w:p>
            <w:pPr>
              <w:spacing w:after="0"/>
              <w:rPr>
                <w:sz w:val="21"/>
                <w:szCs w:val="21"/>
                <w:color w:val="auto"/>
              </w:rPr>
            </w:pPr>
          </w:p>
        </w:tc>
        <w:tc>
          <w:tcPr>
            <w:tcW w:w="2200" w:type="dxa"/>
            <w:vAlign w:val="bottom"/>
          </w:tcPr>
          <w:p>
            <w:pPr>
              <w:jc w:val="right"/>
              <w:ind w:right="33"/>
              <w:spacing w:after="0"/>
              <w:rPr>
                <w:sz w:val="20"/>
                <w:szCs w:val="20"/>
                <w:color w:val="auto"/>
              </w:rPr>
            </w:pPr>
            <w:r>
              <w:rPr>
                <w:rFonts w:ascii="Arial" w:cs="Arial" w:eastAsia="Arial" w:hAnsi="Arial"/>
                <w:sz w:val="18"/>
                <w:szCs w:val="18"/>
                <w:color w:val="auto"/>
              </w:rPr>
              <w:t>200</w:t>
            </w:r>
          </w:p>
        </w:tc>
        <w:tc>
          <w:tcPr>
            <w:tcW w:w="360" w:type="dxa"/>
            <w:vAlign w:val="bottom"/>
          </w:tcPr>
          <w:p>
            <w:pPr>
              <w:spacing w:after="0"/>
              <w:rPr>
                <w:sz w:val="21"/>
                <w:szCs w:val="21"/>
                <w:color w:val="auto"/>
              </w:rPr>
            </w:pPr>
          </w:p>
        </w:tc>
        <w:tc>
          <w:tcPr>
            <w:tcW w:w="2720" w:type="dxa"/>
            <w:vAlign w:val="bottom"/>
          </w:tcPr>
          <w:p>
            <w:pPr>
              <w:jc w:val="center"/>
              <w:spacing w:after="0"/>
              <w:rPr>
                <w:sz w:val="20"/>
                <w:szCs w:val="20"/>
                <w:color w:val="auto"/>
              </w:rPr>
            </w:pPr>
            <w:r>
              <w:rPr>
                <w:rFonts w:ascii="Arial" w:cs="Arial" w:eastAsia="Arial" w:hAnsi="Arial"/>
                <w:sz w:val="18"/>
                <w:szCs w:val="18"/>
                <w:color w:val="auto"/>
                <w:w w:val="91"/>
              </w:rPr>
              <w:t>2/7/2014</w:t>
            </w:r>
          </w:p>
        </w:tc>
        <w:tc>
          <w:tcPr>
            <w:tcW w:w="120" w:type="dxa"/>
            <w:vAlign w:val="bottom"/>
          </w:tcPr>
          <w:p>
            <w:pPr>
              <w:spacing w:after="0"/>
              <w:rPr>
                <w:sz w:val="21"/>
                <w:szCs w:val="21"/>
                <w:color w:val="auto"/>
              </w:rPr>
            </w:pPr>
          </w:p>
        </w:tc>
        <w:tc>
          <w:tcPr>
            <w:tcW w:w="2720" w:type="dxa"/>
            <w:vAlign w:val="bottom"/>
          </w:tcPr>
          <w:p>
            <w:pPr>
              <w:jc w:val="center"/>
              <w:spacing w:after="0"/>
              <w:rPr>
                <w:sz w:val="20"/>
                <w:szCs w:val="20"/>
                <w:color w:val="auto"/>
              </w:rPr>
            </w:pPr>
            <w:r>
              <w:rPr>
                <w:rFonts w:ascii="Arial" w:cs="Arial" w:eastAsia="Arial" w:hAnsi="Arial"/>
                <w:sz w:val="18"/>
                <w:szCs w:val="18"/>
                <w:color w:val="auto"/>
                <w:w w:val="89"/>
              </w:rPr>
              <w:t>11/7/2017</w:t>
            </w:r>
          </w:p>
        </w:tc>
        <w:tc>
          <w:tcPr>
            <w:tcW w:w="120" w:type="dxa"/>
            <w:vAlign w:val="bottom"/>
          </w:tcPr>
          <w:p>
            <w:pPr>
              <w:spacing w:after="0"/>
              <w:rPr>
                <w:sz w:val="21"/>
                <w:szCs w:val="21"/>
                <w:color w:val="auto"/>
              </w:rPr>
            </w:pPr>
          </w:p>
        </w:tc>
        <w:tc>
          <w:tcPr>
            <w:tcW w:w="2720" w:type="dxa"/>
            <w:vAlign w:val="bottom"/>
          </w:tcPr>
          <w:p>
            <w:pPr>
              <w:jc w:val="center"/>
              <w:spacing w:after="0"/>
              <w:rPr>
                <w:sz w:val="20"/>
                <w:szCs w:val="20"/>
                <w:color w:val="auto"/>
              </w:rPr>
            </w:pPr>
            <w:r>
              <w:rPr>
                <w:rFonts w:ascii="Arial" w:cs="Arial" w:eastAsia="Arial" w:hAnsi="Arial"/>
                <w:sz w:val="18"/>
                <w:szCs w:val="18"/>
                <w:color w:val="auto"/>
                <w:w w:val="90"/>
              </w:rPr>
              <w:t>1.28%</w:t>
            </w:r>
          </w:p>
        </w:tc>
      </w:tr>
      <w:tr>
        <w:trPr>
          <w:trHeight w:val="27"/>
        </w:trPr>
        <w:tc>
          <w:tcPr>
            <w:tcW w:w="460" w:type="dxa"/>
            <w:vAlign w:val="bottom"/>
          </w:tcPr>
          <w:p>
            <w:pPr>
              <w:spacing w:after="0"/>
              <w:rPr>
                <w:sz w:val="2"/>
                <w:szCs w:val="2"/>
                <w:color w:val="auto"/>
              </w:rPr>
            </w:pPr>
          </w:p>
        </w:tc>
        <w:tc>
          <w:tcPr>
            <w:tcW w:w="2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20" w:type="dxa"/>
            <w:vAlign w:val="bottom"/>
          </w:tcPr>
          <w:p>
            <w:pPr>
              <w:spacing w:after="0"/>
              <w:rPr>
                <w:sz w:val="2"/>
                <w:szCs w:val="2"/>
                <w:color w:val="auto"/>
              </w:rPr>
            </w:pPr>
          </w:p>
        </w:tc>
      </w:tr>
      <w:tr>
        <w:trPr>
          <w:trHeight w:val="250"/>
        </w:trPr>
        <w:tc>
          <w:tcPr>
            <w:tcW w:w="460" w:type="dxa"/>
            <w:vAlign w:val="bottom"/>
            <w:tcBorders>
              <w:bottom w:val="single" w:sz="8" w:color="CCEEFF"/>
            </w:tcBorders>
            <w:shd w:val="clear" w:color="auto" w:fill="CCEEFF"/>
          </w:tcPr>
          <w:p>
            <w:pPr>
              <w:spacing w:after="0"/>
              <w:rPr>
                <w:sz w:val="21"/>
                <w:szCs w:val="21"/>
                <w:color w:val="auto"/>
              </w:rPr>
            </w:pPr>
          </w:p>
        </w:tc>
        <w:tc>
          <w:tcPr>
            <w:tcW w:w="22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150</w:t>
            </w:r>
          </w:p>
        </w:tc>
        <w:tc>
          <w:tcPr>
            <w:tcW w:w="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(b)</w:t>
            </w:r>
          </w:p>
        </w:tc>
        <w:tc>
          <w:tcPr>
            <w:tcW w:w="2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2/7/2017</w:t>
            </w:r>
          </w:p>
        </w:tc>
        <w:tc>
          <w:tcPr>
            <w:tcW w:w="120" w:type="dxa"/>
            <w:vAlign w:val="bottom"/>
            <w:tcBorders>
              <w:bottom w:val="single" w:sz="8" w:color="CCEEFF"/>
            </w:tcBorders>
            <w:shd w:val="clear" w:color="auto" w:fill="CCEEFF"/>
          </w:tcPr>
          <w:p>
            <w:pPr>
              <w:spacing w:after="0"/>
              <w:rPr>
                <w:sz w:val="21"/>
                <w:szCs w:val="21"/>
                <w:color w:val="auto"/>
              </w:rPr>
            </w:pPr>
          </w:p>
        </w:tc>
        <w:tc>
          <w:tcPr>
            <w:tcW w:w="2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5/7/2019</w:t>
            </w:r>
          </w:p>
        </w:tc>
        <w:tc>
          <w:tcPr>
            <w:tcW w:w="120" w:type="dxa"/>
            <w:vAlign w:val="bottom"/>
            <w:tcBorders>
              <w:bottom w:val="single" w:sz="8" w:color="CCEEFF"/>
            </w:tcBorders>
            <w:shd w:val="clear" w:color="auto" w:fill="CCEEFF"/>
          </w:tcPr>
          <w:p>
            <w:pPr>
              <w:spacing w:after="0"/>
              <w:rPr>
                <w:sz w:val="21"/>
                <w:szCs w:val="21"/>
                <w:color w:val="auto"/>
              </w:rPr>
            </w:pPr>
          </w:p>
        </w:tc>
        <w:tc>
          <w:tcPr>
            <w:tcW w:w="2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2.12%</w:t>
            </w:r>
          </w:p>
        </w:tc>
      </w:tr>
      <w:tr>
        <w:trPr>
          <w:trHeight w:val="243"/>
        </w:trPr>
        <w:tc>
          <w:tcPr>
            <w:tcW w:w="460" w:type="dxa"/>
            <w:vAlign w:val="bottom"/>
          </w:tcPr>
          <w:p>
            <w:pPr>
              <w:spacing w:after="0"/>
              <w:rPr>
                <w:sz w:val="21"/>
                <w:szCs w:val="21"/>
                <w:color w:val="auto"/>
              </w:rPr>
            </w:pPr>
          </w:p>
        </w:tc>
        <w:tc>
          <w:tcPr>
            <w:tcW w:w="2200" w:type="dxa"/>
            <w:vAlign w:val="bottom"/>
          </w:tcPr>
          <w:p>
            <w:pPr>
              <w:jc w:val="right"/>
              <w:ind w:right="33"/>
              <w:spacing w:after="0"/>
              <w:rPr>
                <w:sz w:val="20"/>
                <w:szCs w:val="20"/>
                <w:color w:val="auto"/>
              </w:rPr>
            </w:pPr>
            <w:r>
              <w:rPr>
                <w:rFonts w:ascii="Arial" w:cs="Arial" w:eastAsia="Arial" w:hAnsi="Arial"/>
                <w:sz w:val="18"/>
                <w:szCs w:val="18"/>
                <w:color w:val="auto"/>
              </w:rPr>
              <w:t>50</w:t>
            </w:r>
          </w:p>
        </w:tc>
        <w:tc>
          <w:tcPr>
            <w:tcW w:w="360" w:type="dxa"/>
            <w:vAlign w:val="bottom"/>
          </w:tcPr>
          <w:p>
            <w:pPr>
              <w:ind w:left="40"/>
              <w:spacing w:after="0"/>
              <w:rPr>
                <w:sz w:val="20"/>
                <w:szCs w:val="20"/>
                <w:color w:val="auto"/>
              </w:rPr>
            </w:pPr>
            <w:r>
              <w:rPr>
                <w:rFonts w:ascii="Arial" w:cs="Arial" w:eastAsia="Arial" w:hAnsi="Arial"/>
                <w:sz w:val="13"/>
                <w:szCs w:val="13"/>
                <w:color w:val="auto"/>
              </w:rPr>
              <w:t>(c)</w:t>
            </w:r>
          </w:p>
        </w:tc>
        <w:tc>
          <w:tcPr>
            <w:tcW w:w="2720" w:type="dxa"/>
            <w:vAlign w:val="bottom"/>
          </w:tcPr>
          <w:p>
            <w:pPr>
              <w:jc w:val="center"/>
              <w:spacing w:after="0"/>
              <w:rPr>
                <w:sz w:val="20"/>
                <w:szCs w:val="20"/>
                <w:color w:val="auto"/>
              </w:rPr>
            </w:pPr>
            <w:r>
              <w:rPr>
                <w:rFonts w:ascii="Arial" w:cs="Arial" w:eastAsia="Arial" w:hAnsi="Arial"/>
                <w:sz w:val="18"/>
                <w:szCs w:val="18"/>
                <w:color w:val="auto"/>
                <w:w w:val="91"/>
              </w:rPr>
              <w:t>2/7/2017</w:t>
            </w:r>
          </w:p>
        </w:tc>
        <w:tc>
          <w:tcPr>
            <w:tcW w:w="120" w:type="dxa"/>
            <w:vAlign w:val="bottom"/>
          </w:tcPr>
          <w:p>
            <w:pPr>
              <w:spacing w:after="0"/>
              <w:rPr>
                <w:sz w:val="21"/>
                <w:szCs w:val="21"/>
                <w:color w:val="auto"/>
              </w:rPr>
            </w:pPr>
          </w:p>
        </w:tc>
        <w:tc>
          <w:tcPr>
            <w:tcW w:w="2720" w:type="dxa"/>
            <w:vAlign w:val="bottom"/>
          </w:tcPr>
          <w:p>
            <w:pPr>
              <w:jc w:val="center"/>
              <w:spacing w:after="0"/>
              <w:rPr>
                <w:sz w:val="20"/>
                <w:szCs w:val="20"/>
                <w:color w:val="auto"/>
              </w:rPr>
            </w:pPr>
            <w:r>
              <w:rPr>
                <w:rFonts w:ascii="Arial" w:cs="Arial" w:eastAsia="Arial" w:hAnsi="Arial"/>
                <w:sz w:val="18"/>
                <w:szCs w:val="18"/>
                <w:color w:val="auto"/>
                <w:w w:val="91"/>
              </w:rPr>
              <w:t>5/7/2019</w:t>
            </w:r>
          </w:p>
        </w:tc>
        <w:tc>
          <w:tcPr>
            <w:tcW w:w="120" w:type="dxa"/>
            <w:vAlign w:val="bottom"/>
          </w:tcPr>
          <w:p>
            <w:pPr>
              <w:spacing w:after="0"/>
              <w:rPr>
                <w:sz w:val="21"/>
                <w:szCs w:val="21"/>
                <w:color w:val="auto"/>
              </w:rPr>
            </w:pPr>
          </w:p>
        </w:tc>
        <w:tc>
          <w:tcPr>
            <w:tcW w:w="2720" w:type="dxa"/>
            <w:vAlign w:val="bottom"/>
          </w:tcPr>
          <w:p>
            <w:pPr>
              <w:jc w:val="center"/>
              <w:spacing w:after="0"/>
              <w:rPr>
                <w:sz w:val="20"/>
                <w:szCs w:val="20"/>
                <w:color w:val="auto"/>
              </w:rPr>
            </w:pPr>
            <w:r>
              <w:rPr>
                <w:rFonts w:ascii="Arial" w:cs="Arial" w:eastAsia="Arial" w:hAnsi="Arial"/>
                <w:sz w:val="18"/>
                <w:szCs w:val="18"/>
                <w:color w:val="auto"/>
                <w:w w:val="90"/>
              </w:rPr>
              <w:t>2.25%</w:t>
            </w:r>
          </w:p>
        </w:tc>
      </w:tr>
      <w:tr>
        <w:trPr>
          <w:trHeight w:val="27"/>
        </w:trPr>
        <w:tc>
          <w:tcPr>
            <w:tcW w:w="460" w:type="dxa"/>
            <w:vAlign w:val="bottom"/>
          </w:tcPr>
          <w:p>
            <w:pPr>
              <w:spacing w:after="0"/>
              <w:rPr>
                <w:sz w:val="2"/>
                <w:szCs w:val="2"/>
                <w:color w:val="auto"/>
              </w:rPr>
            </w:pPr>
          </w:p>
        </w:tc>
        <w:tc>
          <w:tcPr>
            <w:tcW w:w="2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20" w:type="dxa"/>
            <w:vAlign w:val="bottom"/>
          </w:tcPr>
          <w:p>
            <w:pPr>
              <w:spacing w:after="0"/>
              <w:rPr>
                <w:sz w:val="2"/>
                <w:szCs w:val="2"/>
                <w:color w:val="auto"/>
              </w:rPr>
            </w:pPr>
          </w:p>
        </w:tc>
      </w:tr>
      <w:tr>
        <w:trPr>
          <w:trHeight w:val="243"/>
        </w:trPr>
        <w:tc>
          <w:tcPr>
            <w:tcW w:w="460" w:type="dxa"/>
            <w:vAlign w:val="bottom"/>
            <w:shd w:val="clear" w:color="auto" w:fill="CCEEFF"/>
          </w:tcPr>
          <w:p>
            <w:pPr>
              <w:spacing w:after="0"/>
              <w:rPr>
                <w:sz w:val="21"/>
                <w:szCs w:val="21"/>
                <w:color w:val="auto"/>
              </w:rPr>
            </w:pPr>
          </w:p>
        </w:tc>
        <w:tc>
          <w:tcPr>
            <w:tcW w:w="22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200</w:t>
            </w:r>
          </w:p>
        </w:tc>
        <w:tc>
          <w:tcPr>
            <w:tcW w:w="360" w:type="dxa"/>
            <w:vAlign w:val="bottom"/>
            <w:shd w:val="clear" w:color="auto" w:fill="CCEEFF"/>
          </w:tcPr>
          <w:p>
            <w:pPr>
              <w:ind w:left="40"/>
              <w:spacing w:after="0"/>
              <w:rPr>
                <w:sz w:val="20"/>
                <w:szCs w:val="20"/>
                <w:color w:val="auto"/>
              </w:rPr>
            </w:pPr>
            <w:r>
              <w:rPr>
                <w:rFonts w:ascii="Arial" w:cs="Arial" w:eastAsia="Arial" w:hAnsi="Arial"/>
                <w:sz w:val="13"/>
                <w:szCs w:val="13"/>
                <w:color w:val="auto"/>
              </w:rPr>
              <w:t>(c)</w:t>
            </w:r>
          </w:p>
        </w:tc>
        <w:tc>
          <w:tcPr>
            <w:tcW w:w="2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12/20/2016</w:t>
            </w:r>
          </w:p>
        </w:tc>
        <w:tc>
          <w:tcPr>
            <w:tcW w:w="120" w:type="dxa"/>
            <w:vAlign w:val="bottom"/>
            <w:shd w:val="clear" w:color="auto" w:fill="CCEEFF"/>
          </w:tcPr>
          <w:p>
            <w:pPr>
              <w:spacing w:after="0"/>
              <w:rPr>
                <w:sz w:val="21"/>
                <w:szCs w:val="21"/>
                <w:color w:val="auto"/>
              </w:rPr>
            </w:pPr>
          </w:p>
        </w:tc>
        <w:tc>
          <w:tcPr>
            <w:tcW w:w="2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6/20/2019</w:t>
            </w:r>
          </w:p>
        </w:tc>
        <w:tc>
          <w:tcPr>
            <w:tcW w:w="120" w:type="dxa"/>
            <w:vAlign w:val="bottom"/>
            <w:shd w:val="clear" w:color="auto" w:fill="CCEEFF"/>
          </w:tcPr>
          <w:p>
            <w:pPr>
              <w:spacing w:after="0"/>
              <w:rPr>
                <w:sz w:val="21"/>
                <w:szCs w:val="21"/>
                <w:color w:val="auto"/>
              </w:rPr>
            </w:pPr>
          </w:p>
        </w:tc>
        <w:tc>
          <w:tcPr>
            <w:tcW w:w="2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2.12%</w:t>
            </w:r>
          </w:p>
        </w:tc>
      </w:tr>
      <w:tr>
        <w:trPr>
          <w:trHeight w:val="27"/>
        </w:trPr>
        <w:tc>
          <w:tcPr>
            <w:tcW w:w="460" w:type="dxa"/>
            <w:vAlign w:val="bottom"/>
            <w:shd w:val="clear" w:color="auto" w:fill="CCEEFF"/>
          </w:tcPr>
          <w:p>
            <w:pPr>
              <w:spacing w:after="0"/>
              <w:rPr>
                <w:sz w:val="2"/>
                <w:szCs w:val="2"/>
                <w:color w:val="auto"/>
              </w:rPr>
            </w:pPr>
          </w:p>
        </w:tc>
        <w:tc>
          <w:tcPr>
            <w:tcW w:w="22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27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7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720" w:type="dxa"/>
            <w:vAlign w:val="bottom"/>
            <w:shd w:val="clear" w:color="auto" w:fill="CCEEFF"/>
          </w:tcPr>
          <w:p>
            <w:pPr>
              <w:spacing w:after="0"/>
              <w:rPr>
                <w:sz w:val="2"/>
                <w:szCs w:val="2"/>
                <w:color w:val="auto"/>
              </w:rPr>
            </w:pPr>
          </w:p>
        </w:tc>
      </w:tr>
    </w:tbl>
    <w:p>
      <w:pPr>
        <w:spacing w:after="0" w:line="314" w:lineRule="exact"/>
        <w:rPr>
          <w:sz w:val="20"/>
          <w:szCs w:val="20"/>
          <w:color w:val="auto"/>
        </w:rPr>
      </w:pPr>
    </w:p>
    <w:p>
      <w:pPr>
        <w:ind w:left="660" w:hanging="652"/>
        <w:spacing w:after="0"/>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effective date refers to the date on which interest payments were, or will be, first hedged by the applicable swap agreement.</w:t>
      </w:r>
    </w:p>
    <w:p>
      <w:pPr>
        <w:spacing w:after="0" w:line="243" w:lineRule="exact"/>
        <w:rPr>
          <w:rFonts w:ascii="Arial" w:cs="Arial" w:eastAsia="Arial" w:hAnsi="Arial"/>
          <w:sz w:val="16"/>
          <w:szCs w:val="16"/>
          <w:color w:val="auto"/>
        </w:rPr>
      </w:pPr>
    </w:p>
    <w:p>
      <w:pPr>
        <w:ind w:left="5620"/>
        <w:spacing w:after="0"/>
        <w:rPr>
          <w:rFonts w:ascii="Arial" w:cs="Arial" w:eastAsia="Arial" w:hAnsi="Arial"/>
          <w:sz w:val="16"/>
          <w:szCs w:val="16"/>
          <w:color w:val="auto"/>
        </w:rPr>
      </w:pPr>
      <w:r>
        <w:rPr>
          <w:rFonts w:ascii="Arial" w:cs="Arial" w:eastAsia="Arial" w:hAnsi="Arial"/>
          <w:sz w:val="18"/>
          <w:szCs w:val="18"/>
          <w:color w:val="auto"/>
        </w:rPr>
        <w:t>13</w:t>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color w:val="FFFFFF"/>
        </w:rPr>
      </w:pPr>
      <w:hyperlink w:anchor="page1">
        <w:r>
          <w:rPr>
            <w:rFonts w:ascii="Arial" w:cs="Arial" w:eastAsia="Arial" w:hAnsi="Arial"/>
            <w:sz w:val="18"/>
            <w:szCs w:val="18"/>
            <w:color w:val="FFFFFF"/>
          </w:rPr>
          <w:t>Table of Contents</w:t>
        </w:r>
      </w:hyperlink>
    </w:p>
    <w:p>
      <w:pPr>
        <w:spacing w:after="0" w:line="257" w:lineRule="exact"/>
        <w:rPr>
          <w:sz w:val="20"/>
          <w:szCs w:val="20"/>
          <w:color w:val="auto"/>
        </w:rPr>
      </w:pPr>
    </w:p>
    <w:p>
      <w:pPr>
        <w:ind w:left="660" w:hanging="652"/>
        <w:spacing w:after="0"/>
        <w:tabs>
          <w:tab w:leader="none" w:pos="660" w:val="left"/>
        </w:tabs>
        <w:numPr>
          <w:ilvl w:val="0"/>
          <w:numId w:val="5"/>
        </w:numPr>
        <w:rPr>
          <w:rFonts w:ascii="Arial" w:cs="Arial" w:eastAsia="Arial" w:hAnsi="Arial"/>
          <w:sz w:val="15"/>
          <w:szCs w:val="15"/>
          <w:color w:val="auto"/>
        </w:rPr>
      </w:pPr>
      <w:r>
        <w:rPr>
          <w:rFonts w:ascii="Arial" w:cs="Arial" w:eastAsia="Arial" w:hAnsi="Arial"/>
          <w:sz w:val="15"/>
          <w:szCs w:val="15"/>
          <w:color w:val="auto"/>
        </w:rPr>
        <w:t>Interest payments made during the three-month period of each year that begins with the month and day of the effective date are hedged by the swap agreement.</w:t>
      </w:r>
    </w:p>
    <w:p>
      <w:pPr>
        <w:spacing w:after="0" w:line="33" w:lineRule="exact"/>
        <w:rPr>
          <w:rFonts w:ascii="Arial" w:cs="Arial" w:eastAsia="Arial" w:hAnsi="Arial"/>
          <w:sz w:val="15"/>
          <w:szCs w:val="15"/>
          <w:color w:val="auto"/>
        </w:rPr>
      </w:pPr>
    </w:p>
    <w:p>
      <w:pPr>
        <w:ind w:left="660" w:hanging="652"/>
        <w:spacing w:after="0"/>
        <w:tabs>
          <w:tab w:leader="none" w:pos="660" w:val="left"/>
        </w:tabs>
        <w:numPr>
          <w:ilvl w:val="0"/>
          <w:numId w:val="5"/>
        </w:numPr>
        <w:rPr>
          <w:rFonts w:ascii="Arial" w:cs="Arial" w:eastAsia="Arial" w:hAnsi="Arial"/>
          <w:sz w:val="17"/>
          <w:szCs w:val="17"/>
          <w:color w:val="auto"/>
        </w:rPr>
      </w:pPr>
      <w:r>
        <w:rPr>
          <w:rFonts w:ascii="Arial" w:cs="Arial" w:eastAsia="Arial" w:hAnsi="Arial"/>
          <w:sz w:val="15"/>
          <w:szCs w:val="15"/>
          <w:color w:val="auto"/>
        </w:rPr>
        <w:t>Interest payments made during the six-month period of each year that begins with the month and day of the effective date are hedged by the swap agreement.</w:t>
      </w:r>
    </w:p>
    <w:p>
      <w:pPr>
        <w:spacing w:after="0" w:line="16" w:lineRule="exact"/>
        <w:rPr>
          <w:rFonts w:ascii="Arial" w:cs="Arial" w:eastAsia="Arial" w:hAnsi="Arial"/>
          <w:sz w:val="17"/>
          <w:szCs w:val="17"/>
          <w:color w:val="auto"/>
        </w:rPr>
      </w:pPr>
    </w:p>
    <w:p>
      <w:pPr>
        <w:ind w:left="660" w:hanging="652"/>
        <w:spacing w:after="0"/>
        <w:tabs>
          <w:tab w:leader="none" w:pos="660" w:val="left"/>
        </w:tabs>
        <w:numPr>
          <w:ilvl w:val="0"/>
          <w:numId w:val="5"/>
        </w:numPr>
        <w:rPr>
          <w:rFonts w:ascii="Arial" w:cs="Arial" w:eastAsia="Arial" w:hAnsi="Arial"/>
          <w:sz w:val="17"/>
          <w:szCs w:val="17"/>
          <w:color w:val="auto"/>
        </w:rPr>
      </w:pPr>
      <w:r>
        <w:rPr>
          <w:rFonts w:ascii="Arial" w:cs="Arial" w:eastAsia="Arial" w:hAnsi="Arial"/>
          <w:sz w:val="15"/>
          <w:szCs w:val="15"/>
          <w:color w:val="auto"/>
        </w:rPr>
        <w:t>Interest payments made during the nine-month period of each year that begins with the month and day of the effective date are hedged by the swap agreement.</w:t>
      </w: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Weighted Average Interest Rate</w:t>
      </w:r>
    </w:p>
    <w:p>
      <w:pPr>
        <w:spacing w:after="0" w:line="144"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The weighted average interest rates on the Company's debt were 4.3% and 8.1% for the three months ended December 27, 2014 and December 28, 2013, respectively. The weighed average interest rate for the three months ended December 28, 2013 included hedge ineffectiveness of $2.0 million related to interest rate swap agreements, which was recorded to interest expense, in conjunction with entering into the credit facility.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RETIREMENT AND RETIREE MEDICAL PLANS</w:t>
      </w:r>
    </w:p>
    <w:p>
      <w:pPr>
        <w:spacing w:after="0" w:line="148"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summarizes the components of net periodic benefit cost for the retirement and retiree medical plans sponsored by the Company:</w:t>
      </w:r>
    </w:p>
    <w:p>
      <w:pPr>
        <w:spacing w:after="0" w:line="200" w:lineRule="exact"/>
        <w:rPr>
          <w:sz w:val="20"/>
          <w:szCs w:val="20"/>
          <w:color w:val="auto"/>
        </w:rPr>
      </w:pPr>
    </w:p>
    <w:p>
      <w:pPr>
        <w:spacing w:after="0" w:line="204"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262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3"/>
          </w:tcPr>
          <w:p>
            <w:pPr>
              <w:jc w:val="right"/>
              <w:ind w:right="59"/>
              <w:spacing w:after="0"/>
              <w:rPr>
                <w:sz w:val="20"/>
                <w:szCs w:val="20"/>
                <w:color w:val="auto"/>
              </w:rPr>
            </w:pPr>
            <w:r>
              <w:rPr>
                <w:rFonts w:ascii="Arial" w:cs="Arial" w:eastAsia="Arial" w:hAnsi="Arial"/>
                <w:sz w:val="14"/>
                <w:szCs w:val="14"/>
                <w:b w:val="1"/>
                <w:bCs w:val="1"/>
                <w:color w:val="auto"/>
              </w:rPr>
              <w:t>THREE MONTHS ENDED</w:t>
            </w:r>
          </w:p>
        </w:tc>
        <w:tc>
          <w:tcPr>
            <w:tcW w:w="4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264"/>
        </w:trPr>
        <w:tc>
          <w:tcPr>
            <w:tcW w:w="2620" w:type="dxa"/>
            <w:vAlign w:val="bottom"/>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DECEMBER 27, 2014</w:t>
            </w: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DECEMBER 28, 2013</w:t>
            </w:r>
          </w:p>
        </w:tc>
        <w:tc>
          <w:tcPr>
            <w:tcW w:w="2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r>
      <w:tr>
        <w:trPr>
          <w:trHeight w:val="152"/>
        </w:trPr>
        <w:tc>
          <w:tcPr>
            <w:tcW w:w="2620" w:type="dxa"/>
            <w:vAlign w:val="bottom"/>
          </w:tcPr>
          <w:p>
            <w:pPr>
              <w:spacing w:after="0"/>
              <w:rPr>
                <w:sz w:val="13"/>
                <w:szCs w:val="13"/>
                <w:color w:val="auto"/>
              </w:rPr>
            </w:pPr>
          </w:p>
        </w:tc>
        <w:tc>
          <w:tcPr>
            <w:tcW w:w="960" w:type="dxa"/>
            <w:vAlign w:val="bottom"/>
          </w:tcPr>
          <w:p>
            <w:pPr>
              <w:jc w:val="right"/>
              <w:ind w:right="59"/>
              <w:spacing w:after="0" w:line="153" w:lineRule="exact"/>
              <w:rPr>
                <w:sz w:val="20"/>
                <w:szCs w:val="20"/>
                <w:color w:val="auto"/>
              </w:rPr>
            </w:pPr>
            <w:r>
              <w:rPr>
                <w:rFonts w:ascii="Arial" w:cs="Arial" w:eastAsia="Arial" w:hAnsi="Arial"/>
                <w:sz w:val="14"/>
                <w:szCs w:val="14"/>
                <w:b w:val="1"/>
                <w:bCs w:val="1"/>
                <w:color w:val="auto"/>
              </w:rPr>
              <w:t>U.S.</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7"/>
              </w:rPr>
              <w:t>International</w:t>
            </w:r>
          </w:p>
        </w:tc>
        <w:tc>
          <w:tcPr>
            <w:tcW w:w="260" w:type="dxa"/>
            <w:vAlign w:val="bottom"/>
          </w:tcPr>
          <w:p>
            <w:pPr>
              <w:spacing w:after="0"/>
              <w:rPr>
                <w:sz w:val="13"/>
                <w:szCs w:val="13"/>
                <w:color w:val="auto"/>
              </w:rPr>
            </w:pPr>
          </w:p>
        </w:tc>
        <w:tc>
          <w:tcPr>
            <w:tcW w:w="1200" w:type="dxa"/>
            <w:vAlign w:val="bottom"/>
            <w:gridSpan w:val="2"/>
          </w:tcPr>
          <w:p>
            <w:pPr>
              <w:jc w:val="center"/>
              <w:ind w:right="380"/>
              <w:spacing w:after="0" w:line="153" w:lineRule="exact"/>
              <w:rPr>
                <w:sz w:val="20"/>
                <w:szCs w:val="20"/>
                <w:color w:val="auto"/>
              </w:rPr>
            </w:pPr>
            <w:r>
              <w:rPr>
                <w:rFonts w:ascii="Arial" w:cs="Arial" w:eastAsia="Arial" w:hAnsi="Arial"/>
                <w:sz w:val="14"/>
                <w:szCs w:val="14"/>
                <w:b w:val="1"/>
                <w:bCs w:val="1"/>
                <w:color w:val="auto"/>
                <w:w w:val="95"/>
              </w:rPr>
              <w:t>U.S.</w:t>
            </w:r>
          </w:p>
        </w:tc>
        <w:tc>
          <w:tcPr>
            <w:tcW w:w="960" w:type="dxa"/>
            <w:vAlign w:val="bottom"/>
          </w:tcPr>
          <w:p>
            <w:pPr>
              <w:jc w:val="right"/>
              <w:ind w:right="59"/>
              <w:spacing w:after="0" w:line="153" w:lineRule="exact"/>
              <w:rPr>
                <w:sz w:val="20"/>
                <w:szCs w:val="20"/>
                <w:color w:val="auto"/>
              </w:rPr>
            </w:pPr>
            <w:r>
              <w:rPr>
                <w:rFonts w:ascii="Arial" w:cs="Arial" w:eastAsia="Arial" w:hAnsi="Arial"/>
                <w:sz w:val="14"/>
                <w:szCs w:val="14"/>
                <w:b w:val="1"/>
                <w:bCs w:val="1"/>
                <w:color w:val="auto"/>
              </w:rPr>
              <w:t>U.S.</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5"/>
              </w:rPr>
              <w:t>International</w:t>
            </w:r>
          </w:p>
        </w:tc>
        <w:tc>
          <w:tcPr>
            <w:tcW w:w="280" w:type="dxa"/>
            <w:vAlign w:val="bottom"/>
          </w:tcPr>
          <w:p>
            <w:pPr>
              <w:spacing w:after="0"/>
              <w:rPr>
                <w:sz w:val="13"/>
                <w:szCs w:val="13"/>
                <w:color w:val="auto"/>
              </w:rPr>
            </w:pPr>
          </w:p>
        </w:tc>
        <w:tc>
          <w:tcPr>
            <w:tcW w:w="1100" w:type="dxa"/>
            <w:vAlign w:val="bottom"/>
          </w:tcPr>
          <w:p>
            <w:pPr>
              <w:jc w:val="right"/>
              <w:ind w:right="475"/>
              <w:spacing w:after="0" w:line="153" w:lineRule="exact"/>
              <w:rPr>
                <w:sz w:val="20"/>
                <w:szCs w:val="20"/>
                <w:color w:val="auto"/>
              </w:rPr>
            </w:pPr>
            <w:r>
              <w:rPr>
                <w:rFonts w:ascii="Arial" w:cs="Arial" w:eastAsia="Arial" w:hAnsi="Arial"/>
                <w:sz w:val="14"/>
                <w:szCs w:val="14"/>
                <w:b w:val="1"/>
                <w:bCs w:val="1"/>
                <w:color w:val="auto"/>
              </w:rPr>
              <w:t>U.S.</w:t>
            </w:r>
          </w:p>
        </w:tc>
      </w:tr>
      <w:tr>
        <w:trPr>
          <w:trHeight w:val="192"/>
        </w:trPr>
        <w:tc>
          <w:tcPr>
            <w:tcW w:w="2620" w:type="dxa"/>
            <w:vAlign w:val="bottom"/>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Pension</w:t>
            </w: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88"/>
              </w:rPr>
              <w:t>Pension</w:t>
            </w: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w w:val="97"/>
              </w:rPr>
              <w:t>Medical</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Pension</w:t>
            </w:r>
          </w:p>
        </w:tc>
        <w:tc>
          <w:tcPr>
            <w:tcW w:w="4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88"/>
              </w:rPr>
              <w:t>Pension</w:t>
            </w:r>
          </w:p>
        </w:tc>
        <w:tc>
          <w:tcPr>
            <w:tcW w:w="2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Medical</w:t>
            </w:r>
          </w:p>
        </w:tc>
      </w:tr>
      <w:tr>
        <w:trPr>
          <w:trHeight w:val="250"/>
        </w:trPr>
        <w:tc>
          <w:tcPr>
            <w:tcW w:w="26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160" w:type="dxa"/>
            <w:vAlign w:val="bottom"/>
            <w:gridSpan w:val="3"/>
          </w:tcPr>
          <w:p>
            <w:pPr>
              <w:jc w:val="right"/>
              <w:ind w:right="539"/>
              <w:spacing w:after="0"/>
              <w:rPr>
                <w:sz w:val="20"/>
                <w:szCs w:val="20"/>
                <w:color w:val="auto"/>
              </w:rPr>
            </w:pPr>
            <w:r>
              <w:rPr>
                <w:rFonts w:ascii="Arial" w:cs="Arial" w:eastAsia="Arial" w:hAnsi="Arial"/>
                <w:sz w:val="14"/>
                <w:szCs w:val="14"/>
                <w:b w:val="1"/>
                <w:bCs w:val="1"/>
                <w:color w:val="auto"/>
              </w:rPr>
              <w:t>(In millions)</w:t>
            </w:r>
          </w:p>
        </w:tc>
        <w:tc>
          <w:tcPr>
            <w:tcW w:w="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56"/>
        </w:trPr>
        <w:tc>
          <w:tcPr>
            <w:tcW w:w="2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Service cost</w:t>
            </w:r>
          </w:p>
        </w:tc>
        <w:tc>
          <w:tcPr>
            <w:tcW w:w="96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0.1</w:t>
            </w:r>
          </w:p>
        </w:tc>
      </w:tr>
      <w:tr>
        <w:trPr>
          <w:trHeight w:val="243"/>
        </w:trPr>
        <w:tc>
          <w:tcPr>
            <w:tcW w:w="2620" w:type="dxa"/>
            <w:vAlign w:val="bottom"/>
          </w:tcPr>
          <w:p>
            <w:pPr>
              <w:ind w:left="20"/>
              <w:spacing w:after="0"/>
              <w:rPr>
                <w:sz w:val="20"/>
                <w:szCs w:val="20"/>
                <w:color w:val="auto"/>
              </w:rPr>
            </w:pPr>
            <w:r>
              <w:rPr>
                <w:rFonts w:ascii="Arial" w:cs="Arial" w:eastAsia="Arial" w:hAnsi="Arial"/>
                <w:sz w:val="18"/>
                <w:szCs w:val="18"/>
                <w:color w:val="auto"/>
              </w:rPr>
              <w:t>Interest cost</w:t>
            </w:r>
          </w:p>
        </w:tc>
        <w:tc>
          <w:tcPr>
            <w:tcW w:w="960" w:type="dxa"/>
            <w:vAlign w:val="bottom"/>
          </w:tcPr>
          <w:p>
            <w:pPr>
              <w:spacing w:after="0"/>
              <w:rPr>
                <w:sz w:val="21"/>
                <w:szCs w:val="21"/>
                <w:color w:val="auto"/>
              </w:rPr>
            </w:pP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5"/>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38"/>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5"/>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jc w:val="right"/>
              <w:ind w:right="35"/>
              <w:spacing w:after="0"/>
              <w:rPr>
                <w:sz w:val="20"/>
                <w:szCs w:val="20"/>
                <w:color w:val="auto"/>
              </w:rPr>
            </w:pPr>
            <w:r>
              <w:rPr>
                <w:rFonts w:ascii="Arial" w:cs="Arial" w:eastAsia="Arial" w:hAnsi="Arial"/>
                <w:sz w:val="18"/>
                <w:szCs w:val="18"/>
                <w:color w:val="auto"/>
              </w:rPr>
              <w:t>0.3</w:t>
            </w:r>
          </w:p>
        </w:tc>
      </w:tr>
      <w:tr>
        <w:trPr>
          <w:trHeight w:val="27"/>
        </w:trPr>
        <w:tc>
          <w:tcPr>
            <w:tcW w:w="26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2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Expected return on plan assets</w:t>
            </w:r>
          </w:p>
        </w:tc>
        <w:tc>
          <w:tcPr>
            <w:tcW w:w="9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(1.3)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(1.3)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w:t>
            </w:r>
          </w:p>
        </w:tc>
      </w:tr>
      <w:tr>
        <w:trPr>
          <w:trHeight w:val="243"/>
        </w:trPr>
        <w:tc>
          <w:tcPr>
            <w:tcW w:w="2620" w:type="dxa"/>
            <w:vAlign w:val="bottom"/>
          </w:tcPr>
          <w:p>
            <w:pPr>
              <w:ind w:left="20"/>
              <w:spacing w:after="0"/>
              <w:rPr>
                <w:sz w:val="20"/>
                <w:szCs w:val="20"/>
                <w:color w:val="auto"/>
              </w:rPr>
            </w:pPr>
            <w:r>
              <w:rPr>
                <w:rFonts w:ascii="Arial" w:cs="Arial" w:eastAsia="Arial" w:hAnsi="Arial"/>
                <w:sz w:val="18"/>
                <w:szCs w:val="18"/>
                <w:color w:val="auto"/>
              </w:rPr>
              <w:t>Net amortization</w:t>
            </w:r>
          </w:p>
        </w:tc>
        <w:tc>
          <w:tcPr>
            <w:tcW w:w="960" w:type="dxa"/>
            <w:vAlign w:val="bottom"/>
          </w:tcPr>
          <w:p>
            <w:pPr>
              <w:spacing w:after="0"/>
              <w:rPr>
                <w:sz w:val="21"/>
                <w:szCs w:val="21"/>
                <w:color w:val="auto"/>
              </w:rPr>
            </w:pP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5"/>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21"/>
                <w:szCs w:val="21"/>
                <w:color w:val="auto"/>
              </w:rPr>
            </w:pP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5"/>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jc w:val="right"/>
              <w:ind w:right="35"/>
              <w:spacing w:after="0"/>
              <w:rPr>
                <w:sz w:val="20"/>
                <w:szCs w:val="20"/>
                <w:color w:val="auto"/>
              </w:rPr>
            </w:pPr>
            <w:r>
              <w:rPr>
                <w:rFonts w:ascii="Arial" w:cs="Arial" w:eastAsia="Arial" w:hAnsi="Arial"/>
                <w:sz w:val="18"/>
                <w:szCs w:val="18"/>
                <w:color w:val="auto"/>
              </w:rPr>
              <w:t>—</w:t>
            </w:r>
          </w:p>
        </w:tc>
      </w:tr>
      <w:tr>
        <w:trPr>
          <w:trHeight w:val="27"/>
        </w:trPr>
        <w:tc>
          <w:tcPr>
            <w:tcW w:w="26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9"/>
        </w:trPr>
        <w:tc>
          <w:tcPr>
            <w:tcW w:w="2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periodic benefit cost</w:t>
            </w:r>
          </w:p>
        </w:tc>
        <w:tc>
          <w:tcPr>
            <w:tcW w:w="96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0.8</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0.4</w:t>
            </w:r>
          </w:p>
        </w:tc>
      </w:tr>
      <w:tr>
        <w:trPr>
          <w:trHeight w:val="20"/>
        </w:trPr>
        <w:tc>
          <w:tcPr>
            <w:tcW w:w="26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SHAREHOLDERS' EQUITY</w:t>
      </w:r>
    </w:p>
    <w:p>
      <w:pPr>
        <w:spacing w:after="0" w:line="189" w:lineRule="exact"/>
        <w:rPr>
          <w:sz w:val="20"/>
          <w:szCs w:val="20"/>
          <w:color w:val="auto"/>
        </w:rPr>
      </w:pPr>
    </w:p>
    <w:p>
      <w:pPr>
        <w:jc w:val="both"/>
        <w:ind w:firstLine="405"/>
        <w:spacing w:after="0" w:line="312" w:lineRule="auto"/>
        <w:rPr>
          <w:sz w:val="20"/>
          <w:szCs w:val="20"/>
          <w:color w:val="auto"/>
        </w:rPr>
      </w:pPr>
      <w:r>
        <w:rPr>
          <w:rFonts w:ascii="Arial" w:cs="Arial" w:eastAsia="Arial" w:hAnsi="Arial"/>
          <w:sz w:val="16"/>
          <w:szCs w:val="16"/>
          <w:color w:val="auto"/>
        </w:rPr>
        <w:t>During the three months ended December 27, 2014, Scotts Miracle-Gro repurchased 0.2 million of its common shares (the “Common Shares”) for $14.8 million. These repurchases were made pursuant to the $500 million share repurchase program approved by the Scotts Miracle-Gro Board of Directors in August 2014. The program allows for repurchases of Common Shares over a five-year period starting November 1, 2014 through September 30, 2019.</w:t>
      </w:r>
    </w:p>
    <w:p>
      <w:pPr>
        <w:spacing w:after="0" w:line="10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Share-Based Awards</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is a summary of the share-based awards granted during the periods indicated: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4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780" w:type="dxa"/>
            <w:vAlign w:val="bottom"/>
            <w:tcBorders>
              <w:bottom w:val="single" w:sz="8" w:color="auto"/>
            </w:tcBorders>
            <w:gridSpan w:val="4"/>
          </w:tcPr>
          <w:p>
            <w:pPr>
              <w:jc w:val="right"/>
              <w:ind w:right="1034"/>
              <w:spacing w:after="0"/>
              <w:rPr>
                <w:sz w:val="20"/>
                <w:szCs w:val="20"/>
                <w:color w:val="auto"/>
              </w:rPr>
            </w:pPr>
            <w:r>
              <w:rPr>
                <w:rFonts w:ascii="Arial" w:cs="Arial" w:eastAsia="Arial" w:hAnsi="Arial"/>
                <w:sz w:val="14"/>
                <w:szCs w:val="14"/>
                <w:b w:val="1"/>
                <w:bCs w:val="1"/>
                <w:color w:val="auto"/>
              </w:rPr>
              <w:t>THREE MONTHS ENDED</w:t>
            </w:r>
          </w:p>
        </w:tc>
      </w:tr>
      <w:tr>
        <w:trPr>
          <w:trHeight w:val="263"/>
        </w:trPr>
        <w:tc>
          <w:tcPr>
            <w:tcW w:w="4540" w:type="dxa"/>
            <w:vAlign w:val="bottom"/>
          </w:tcPr>
          <w:p>
            <w:pPr>
              <w:spacing w:after="0"/>
              <w:rPr>
                <w:sz w:val="22"/>
                <w:szCs w:val="22"/>
                <w:color w:val="auto"/>
              </w:rPr>
            </w:pPr>
          </w:p>
        </w:tc>
        <w:tc>
          <w:tcPr>
            <w:tcW w:w="29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84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27, 2014</w:t>
            </w:r>
          </w:p>
        </w:tc>
        <w:tc>
          <w:tcPr>
            <w:tcW w:w="200" w:type="dxa"/>
            <w:vAlign w:val="bottom"/>
          </w:tcPr>
          <w:p>
            <w:pPr>
              <w:spacing w:after="0"/>
              <w:rPr>
                <w:sz w:val="22"/>
                <w:szCs w:val="22"/>
                <w:color w:val="auto"/>
              </w:rPr>
            </w:pPr>
          </w:p>
        </w:tc>
        <w:tc>
          <w:tcPr>
            <w:tcW w:w="1740" w:type="dxa"/>
            <w:vAlign w:val="bottom"/>
          </w:tcPr>
          <w:p>
            <w:pPr>
              <w:jc w:val="right"/>
              <w:ind w:right="194"/>
              <w:spacing w:after="0"/>
              <w:rPr>
                <w:sz w:val="20"/>
                <w:szCs w:val="20"/>
                <w:color w:val="auto"/>
              </w:rPr>
            </w:pPr>
            <w:r>
              <w:rPr>
                <w:rFonts w:ascii="Arial" w:cs="Arial" w:eastAsia="Arial" w:hAnsi="Arial"/>
                <w:sz w:val="14"/>
                <w:szCs w:val="14"/>
                <w:b w:val="1"/>
                <w:bCs w:val="1"/>
                <w:color w:val="auto"/>
              </w:rPr>
              <w:t>DECEMBER 28, 2013</w:t>
            </w:r>
          </w:p>
        </w:tc>
      </w:tr>
      <w:tr>
        <w:trPr>
          <w:trHeight w:val="230"/>
        </w:trPr>
        <w:tc>
          <w:tcPr>
            <w:tcW w:w="4540" w:type="dxa"/>
            <w:vAlign w:val="bottom"/>
          </w:tcPr>
          <w:p>
            <w:pPr>
              <w:ind w:left="40"/>
              <w:spacing w:after="0"/>
              <w:rPr>
                <w:sz w:val="20"/>
                <w:szCs w:val="20"/>
                <w:color w:val="auto"/>
              </w:rPr>
            </w:pPr>
            <w:r>
              <w:rPr>
                <w:rFonts w:ascii="Arial" w:cs="Arial" w:eastAsia="Arial" w:hAnsi="Arial"/>
                <w:sz w:val="18"/>
                <w:szCs w:val="18"/>
                <w:color w:val="auto"/>
              </w:rPr>
              <w:t>Employees</w:t>
            </w:r>
          </w:p>
        </w:tc>
        <w:tc>
          <w:tcPr>
            <w:tcW w:w="29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7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740" w:type="dxa"/>
            <w:vAlign w:val="bottom"/>
            <w:tcBorders>
              <w:top w:val="single" w:sz="8" w:color="auto"/>
            </w:tcBorders>
          </w:tcPr>
          <w:p>
            <w:pPr>
              <w:spacing w:after="0"/>
              <w:rPr>
                <w:sz w:val="19"/>
                <w:szCs w:val="19"/>
                <w:color w:val="auto"/>
              </w:rPr>
            </w:pPr>
          </w:p>
        </w:tc>
      </w:tr>
      <w:tr>
        <w:trPr>
          <w:trHeight w:val="41"/>
        </w:trPr>
        <w:tc>
          <w:tcPr>
            <w:tcW w:w="4540" w:type="dxa"/>
            <w:vAlign w:val="bottom"/>
          </w:tcPr>
          <w:p>
            <w:pPr>
              <w:spacing w:after="0"/>
              <w:rPr>
                <w:sz w:val="3"/>
                <w:szCs w:val="3"/>
                <w:color w:val="auto"/>
              </w:rPr>
            </w:pPr>
          </w:p>
        </w:tc>
        <w:tc>
          <w:tcPr>
            <w:tcW w:w="29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740" w:type="dxa"/>
            <w:vAlign w:val="bottom"/>
          </w:tcPr>
          <w:p>
            <w:pPr>
              <w:spacing w:after="0"/>
              <w:rPr>
                <w:sz w:val="3"/>
                <w:szCs w:val="3"/>
                <w:color w:val="auto"/>
              </w:rPr>
            </w:pPr>
          </w:p>
        </w:tc>
      </w:tr>
      <w:tr>
        <w:trPr>
          <w:trHeight w:val="250"/>
        </w:trPr>
        <w:tc>
          <w:tcPr>
            <w:tcW w:w="4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Restricted stock units</w:t>
            </w:r>
          </w:p>
        </w:tc>
        <w:tc>
          <w:tcPr>
            <w:tcW w:w="29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31,032</w:t>
            </w:r>
          </w:p>
        </w:tc>
      </w:tr>
      <w:tr>
        <w:trPr>
          <w:trHeight w:val="243"/>
        </w:trPr>
        <w:tc>
          <w:tcPr>
            <w:tcW w:w="4540" w:type="dxa"/>
            <w:vAlign w:val="bottom"/>
          </w:tcPr>
          <w:p>
            <w:pPr>
              <w:ind w:left="40"/>
              <w:spacing w:after="0"/>
              <w:rPr>
                <w:sz w:val="20"/>
                <w:szCs w:val="20"/>
                <w:color w:val="auto"/>
              </w:rPr>
            </w:pPr>
            <w:r>
              <w:rPr>
                <w:rFonts w:ascii="Arial" w:cs="Arial" w:eastAsia="Arial" w:hAnsi="Arial"/>
                <w:sz w:val="18"/>
                <w:szCs w:val="18"/>
                <w:color w:val="auto"/>
              </w:rPr>
              <w:t>Board of Directors</w:t>
            </w:r>
          </w:p>
        </w:tc>
        <w:tc>
          <w:tcPr>
            <w:tcW w:w="29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40" w:type="dxa"/>
            <w:vAlign w:val="bottom"/>
          </w:tcPr>
          <w:p>
            <w:pPr>
              <w:spacing w:after="0"/>
              <w:rPr>
                <w:sz w:val="21"/>
                <w:szCs w:val="21"/>
                <w:color w:val="auto"/>
              </w:rPr>
            </w:pPr>
          </w:p>
        </w:tc>
      </w:tr>
      <w:tr>
        <w:trPr>
          <w:trHeight w:val="27"/>
        </w:trPr>
        <w:tc>
          <w:tcPr>
            <w:tcW w:w="4540" w:type="dxa"/>
            <w:vAlign w:val="bottom"/>
          </w:tcPr>
          <w:p>
            <w:pPr>
              <w:spacing w:after="0"/>
              <w:rPr>
                <w:sz w:val="2"/>
                <w:szCs w:val="2"/>
                <w:color w:val="auto"/>
              </w:rPr>
            </w:pPr>
          </w:p>
        </w:tc>
        <w:tc>
          <w:tcPr>
            <w:tcW w:w="2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70"/>
        </w:trPr>
        <w:tc>
          <w:tcPr>
            <w:tcW w:w="4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Deferred stock units</w:t>
            </w:r>
          </w:p>
        </w:tc>
        <w:tc>
          <w:tcPr>
            <w:tcW w:w="29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1,355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1,035</w:t>
            </w:r>
          </w:p>
        </w:tc>
      </w:tr>
      <w:tr>
        <w:trPr>
          <w:trHeight w:val="237"/>
        </w:trPr>
        <w:tc>
          <w:tcPr>
            <w:tcW w:w="4540" w:type="dxa"/>
            <w:vAlign w:val="bottom"/>
          </w:tcPr>
          <w:p>
            <w:pPr>
              <w:ind w:left="40"/>
              <w:spacing w:after="0"/>
              <w:rPr>
                <w:sz w:val="20"/>
                <w:szCs w:val="20"/>
                <w:color w:val="auto"/>
              </w:rPr>
            </w:pPr>
            <w:r>
              <w:rPr>
                <w:rFonts w:ascii="Arial" w:cs="Arial" w:eastAsia="Arial" w:hAnsi="Arial"/>
                <w:sz w:val="18"/>
                <w:szCs w:val="18"/>
                <w:color w:val="auto"/>
              </w:rPr>
              <w:t>Total share-based awards</w:t>
            </w:r>
          </w:p>
        </w:tc>
        <w:tc>
          <w:tcPr>
            <w:tcW w:w="29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74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1,355</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7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32,067</w:t>
            </w:r>
          </w:p>
        </w:tc>
      </w:tr>
      <w:tr>
        <w:trPr>
          <w:trHeight w:val="27"/>
        </w:trPr>
        <w:tc>
          <w:tcPr>
            <w:tcW w:w="4540" w:type="dxa"/>
            <w:vAlign w:val="bottom"/>
          </w:tcPr>
          <w:p>
            <w:pPr>
              <w:spacing w:after="0"/>
              <w:rPr>
                <w:sz w:val="2"/>
                <w:szCs w:val="2"/>
                <w:color w:val="auto"/>
              </w:rPr>
            </w:pPr>
          </w:p>
        </w:tc>
        <w:tc>
          <w:tcPr>
            <w:tcW w:w="2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97"/>
        </w:trPr>
        <w:tc>
          <w:tcPr>
            <w:tcW w:w="4540" w:type="dxa"/>
            <w:vAlign w:val="bottom"/>
            <w:shd w:val="clear" w:color="auto" w:fill="CCEEFF"/>
          </w:tcPr>
          <w:p>
            <w:pPr>
              <w:spacing w:after="0"/>
              <w:rPr>
                <w:sz w:val="24"/>
                <w:szCs w:val="24"/>
                <w:color w:val="auto"/>
              </w:rPr>
            </w:pPr>
          </w:p>
        </w:tc>
        <w:tc>
          <w:tcPr>
            <w:tcW w:w="29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7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740" w:type="dxa"/>
            <w:vAlign w:val="bottom"/>
            <w:shd w:val="clear" w:color="auto" w:fill="CCEEFF"/>
          </w:tcPr>
          <w:p>
            <w:pPr>
              <w:spacing w:after="0"/>
              <w:rPr>
                <w:sz w:val="24"/>
                <w:szCs w:val="24"/>
                <w:color w:val="auto"/>
              </w:rPr>
            </w:pPr>
          </w:p>
        </w:tc>
      </w:tr>
      <w:tr>
        <w:trPr>
          <w:trHeight w:val="243"/>
        </w:trPr>
        <w:tc>
          <w:tcPr>
            <w:tcW w:w="4540" w:type="dxa"/>
            <w:vAlign w:val="bottom"/>
          </w:tcPr>
          <w:p>
            <w:pPr>
              <w:ind w:left="40"/>
              <w:spacing w:after="0"/>
              <w:rPr>
                <w:sz w:val="20"/>
                <w:szCs w:val="20"/>
                <w:color w:val="auto"/>
              </w:rPr>
            </w:pPr>
            <w:r>
              <w:rPr>
                <w:rFonts w:ascii="Arial" w:cs="Arial" w:eastAsia="Arial" w:hAnsi="Arial"/>
                <w:sz w:val="18"/>
                <w:szCs w:val="18"/>
                <w:color w:val="auto"/>
              </w:rPr>
              <w:t>Aggregate fair value at grant dates (in millions)</w:t>
            </w:r>
          </w:p>
        </w:tc>
        <w:tc>
          <w:tcPr>
            <w:tcW w:w="31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740" w:type="dxa"/>
            <w:vAlign w:val="bottom"/>
          </w:tcPr>
          <w:p>
            <w:pPr>
              <w:jc w:val="right"/>
              <w:ind w:right="16"/>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ind w:right="14"/>
              <w:spacing w:after="0"/>
              <w:rPr>
                <w:sz w:val="20"/>
                <w:szCs w:val="20"/>
                <w:color w:val="auto"/>
              </w:rPr>
            </w:pPr>
            <w:r>
              <w:rPr>
                <w:rFonts w:ascii="Arial" w:cs="Arial" w:eastAsia="Arial" w:hAnsi="Arial"/>
                <w:sz w:val="18"/>
                <w:szCs w:val="18"/>
                <w:color w:val="auto"/>
              </w:rPr>
              <w:t>1.9</w:t>
            </w:r>
          </w:p>
        </w:tc>
      </w:tr>
      <w:tr>
        <w:trPr>
          <w:trHeight w:val="486"/>
        </w:trPr>
        <w:tc>
          <w:tcPr>
            <w:tcW w:w="4540" w:type="dxa"/>
            <w:vAlign w:val="bottom"/>
          </w:tcPr>
          <w:p>
            <w:pPr>
              <w:spacing w:after="0"/>
              <w:rPr>
                <w:sz w:val="24"/>
                <w:szCs w:val="24"/>
                <w:color w:val="auto"/>
              </w:rPr>
            </w:pPr>
          </w:p>
        </w:tc>
        <w:tc>
          <w:tcPr>
            <w:tcW w:w="2900" w:type="dxa"/>
            <w:vAlign w:val="bottom"/>
          </w:tcPr>
          <w:p>
            <w:pPr>
              <w:jc w:val="right"/>
              <w:ind w:right="1550"/>
              <w:spacing w:after="0"/>
              <w:rPr>
                <w:sz w:val="20"/>
                <w:szCs w:val="20"/>
                <w:color w:val="auto"/>
              </w:rPr>
            </w:pPr>
            <w:r>
              <w:rPr>
                <w:rFonts w:ascii="Arial" w:cs="Arial" w:eastAsia="Arial" w:hAnsi="Arial"/>
                <w:sz w:val="18"/>
                <w:szCs w:val="18"/>
                <w:color w:val="auto"/>
              </w:rPr>
              <w:t>14</w:t>
            </w:r>
          </w:p>
        </w:tc>
        <w:tc>
          <w:tcPr>
            <w:tcW w:w="2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4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color w:val="FFFFFF"/>
        </w:rPr>
      </w:pPr>
      <w:hyperlink w:anchor="page1">
        <w:r>
          <w:rPr>
            <w:rFonts w:ascii="Arial" w:cs="Arial" w:eastAsia="Arial" w:hAnsi="Arial"/>
            <w:sz w:val="18"/>
            <w:szCs w:val="18"/>
            <w:color w:val="FFFFFF"/>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Total share-based compensation recognized was as follows for the periods indicated: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780" w:type="dxa"/>
            <w:vAlign w:val="bottom"/>
            <w:tcBorders>
              <w:bottom w:val="single" w:sz="8" w:color="auto"/>
            </w:tcBorders>
            <w:gridSpan w:val="3"/>
          </w:tcPr>
          <w:p>
            <w:pPr>
              <w:ind w:left="940"/>
              <w:spacing w:after="0"/>
              <w:rPr>
                <w:sz w:val="20"/>
                <w:szCs w:val="20"/>
                <w:color w:val="auto"/>
              </w:rPr>
            </w:pPr>
            <w:r>
              <w:rPr>
                <w:rFonts w:ascii="Arial" w:cs="Arial" w:eastAsia="Arial" w:hAnsi="Arial"/>
                <w:sz w:val="14"/>
                <w:szCs w:val="14"/>
                <w:b w:val="1"/>
                <w:bCs w:val="1"/>
                <w:color w:val="auto"/>
              </w:rPr>
              <w:t>THREE MONTHS ENDED</w:t>
            </w:r>
          </w:p>
        </w:tc>
      </w:tr>
      <w:tr>
        <w:trPr>
          <w:trHeight w:val="264"/>
        </w:trPr>
        <w:tc>
          <w:tcPr>
            <w:tcW w:w="744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DECEMBER 27, 2014</w:t>
            </w:r>
          </w:p>
        </w:tc>
        <w:tc>
          <w:tcPr>
            <w:tcW w:w="28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DECEMBER 28, 2013</w:t>
            </w:r>
          </w:p>
        </w:tc>
      </w:tr>
      <w:tr>
        <w:trPr>
          <w:trHeight w:val="250"/>
        </w:trPr>
        <w:tc>
          <w:tcPr>
            <w:tcW w:w="7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780" w:type="dxa"/>
            <w:vAlign w:val="bottom"/>
            <w:gridSpan w:val="3"/>
          </w:tcPr>
          <w:p>
            <w:pPr>
              <w:ind w:left="1420"/>
              <w:spacing w:after="0"/>
              <w:rPr>
                <w:sz w:val="20"/>
                <w:szCs w:val="20"/>
                <w:color w:val="auto"/>
              </w:rPr>
            </w:pPr>
            <w:r>
              <w:rPr>
                <w:rFonts w:ascii="Arial" w:cs="Arial" w:eastAsia="Arial" w:hAnsi="Arial"/>
                <w:sz w:val="14"/>
                <w:szCs w:val="14"/>
                <w:b w:val="1"/>
                <w:bCs w:val="1"/>
                <w:color w:val="auto"/>
              </w:rPr>
              <w:t>(In millions)</w:t>
            </w:r>
          </w:p>
        </w:tc>
      </w:tr>
      <w:tr>
        <w:trPr>
          <w:trHeight w:val="256"/>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Share-based compensation</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CCEEFF"/>
            </w:tcBorders>
            <w:shd w:val="clear" w:color="auto" w:fill="CCEEFF"/>
          </w:tcPr>
          <w:p>
            <w:pPr>
              <w:ind w:left="1400"/>
              <w:spacing w:after="0"/>
              <w:rPr>
                <w:sz w:val="20"/>
                <w:szCs w:val="20"/>
                <w:color w:val="auto"/>
              </w:rPr>
            </w:pPr>
            <w:r>
              <w:rPr>
                <w:rFonts w:ascii="Arial" w:cs="Arial" w:eastAsia="Arial" w:hAnsi="Arial"/>
                <w:sz w:val="18"/>
                <w:szCs w:val="18"/>
                <w:color w:val="auto"/>
              </w:rPr>
              <w:t>2.1</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1.8</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Tax benefit recognized</w:t>
            </w:r>
          </w:p>
        </w:tc>
        <w:tc>
          <w:tcPr>
            <w:tcW w:w="200" w:type="dxa"/>
            <w:vAlign w:val="bottom"/>
          </w:tcPr>
          <w:p>
            <w:pPr>
              <w:spacing w:after="0"/>
              <w:rPr>
                <w:sz w:val="21"/>
                <w:szCs w:val="21"/>
                <w:color w:val="auto"/>
              </w:rPr>
            </w:pPr>
          </w:p>
        </w:tc>
        <w:tc>
          <w:tcPr>
            <w:tcW w:w="1760" w:type="dxa"/>
            <w:vAlign w:val="bottom"/>
          </w:tcPr>
          <w:p>
            <w:pPr>
              <w:ind w:left="1400"/>
              <w:spacing w:after="0"/>
              <w:rPr>
                <w:sz w:val="20"/>
                <w:szCs w:val="20"/>
                <w:color w:val="auto"/>
              </w:rPr>
            </w:pPr>
            <w:r>
              <w:rPr>
                <w:rFonts w:ascii="Arial" w:cs="Arial" w:eastAsia="Arial" w:hAnsi="Arial"/>
                <w:sz w:val="18"/>
                <w:szCs w:val="18"/>
                <w:color w:val="auto"/>
              </w:rPr>
              <w:t>0.8</w:t>
            </w:r>
          </w:p>
        </w:tc>
        <w:tc>
          <w:tcPr>
            <w:tcW w:w="280" w:type="dxa"/>
            <w:vAlign w:val="bottom"/>
          </w:tcPr>
          <w:p>
            <w:pPr>
              <w:spacing w:after="0"/>
              <w:rPr>
                <w:sz w:val="21"/>
                <w:szCs w:val="21"/>
                <w:color w:val="auto"/>
              </w:rPr>
            </w:pPr>
          </w:p>
        </w:tc>
        <w:tc>
          <w:tcPr>
            <w:tcW w:w="1740" w:type="dxa"/>
            <w:vAlign w:val="bottom"/>
          </w:tcPr>
          <w:p>
            <w:pPr>
              <w:jc w:val="right"/>
              <w:ind w:right="16"/>
              <w:spacing w:after="0"/>
              <w:rPr>
                <w:sz w:val="20"/>
                <w:szCs w:val="20"/>
                <w:color w:val="auto"/>
              </w:rPr>
            </w:pPr>
            <w:r>
              <w:rPr>
                <w:rFonts w:ascii="Arial" w:cs="Arial" w:eastAsia="Arial" w:hAnsi="Arial"/>
                <w:sz w:val="18"/>
                <w:szCs w:val="18"/>
                <w:color w:val="auto"/>
              </w:rPr>
              <w:t>0.7</w:t>
            </w:r>
          </w:p>
        </w:tc>
      </w:tr>
    </w:tbl>
    <w:p>
      <w:pPr>
        <w:spacing w:after="0" w:line="229"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As of December 27, 2014 the equity attributable to noncontrolling interest was $14.1 million compared to $13.5 million as of September 30, 2014. The $0.6 million change is due to the net earnings from the Company's investment in AeroGrow.</w:t>
      </w:r>
    </w:p>
    <w:p>
      <w:pPr>
        <w:spacing w:after="0" w:line="170" w:lineRule="exact"/>
        <w:rPr>
          <w:sz w:val="20"/>
          <w:szCs w:val="20"/>
          <w:color w:val="auto"/>
        </w:rPr>
      </w:pPr>
    </w:p>
    <w:p>
      <w:pPr>
        <w:ind w:right="180" w:firstLine="405"/>
        <w:spacing w:after="0" w:line="264" w:lineRule="auto"/>
        <w:rPr>
          <w:sz w:val="20"/>
          <w:szCs w:val="20"/>
          <w:color w:val="auto"/>
        </w:rPr>
      </w:pPr>
      <w:r>
        <w:rPr>
          <w:rFonts w:ascii="Arial" w:cs="Arial" w:eastAsia="Arial" w:hAnsi="Arial"/>
          <w:sz w:val="18"/>
          <w:szCs w:val="18"/>
          <w:color w:val="auto"/>
        </w:rPr>
        <w:t>Subsequent to December 27, 2014, Scotts Miracle-Gro awarded performance share units, restricted stock units, deferred stock units, and stock options covering 0.5 million Common Shares to employees and members of the Board of Directors with an estimated fair value of $12.2 million on the date of the grant.</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INCOME TAXES</w:t>
      </w:r>
    </w:p>
    <w:p>
      <w:pPr>
        <w:spacing w:after="0" w:line="148"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The effective tax rate related to continuing operations for the three months ended December 27, 2014 was 36.0%, compared to 36.6% for the three months ended December 28, 2013. The effective tax rate used for interim reporting purposes is based on management’s best estimate of factors impacting the effective tax rate for the full fiscal year. An allocation of the income tax expense has been separately determined to report the discontinued operations, net of tax. There can be no assurance that the effective tax rate estimated for interim financial reporting purposes will approximate the effective tax rate determined at fiscal year end.</w:t>
      </w:r>
    </w:p>
    <w:p>
      <w:pPr>
        <w:spacing w:after="0" w:line="134"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Scotts Miracle-Gro or one of its subsidiaries files income tax returns in the U.S. federal jurisdiction and various state, local and foreign jurisdictions. With few exceptions, which are discussed further below, the Company is no longer subject to examination by these tax authorities for fiscal years prior to 2011. The Company is currently under examination by the Internal Revenue Service and certain foreign and U.S. state and local tax authorities. The U.S. federal examination is limited to fiscal year 2011. Regarding the foreign jurisdictions, an audit was completed during the first quarter of fiscal 2015 in France covering fiscal years 2010 through 2012 with no impact to the consolidated financial statements. In regard to the multiple U.S., state and local audits, the tax periods under examination are limited to fiscal years 2009 through 2012. In addition to the aforementioned audits, certain other tax deficiency notices and refund claims for previous years remain unresolved.</w:t>
      </w:r>
    </w:p>
    <w:p>
      <w:pPr>
        <w:spacing w:after="0" w:line="135"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Company anticipates that few of its open and active audits will be resolved within the next 12 months. The Company is unable to make a reasonably reliable estimate as to when or if cash settlements with taxing authorities may occur. Although audit outcomes and the timing of audit payments are subject to significant uncertainty, the Company does not anticipate that the resolution of these tax matters or any events related thereto will result in a material change to its consolidated financial position, results of operations or cash flows.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CONTINGENCIES</w:t>
      </w:r>
    </w:p>
    <w:p>
      <w:pPr>
        <w:spacing w:after="0" w:line="175"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Management regularly evaluates the Company’s contingencies, including various lawsuits and claims which arise in the normal course of business, product and general liabilities, workers’ compensation, property losses and other liabilities for which the Company is self-insured or retains a high exposure limit. Self-insurance reserves are established based on actuarial loss estimates for specific individual claims plus actuarially estimated amounts for incurred but not reported claims and adverse development factors applied to existing claims. Legal costs incurred in connection with the resolution of claims, lawsuits and other contingencies generally are expensed as incurred. In the opinion of management, the assessment of contingencies is reasonable and related reserves, in the aggregate, are adequate; however, there can be no assurance that final resolution of these matters will not have a material effect on the Company’s financial condition, results of operations or cash flows.</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Regulatory Matters</w:t>
      </w:r>
    </w:p>
    <w:p>
      <w:pPr>
        <w:spacing w:after="0" w:line="17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At December 27, 2014, $5.8 million was accrued in the “Other liabilities” line in the Consolidated Balance Sheet for environmental actions, the majority of which are for site remediation. The amounts accrued are believed to be adequate to cover such known environmental exposures based on current facts and estimates of likely outcomes. Although it is reasonably possible that the costs to resolve such known environmental exposures will exceed the amounts accrued, any variation from accrued amounts is not expected to be material.</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color w:val="FFFFFF"/>
        </w:rPr>
      </w:pPr>
      <w:hyperlink w:anchor="page1">
        <w:r>
          <w:rPr>
            <w:rFonts w:ascii="Arial" w:cs="Arial" w:eastAsia="Arial" w:hAnsi="Arial"/>
            <w:sz w:val="18"/>
            <w:szCs w:val="18"/>
            <w:color w:val="FFFFFF"/>
          </w:rPr>
          <w:t>Table of Contents</w:t>
        </w:r>
      </w:hyperlink>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Other</w:t>
      </w:r>
    </w:p>
    <w:p>
      <w:pPr>
        <w:spacing w:after="0" w:line="225" w:lineRule="exact"/>
        <w:rPr>
          <w:sz w:val="20"/>
          <w:szCs w:val="20"/>
          <w:color w:val="auto"/>
        </w:rPr>
      </w:pPr>
    </w:p>
    <w:p>
      <w:pPr>
        <w:jc w:val="both"/>
        <w:ind w:firstLine="405"/>
        <w:spacing w:after="0" w:line="289" w:lineRule="auto"/>
        <w:rPr>
          <w:sz w:val="20"/>
          <w:szCs w:val="20"/>
          <w:color w:val="auto"/>
        </w:rPr>
      </w:pPr>
      <w:r>
        <w:rPr>
          <w:rFonts w:ascii="Arial" w:cs="Arial" w:eastAsia="Arial" w:hAnsi="Arial"/>
          <w:sz w:val="16"/>
          <w:szCs w:val="16"/>
          <w:color w:val="auto"/>
        </w:rPr>
        <w:t>The Company has been named as a defendant in a number of cases alleging injuries that the lawsuits claim resulted from exposure to asbestos-containing products, apparently based on the Company’s historic use of vermiculite in certain of its products. In many of these cases, the complaints are not specific about the plaintiffs’ contacts with the Company or its products. The cases vary but complaints in these cases generally seek unspecified monetary damages (actual, compensatory, consequential and punitive) from multiple defendants. The Company believes that the claims against it are without merit and is vigorously defending against them. It is not currently possible to reasonably estimate a probable loss, if any, associated with these cases and, accordingly, no reserves have been recorded in the Company’s Consolidated Financial Statements. The Company is reviewing agreements and policies that may provide insurance coverage or indemnity as to these claims and is pursuing coverage under some of these agreements and policies, although there can be no assurance of the results of these efforts. There can be no assurance that these cases, whether as a result of adverse outcomes or as a result of significant defense costs, will not have a material effect on the Company’s financial condition, results of operations or cash flows.</w:t>
      </w:r>
    </w:p>
    <w:p>
      <w:pPr>
        <w:spacing w:after="0" w:line="167"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7"/>
          <w:szCs w:val="17"/>
          <w:color w:val="auto"/>
        </w:rPr>
        <w:t xml:space="preserve">In connection with the sale of wild bird food products that were the subject of a voluntary recall in 2008, the Company has been named as a defendant in four putative class actions filed on and after June 27, 2012, which have now been consolidated in the United States District Court for the Southern District of California as </w:t>
      </w:r>
      <w:r>
        <w:rPr>
          <w:rFonts w:ascii="Arial" w:cs="Arial" w:eastAsia="Arial" w:hAnsi="Arial"/>
          <w:sz w:val="17"/>
          <w:szCs w:val="17"/>
          <w:i w:val="1"/>
          <w:iCs w:val="1"/>
          <w:color w:val="auto"/>
        </w:rPr>
        <w:t>In re Morning Song Bird Food Litigation</w:t>
      </w:r>
      <w:r>
        <w:rPr>
          <w:rFonts w:ascii="Arial" w:cs="Arial" w:eastAsia="Arial" w:hAnsi="Arial"/>
          <w:sz w:val="17"/>
          <w:szCs w:val="17"/>
          <w:color w:val="auto"/>
        </w:rPr>
        <w:t>, Lead Case No. 3:12-cv-01592-JAH-RBB. The plaintiffs allege various statutory and common law claims associated with the Company's sale of wild bird food products and a plea agreement entered into in previously pending government proceedings associated with such sales. The plaintiffs allege, among other things, a purported class action on behalf of all persons and entities in the United States who purchased certain bird food products. The plaintiffs assert hundreds of millions of dollars in monetary damages (actual, compensatory, consequential, punitive, and treble); reimbursement, restitution, and disgorgement for benefits unjustly conferred; injunctive and declaratory relief; pre-judgment and post-judgment interest; and costs and attorneys' fees. The Company disputes the plaintiffs' assertions and intends to vigorously defend the consolidated action. Given the early stages of the action, it is not currently possible to reasonably estimate a probable loss, if any, associated with the action and, accordingly, no reserves have been recorded in the Company's Consolidated Financial Statements with respect to the action. There can be no assurance that this action, whether as a result of an adverse outcome or as a result of significant defense costs, will not have a material adverse effect on the Company's financial condition, results of operations or cash flows.</w:t>
      </w:r>
    </w:p>
    <w:p>
      <w:pPr>
        <w:spacing w:after="0" w:line="126"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The Company is involved in other lawsuits and claims which arise in the normal course of business. These claims individually and in the aggregate are not expected to result in a material effect on the Company’s financial condition, results of operations or cash flows.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DERIVATIVE INSTRUMENTS AND HEDGING ACTIVITIES</w:t>
      </w:r>
    </w:p>
    <w:p>
      <w:pPr>
        <w:spacing w:after="0" w:line="14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Company is exposed to market risks, such as changes in interest rates, currency exchange rates and commodity prices. To manage a portion of the volatility related to these exposures, the Company enters into various financial transactions. The utilization of these financial transactions is governed by policies covering acceptable counterparty exposure, instrument types and other hedging practices. The Company does not hold or issue derivative financial instruments for speculative trading purposes.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Exchange Rate Risk Management</w:t>
      </w:r>
    </w:p>
    <w:p>
      <w:pPr>
        <w:spacing w:after="0" w:line="144"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The Company periodically uses foreign currency forward contracts to manage the exchange rate risk associated with intercompany loans with foreign subsidiaries that are denominated in local currencies. At December 27, 2014, the notional amount of outstanding foreign currency forward contracts was $144.5 million, with a fair value of $1.2 million. At December 28, 2013, the notional amount of outstanding foreign currency forward contracts was $103.7 million, with a fair value of $0.5 million. At September 30, 2014, the notional amount of outstanding foreign currency forward contracts was $149.0 million, with a negative fair value of $0.1 million. The fair value of foreign currency forward contracts is determined based on changes in spot rates. The outstanding contracts will mature during fiscal 2015.</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Interest Rate Risk Management</w:t>
      </w:r>
    </w:p>
    <w:p>
      <w:pPr>
        <w:spacing w:after="0" w:line="144"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color w:val="auto"/>
        </w:rPr>
        <w:t>The Company enters into interest rate swap agreements as a means to hedge its variable interest rate risk on debt instruments. The fair values are reflected in the Company’s Condensed Consolidated Balance Sheets. Net amounts to be received or paid under the swap agreements are reflected as adjustments to interest expense. Since the interest rate swap agreements have been designated as hedging instruments, unrealized gains or losses resulting from adjusting these swaps to fair value are recorded as elements of accumulated other comprehensive income (loss) (“AOCI”) within the Condensed Consolidated Balance Sheets except for any ineffective portion of the change in fair value, which is immediately recorded in interest expense. The fair value of the swap agreements is determined based on the present value of the estimated future net cash flows using implied rates in the applicable yield curve as of the valuation date. On December 20, 2013, in conjunction with entering into the third amended and restated senior secured credit facility, the Company recognized hedge ineffectiveness of $2.0 million which was recorded to interest expense.</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color w:val="FFFFFF"/>
        </w:rPr>
      </w:pPr>
      <w:hyperlink w:anchor="page1">
        <w:r>
          <w:rPr>
            <w:rFonts w:ascii="Arial" w:cs="Arial" w:eastAsia="Arial" w:hAnsi="Arial"/>
            <w:sz w:val="18"/>
            <w:szCs w:val="18"/>
            <w:color w:val="FFFFFF"/>
          </w:rPr>
          <w:t>Table of Contents</w:t>
        </w:r>
      </w:hyperlink>
    </w:p>
    <w:p>
      <w:pPr>
        <w:spacing w:after="0" w:line="387"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The Company has outstanding interest rate swap agreements with major financial institutions that effectively convert a portion of the Company’s variable-rate debt to a fixed rate. The swap agreements had a total U.S. dollar equivalent notional amount of $1,300.0 million at December 27, 2014 and September 30, 2014, and $1,100.0 million at December 28, 2013. Included in the AOCI balance at December 27, 2014 was a loss of $6.1 million related to interest rate swap agreements that is expected to be reclassified to earnings during the next 12 months, consistent with the timing of the underlying hedged transactions.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Commodity Price Risk Management</w:t>
      </w:r>
    </w:p>
    <w:p>
      <w:pPr>
        <w:spacing w:after="0" w:line="144"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The Company had outstanding hedging arrangements at December 27, 2014 designed to fix the price of a portion of its projected future urea requirements. The contracts are designated as hedges of the Company’s exposure to future cash flow fluctuations associated with the cost of urea. The objective of the hedges is to mitigate the earnings and cash flow volatility attributable to the risk of changing prices. Unrealized gains or losses in the fair value of these contracts are recorded to AOCI within the Condensed Consolidated Balance Sheets. Realized gains or losses remain as a component of AOCI until the related inventory is sold. Upon sale of the underlying inventory, the gain or loss is reclassified to cost of sales. Included in the AOCI balance at December 27, 2014 was a gain of $0.5 million related to urea derivatives that is expected to be reclassified to earnings during the next 12 months, consistent with the timing of the underlying hedged transactions.</w:t>
      </w:r>
    </w:p>
    <w:p>
      <w:pPr>
        <w:spacing w:after="0" w:line="108"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The Company also uses derivatives to partially mitigate the effect of fluctuating diesel and gasoline costs on operating results. Any such derivatives that do not qualify for hedge accounting treatment in accordance with GAAP are recorded at fair value, with unrealized gains and losses on open contracts and realized gains or losses on settled contracts recorded as an element of cost of sales. Unrealized gains or losses in the fair value of contracts that do qualify for hedge accounting are recorded in AOCI except for any ineffective portion of the change in fair value, which is immediately recorded in earnings. For the effective portion of the change in fair value, realized gains or losses remain as a component of AOCI until the related fuel is consumed. Upon consumption of the fuel, the gain or loss is reclassified to cost of sales. At December 27, 2014 there were no amounts included within AOCI.</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 had the following outstanding commodity contracts that were entered into to hedge forecasted purchases: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20" w:type="dxa"/>
            <w:vAlign w:val="bottom"/>
            <w:gridSpan w:val="3"/>
          </w:tcPr>
          <w:p>
            <w:pPr>
              <w:ind w:left="40"/>
              <w:spacing w:after="0"/>
              <w:rPr>
                <w:sz w:val="20"/>
                <w:szCs w:val="20"/>
                <w:color w:val="auto"/>
              </w:rPr>
            </w:pPr>
            <w:r>
              <w:rPr>
                <w:rFonts w:ascii="Arial" w:cs="Arial" w:eastAsia="Arial" w:hAnsi="Arial"/>
                <w:sz w:val="14"/>
                <w:szCs w:val="14"/>
                <w:b w:val="1"/>
                <w:bCs w:val="1"/>
                <w:color w:val="auto"/>
              </w:rPr>
              <w:t>Commodity</w:t>
            </w:r>
          </w:p>
        </w:tc>
        <w:tc>
          <w:tcPr>
            <w:tcW w:w="21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9"/>
              </w:rPr>
              <w:t>DECEMBER 27, 2014</w:t>
            </w:r>
          </w:p>
        </w:tc>
        <w:tc>
          <w:tcPr>
            <w:tcW w:w="21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DECEMBER 28, 2013</w:t>
            </w:r>
          </w:p>
        </w:tc>
        <w:tc>
          <w:tcPr>
            <w:tcW w:w="2040" w:type="dxa"/>
            <w:vAlign w:val="bottom"/>
          </w:tcPr>
          <w:p>
            <w:pPr>
              <w:jc w:val="center"/>
              <w:spacing w:after="0"/>
              <w:rPr>
                <w:sz w:val="20"/>
                <w:szCs w:val="20"/>
                <w:color w:val="auto"/>
              </w:rPr>
            </w:pPr>
            <w:r>
              <w:rPr>
                <w:rFonts w:ascii="Arial" w:cs="Arial" w:eastAsia="Arial" w:hAnsi="Arial"/>
                <w:sz w:val="14"/>
                <w:szCs w:val="14"/>
                <w:b w:val="1"/>
                <w:bCs w:val="1"/>
                <w:color w:val="auto"/>
                <w:w w:val="97"/>
              </w:rPr>
              <w:t>SEPTEMBER 30, 2014</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20" w:type="dxa"/>
            <w:vAlign w:val="bottom"/>
            <w:tcBorders>
              <w:top w:val="single" w:sz="8" w:color="auto"/>
              <w:bottom w:val="single" w:sz="8" w:color="CCEEFF"/>
            </w:tcBorders>
          </w:tcPr>
          <w:p>
            <w:pPr>
              <w:spacing w:after="0" w:line="20" w:lineRule="exact"/>
              <w:rPr>
                <w:sz w:val="1"/>
                <w:szCs w:val="1"/>
                <w:color w:val="auto"/>
              </w:rPr>
            </w:pPr>
          </w:p>
        </w:tc>
        <w:tc>
          <w:tcPr>
            <w:tcW w:w="4260" w:type="dxa"/>
            <w:vAlign w:val="bottom"/>
            <w:tcBorders>
              <w:bottom w:val="single" w:sz="8" w:color="CCEEFF"/>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r>
      <w:tr>
        <w:trPr>
          <w:trHeight w:val="244"/>
        </w:trPr>
        <w:tc>
          <w:tcPr>
            <w:tcW w:w="50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Urea</w:t>
            </w:r>
          </w:p>
        </w:tc>
        <w:tc>
          <w:tcPr>
            <w:tcW w:w="218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89"/>
              </w:rPr>
              <w:t>58,500 tons</w:t>
            </w:r>
          </w:p>
        </w:tc>
        <w:tc>
          <w:tcPr>
            <w:tcW w:w="21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25,500 tons</w:t>
            </w:r>
          </w:p>
        </w:tc>
        <w:tc>
          <w:tcPr>
            <w:tcW w:w="20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58,500 tons</w:t>
            </w:r>
          </w:p>
        </w:tc>
      </w:tr>
      <w:tr>
        <w:trPr>
          <w:trHeight w:val="243"/>
        </w:trPr>
        <w:tc>
          <w:tcPr>
            <w:tcW w:w="5020" w:type="dxa"/>
            <w:vAlign w:val="bottom"/>
            <w:gridSpan w:val="3"/>
          </w:tcPr>
          <w:p>
            <w:pPr>
              <w:ind w:left="40"/>
              <w:spacing w:after="0"/>
              <w:rPr>
                <w:sz w:val="20"/>
                <w:szCs w:val="20"/>
                <w:color w:val="auto"/>
              </w:rPr>
            </w:pPr>
            <w:r>
              <w:rPr>
                <w:rFonts w:ascii="Arial" w:cs="Arial" w:eastAsia="Arial" w:hAnsi="Arial"/>
                <w:sz w:val="18"/>
                <w:szCs w:val="18"/>
                <w:color w:val="auto"/>
              </w:rPr>
              <w:t>Diesel</w:t>
            </w:r>
          </w:p>
        </w:tc>
        <w:tc>
          <w:tcPr>
            <w:tcW w:w="218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6,930,000 gallons</w:t>
            </w:r>
          </w:p>
        </w:tc>
        <w:tc>
          <w:tcPr>
            <w:tcW w:w="216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4,830,000 gallons</w:t>
            </w:r>
          </w:p>
        </w:tc>
        <w:tc>
          <w:tcPr>
            <w:tcW w:w="2040" w:type="dxa"/>
            <w:vAlign w:val="bottom"/>
          </w:tcPr>
          <w:p>
            <w:pPr>
              <w:jc w:val="center"/>
              <w:spacing w:after="0"/>
              <w:rPr>
                <w:sz w:val="20"/>
                <w:szCs w:val="20"/>
                <w:color w:val="auto"/>
              </w:rPr>
            </w:pPr>
            <w:r>
              <w:rPr>
                <w:rFonts w:ascii="Arial" w:cs="Arial" w:eastAsia="Arial" w:hAnsi="Arial"/>
                <w:sz w:val="18"/>
                <w:szCs w:val="18"/>
                <w:color w:val="auto"/>
                <w:w w:val="90"/>
              </w:rPr>
              <w:t>5,250,000 gallons</w:t>
            </w:r>
          </w:p>
        </w:tc>
      </w:tr>
      <w:tr>
        <w:trPr>
          <w:trHeight w:val="27"/>
        </w:trPr>
        <w:tc>
          <w:tcPr>
            <w:tcW w:w="40" w:type="dxa"/>
            <w:vAlign w:val="bottom"/>
          </w:tcPr>
          <w:p>
            <w:pPr>
              <w:spacing w:after="0"/>
              <w:rPr>
                <w:sz w:val="2"/>
                <w:szCs w:val="2"/>
                <w:color w:val="auto"/>
              </w:rPr>
            </w:pPr>
          </w:p>
        </w:tc>
        <w:tc>
          <w:tcPr>
            <w:tcW w:w="720" w:type="dxa"/>
            <w:vAlign w:val="bottom"/>
          </w:tcPr>
          <w:p>
            <w:pPr>
              <w:spacing w:after="0"/>
              <w:rPr>
                <w:sz w:val="2"/>
                <w:szCs w:val="2"/>
                <w:color w:val="auto"/>
              </w:rPr>
            </w:pPr>
          </w:p>
        </w:tc>
        <w:tc>
          <w:tcPr>
            <w:tcW w:w="426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250"/>
        </w:trPr>
        <w:tc>
          <w:tcPr>
            <w:tcW w:w="50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Gasoline</w:t>
            </w:r>
          </w:p>
        </w:tc>
        <w:tc>
          <w:tcPr>
            <w:tcW w:w="218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1"/>
              </w:rPr>
              <w:t>462,000 gallons</w:t>
            </w:r>
          </w:p>
        </w:tc>
        <w:tc>
          <w:tcPr>
            <w:tcW w:w="21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672,000 gallons</w:t>
            </w:r>
          </w:p>
        </w:tc>
        <w:tc>
          <w:tcPr>
            <w:tcW w:w="20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462,000 gallons</w:t>
            </w:r>
          </w:p>
        </w:tc>
      </w:tr>
      <w:tr>
        <w:trPr>
          <w:trHeight w:val="243"/>
        </w:trPr>
        <w:tc>
          <w:tcPr>
            <w:tcW w:w="5020" w:type="dxa"/>
            <w:vAlign w:val="bottom"/>
            <w:gridSpan w:val="3"/>
          </w:tcPr>
          <w:p>
            <w:pPr>
              <w:ind w:left="40"/>
              <w:spacing w:after="0"/>
              <w:rPr>
                <w:sz w:val="20"/>
                <w:szCs w:val="20"/>
                <w:color w:val="auto"/>
              </w:rPr>
            </w:pPr>
            <w:r>
              <w:rPr>
                <w:rFonts w:ascii="Arial" w:cs="Arial" w:eastAsia="Arial" w:hAnsi="Arial"/>
                <w:sz w:val="18"/>
                <w:szCs w:val="18"/>
                <w:color w:val="auto"/>
              </w:rPr>
              <w:t>Heating Oil</w:t>
            </w:r>
          </w:p>
        </w:tc>
        <w:tc>
          <w:tcPr>
            <w:tcW w:w="218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7,728,000 gallons</w:t>
            </w:r>
          </w:p>
        </w:tc>
        <w:tc>
          <w:tcPr>
            <w:tcW w:w="216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4,494,000 gallons</w:t>
            </w:r>
          </w:p>
        </w:tc>
        <w:tc>
          <w:tcPr>
            <w:tcW w:w="2040" w:type="dxa"/>
            <w:vAlign w:val="bottom"/>
          </w:tcPr>
          <w:p>
            <w:pPr>
              <w:jc w:val="center"/>
              <w:spacing w:after="0"/>
              <w:rPr>
                <w:sz w:val="20"/>
                <w:szCs w:val="20"/>
                <w:color w:val="auto"/>
              </w:rPr>
            </w:pPr>
            <w:r>
              <w:rPr>
                <w:rFonts w:ascii="Arial" w:cs="Arial" w:eastAsia="Arial" w:hAnsi="Arial"/>
                <w:sz w:val="18"/>
                <w:szCs w:val="18"/>
                <w:color w:val="auto"/>
                <w:w w:val="90"/>
              </w:rPr>
              <w:t>4,494,000 gallons</w:t>
            </w:r>
          </w:p>
        </w:tc>
      </w:tr>
      <w:tr>
        <w:trPr>
          <w:trHeight w:val="486"/>
        </w:trPr>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2060" w:type="dxa"/>
            <w:vAlign w:val="bottom"/>
          </w:tcPr>
          <w:p>
            <w:pPr>
              <w:jc w:val="right"/>
              <w:ind w:right="1193"/>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4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color w:val="FFFFFF"/>
        </w:rPr>
      </w:pPr>
      <w:hyperlink w:anchor="page1">
        <w:r>
          <w:rPr>
            <w:rFonts w:ascii="Arial" w:cs="Arial" w:eastAsia="Arial" w:hAnsi="Arial"/>
            <w:sz w:val="18"/>
            <w:szCs w:val="18"/>
            <w:color w:val="FFFFFF"/>
          </w:rPr>
          <w:t>Table of Contents</w:t>
        </w:r>
      </w:hyperlink>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Fair Values of Derivative Instruments</w:t>
      </w:r>
    </w:p>
    <w:p>
      <w:pPr>
        <w:spacing w:after="0" w:line="14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fair values of the Company’s derivative instruments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b w:val="1"/>
                <w:bCs w:val="1"/>
                <w:color w:val="auto"/>
              </w:rPr>
              <w:t>ASSETS / (LIABILITIES)</w:t>
            </w:r>
          </w:p>
        </w:tc>
        <w:tc>
          <w:tcPr>
            <w:tcW w:w="9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gridSpan w:val="4"/>
          </w:tcPr>
          <w:p>
            <w:pPr>
              <w:jc w:val="center"/>
              <w:ind w:right="200"/>
              <w:spacing w:after="0" w:line="153" w:lineRule="exact"/>
              <w:rPr>
                <w:sz w:val="20"/>
                <w:szCs w:val="20"/>
                <w:color w:val="auto"/>
              </w:rPr>
            </w:pPr>
            <w:r>
              <w:rPr>
                <w:rFonts w:ascii="Arial" w:cs="Arial" w:eastAsia="Arial" w:hAnsi="Arial"/>
                <w:sz w:val="14"/>
                <w:szCs w:val="14"/>
                <w:b w:val="1"/>
                <w:bCs w:val="1"/>
                <w:color w:val="auto"/>
              </w:rPr>
              <w:t>DECEMBER 27,</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gridSpan w:val="2"/>
          </w:tcPr>
          <w:p>
            <w:pPr>
              <w:jc w:val="center"/>
              <w:ind w:right="200"/>
              <w:spacing w:after="0" w:line="153" w:lineRule="exact"/>
              <w:rPr>
                <w:sz w:val="20"/>
                <w:szCs w:val="20"/>
                <w:color w:val="auto"/>
              </w:rPr>
            </w:pPr>
            <w:r>
              <w:rPr>
                <w:rFonts w:ascii="Arial" w:cs="Arial" w:eastAsia="Arial" w:hAnsi="Arial"/>
                <w:sz w:val="14"/>
                <w:szCs w:val="14"/>
                <w:b w:val="1"/>
                <w:bCs w:val="1"/>
                <w:color w:val="auto"/>
              </w:rPr>
              <w:t>DECEMBER 28,</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60" w:type="dxa"/>
            <w:vAlign w:val="bottom"/>
            <w:gridSpan w:val="3"/>
          </w:tcPr>
          <w:p>
            <w:pPr>
              <w:jc w:val="right"/>
              <w:ind w:right="200"/>
              <w:spacing w:after="0" w:line="153" w:lineRule="exact"/>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92"/>
        </w:trPr>
        <w:tc>
          <w:tcPr>
            <w:tcW w:w="36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DERIVATIVES DESIGNATED AS HEDGING</w:t>
            </w:r>
          </w:p>
        </w:tc>
        <w:tc>
          <w:tcPr>
            <w:tcW w:w="12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2014</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2013</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58"/>
        </w:trPr>
        <w:tc>
          <w:tcPr>
            <w:tcW w:w="3660" w:type="dxa"/>
            <w:vAlign w:val="bottom"/>
            <w:gridSpan w:val="2"/>
            <w:vMerge w:val="continue"/>
          </w:tcPr>
          <w:p>
            <w:pPr>
              <w:spacing w:after="0"/>
              <w:rPr>
                <w:sz w:val="5"/>
                <w:szCs w:val="5"/>
                <w:color w:val="auto"/>
              </w:rPr>
            </w:pPr>
          </w:p>
        </w:tc>
        <w:tc>
          <w:tcPr>
            <w:tcW w:w="31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BALANCE SHEET LOCATION</w:t>
            </w:r>
          </w:p>
        </w:tc>
        <w:tc>
          <w:tcPr>
            <w:tcW w:w="1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32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9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3660" w:type="dxa"/>
            <w:vAlign w:val="bottom"/>
            <w:gridSpan w:val="2"/>
          </w:tcPr>
          <w:p>
            <w:pPr>
              <w:ind w:left="40"/>
              <w:spacing w:after="0"/>
              <w:rPr>
                <w:sz w:val="20"/>
                <w:szCs w:val="20"/>
                <w:color w:val="auto"/>
              </w:rPr>
            </w:pPr>
            <w:r>
              <w:rPr>
                <w:rFonts w:ascii="Arial" w:cs="Arial" w:eastAsia="Arial" w:hAnsi="Arial"/>
                <w:sz w:val="14"/>
                <w:szCs w:val="14"/>
                <w:b w:val="1"/>
                <w:bCs w:val="1"/>
                <w:color w:val="auto"/>
              </w:rPr>
              <w:t>INSTRUMENTS</w:t>
            </w:r>
          </w:p>
        </w:tc>
        <w:tc>
          <w:tcPr>
            <w:tcW w:w="310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5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28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20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320" w:type="dxa"/>
            <w:vAlign w:val="bottom"/>
            <w:tcBorders>
              <w:top w:val="single" w:sz="8" w:color="auto"/>
            </w:tcBorders>
            <w:gridSpan w:val="2"/>
          </w:tcPr>
          <w:p>
            <w:pPr>
              <w:jc w:val="center"/>
              <w:ind w:right="160"/>
              <w:spacing w:after="0"/>
              <w:rPr>
                <w:sz w:val="20"/>
                <w:szCs w:val="20"/>
                <w:color w:val="auto"/>
              </w:rPr>
            </w:pPr>
            <w:r>
              <w:rPr>
                <w:rFonts w:ascii="Arial" w:cs="Arial" w:eastAsia="Arial" w:hAnsi="Arial"/>
                <w:sz w:val="14"/>
                <w:szCs w:val="14"/>
                <w:b w:val="1"/>
                <w:bCs w:val="1"/>
                <w:color w:val="auto"/>
                <w:w w:val="96"/>
              </w:rPr>
              <w:t>(In millions)</w:t>
            </w:r>
          </w:p>
        </w:tc>
        <w:tc>
          <w:tcPr>
            <w:tcW w:w="10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920" w:type="dxa"/>
            <w:vAlign w:val="bottom"/>
            <w:tcBorders>
              <w:top w:val="single" w:sz="8" w:color="auto"/>
            </w:tcBorders>
          </w:tcPr>
          <w:p>
            <w:pPr>
              <w:spacing w:after="0"/>
              <w:rPr>
                <w:sz w:val="22"/>
                <w:szCs w:val="22"/>
                <w:color w:val="auto"/>
              </w:rPr>
            </w:pPr>
          </w:p>
        </w:tc>
        <w:tc>
          <w:tcPr>
            <w:tcW w:w="44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36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Interest rate swap agreements</w:t>
            </w:r>
          </w:p>
        </w:tc>
        <w:tc>
          <w:tcPr>
            <w:tcW w:w="31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2.2</w:t>
            </w:r>
          </w:p>
        </w:tc>
        <w:tc>
          <w:tcPr>
            <w:tcW w:w="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740"/>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43"/>
        </w:trPr>
        <w:tc>
          <w:tcPr>
            <w:tcW w:w="3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100" w:type="dxa"/>
            <w:vAlign w:val="bottom"/>
            <w:gridSpan w:val="3"/>
          </w:tcPr>
          <w:p>
            <w:pPr>
              <w:ind w:left="40"/>
              <w:spacing w:after="0"/>
              <w:rPr>
                <w:sz w:val="20"/>
                <w:szCs w:val="20"/>
                <w:color w:val="auto"/>
              </w:rPr>
            </w:pPr>
            <w:r>
              <w:rPr>
                <w:rFonts w:ascii="Arial" w:cs="Arial" w:eastAsia="Arial" w:hAnsi="Arial"/>
                <w:sz w:val="18"/>
                <w:szCs w:val="18"/>
                <w:color w:val="auto"/>
              </w:rPr>
              <w:t>Other current liabilities</w:t>
            </w:r>
          </w:p>
        </w:tc>
        <w:tc>
          <w:tcPr>
            <w:tcW w:w="160" w:type="dxa"/>
            <w:vAlign w:val="bottom"/>
          </w:tcPr>
          <w:p>
            <w:pPr>
              <w:spacing w:after="0"/>
              <w:rPr>
                <w:sz w:val="21"/>
                <w:szCs w:val="21"/>
                <w:color w:val="auto"/>
              </w:rPr>
            </w:pPr>
          </w:p>
        </w:tc>
        <w:tc>
          <w:tcPr>
            <w:tcW w:w="1320" w:type="dxa"/>
            <w:vAlign w:val="bottom"/>
            <w:gridSpan w:val="3"/>
          </w:tcPr>
          <w:p>
            <w:pPr>
              <w:jc w:val="right"/>
              <w:ind w:right="20"/>
              <w:spacing w:after="0"/>
              <w:rPr>
                <w:sz w:val="20"/>
                <w:szCs w:val="20"/>
                <w:color w:val="auto"/>
              </w:rPr>
            </w:pPr>
            <w:r>
              <w:rPr>
                <w:rFonts w:ascii="Arial" w:cs="Arial" w:eastAsia="Arial" w:hAnsi="Arial"/>
                <w:sz w:val="18"/>
                <w:szCs w:val="18"/>
                <w:color w:val="auto"/>
              </w:rPr>
              <w:t>(10.2)</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1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Other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(5.2)</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43"/>
        </w:trPr>
        <w:tc>
          <w:tcPr>
            <w:tcW w:w="3660" w:type="dxa"/>
            <w:vAlign w:val="bottom"/>
            <w:gridSpan w:val="2"/>
          </w:tcPr>
          <w:p>
            <w:pPr>
              <w:ind w:left="380"/>
              <w:spacing w:after="0"/>
              <w:rPr>
                <w:sz w:val="20"/>
                <w:szCs w:val="20"/>
                <w:color w:val="auto"/>
              </w:rPr>
            </w:pPr>
            <w:r>
              <w:rPr>
                <w:rFonts w:ascii="Arial" w:cs="Arial" w:eastAsia="Arial" w:hAnsi="Arial"/>
                <w:sz w:val="18"/>
                <w:szCs w:val="18"/>
                <w:color w:val="auto"/>
              </w:rPr>
              <w:t>Commodity hedging instruments</w:t>
            </w:r>
          </w:p>
        </w:tc>
        <w:tc>
          <w:tcPr>
            <w:tcW w:w="3100" w:type="dxa"/>
            <w:vAlign w:val="bottom"/>
            <w:gridSpan w:val="3"/>
          </w:tcPr>
          <w:p>
            <w:pPr>
              <w:ind w:left="40"/>
              <w:spacing w:after="0"/>
              <w:rPr>
                <w:sz w:val="20"/>
                <w:szCs w:val="20"/>
                <w:color w:val="auto"/>
              </w:rPr>
            </w:pPr>
            <w:r>
              <w:rPr>
                <w:rFonts w:ascii="Arial" w:cs="Arial" w:eastAsia="Arial" w:hAnsi="Arial"/>
                <w:sz w:val="18"/>
                <w:szCs w:val="18"/>
                <w:color w:val="auto"/>
              </w:rPr>
              <w:t>Prepaid and other current assets</w:t>
            </w:r>
          </w:p>
        </w:tc>
        <w:tc>
          <w:tcPr>
            <w:tcW w:w="160" w:type="dxa"/>
            <w:vAlign w:val="bottom"/>
          </w:tcPr>
          <w:p>
            <w:pPr>
              <w:spacing w:after="0"/>
              <w:rPr>
                <w:sz w:val="21"/>
                <w:szCs w:val="21"/>
                <w:color w:val="auto"/>
              </w:rPr>
            </w:pPr>
          </w:p>
        </w:tc>
        <w:tc>
          <w:tcPr>
            <w:tcW w:w="1320" w:type="dxa"/>
            <w:vAlign w:val="bottom"/>
            <w:gridSpan w:val="3"/>
          </w:tcPr>
          <w:p>
            <w:pPr>
              <w:jc w:val="right"/>
              <w:ind w:right="80"/>
              <w:spacing w:after="0"/>
              <w:rPr>
                <w:sz w:val="20"/>
                <w:szCs w:val="20"/>
                <w:color w:val="auto"/>
              </w:rPr>
            </w:pPr>
            <w:r>
              <w:rPr>
                <w:rFonts w:ascii="Arial" w:cs="Arial" w:eastAsia="Arial" w:hAnsi="Arial"/>
                <w:sz w:val="18"/>
                <w:szCs w:val="18"/>
                <w:color w:val="auto"/>
              </w:rPr>
              <w:t>0.4</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1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Other current liabilities</w:t>
            </w: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37"/>
        </w:trPr>
        <w:tc>
          <w:tcPr>
            <w:tcW w:w="6760" w:type="dxa"/>
            <w:vAlign w:val="bottom"/>
            <w:gridSpan w:val="5"/>
          </w:tcPr>
          <w:p>
            <w:pPr>
              <w:ind w:left="40"/>
              <w:spacing w:after="0"/>
              <w:rPr>
                <w:sz w:val="20"/>
                <w:szCs w:val="20"/>
                <w:color w:val="auto"/>
              </w:rPr>
            </w:pPr>
            <w:r>
              <w:rPr>
                <w:rFonts w:ascii="Arial" w:cs="Arial" w:eastAsia="Arial" w:hAnsi="Arial"/>
                <w:sz w:val="18"/>
                <w:szCs w:val="18"/>
                <w:color w:val="auto"/>
              </w:rPr>
              <w:t>Total derivatives designated as hedging instruments</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(12.8)</w:t>
            </w: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740"/>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7"/>
        </w:trPr>
        <w:tc>
          <w:tcPr>
            <w:tcW w:w="36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DERIVATIVES NOT DESIGNATED AS</w:t>
            </w:r>
          </w:p>
        </w:tc>
        <w:tc>
          <w:tcPr>
            <w:tcW w:w="29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BALANCE SHEET LOCATION</w:t>
            </w:r>
          </w:p>
        </w:tc>
        <w:tc>
          <w:tcPr>
            <w:tcW w:w="120" w:type="dxa"/>
            <w:vAlign w:val="bottom"/>
            <w:vMerge w:val="restart"/>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660" w:type="dxa"/>
            <w:vAlign w:val="bottom"/>
            <w:gridSpan w:val="2"/>
            <w:vMerge w:val="continue"/>
          </w:tcPr>
          <w:p>
            <w:pPr>
              <w:spacing w:after="0" w:line="20" w:lineRule="exact"/>
              <w:rPr>
                <w:sz w:val="1"/>
                <w:szCs w:val="1"/>
                <w:color w:val="auto"/>
              </w:rPr>
            </w:pPr>
          </w:p>
        </w:tc>
        <w:tc>
          <w:tcPr>
            <w:tcW w:w="2980" w:type="dxa"/>
            <w:vAlign w:val="bottom"/>
            <w:gridSpan w:val="2"/>
            <w:vMerge w:val="continue"/>
          </w:tcPr>
          <w:p>
            <w:pPr>
              <w:spacing w:after="0" w:line="20" w:lineRule="exact"/>
              <w:rPr>
                <w:sz w:val="1"/>
                <w:szCs w:val="1"/>
                <w:color w:val="auto"/>
              </w:rPr>
            </w:pPr>
          </w:p>
        </w:tc>
        <w:tc>
          <w:tcPr>
            <w:tcW w:w="120" w:type="dxa"/>
            <w:vAlign w:val="bottom"/>
            <w:vMerge w:val="continue"/>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3"/>
        </w:trPr>
        <w:tc>
          <w:tcPr>
            <w:tcW w:w="3660" w:type="dxa"/>
            <w:vAlign w:val="bottom"/>
            <w:gridSpan w:val="2"/>
            <w:vMerge w:val="continue"/>
          </w:tcPr>
          <w:p>
            <w:pPr>
              <w:spacing w:after="0"/>
              <w:rPr>
                <w:sz w:val="24"/>
                <w:szCs w:val="24"/>
                <w:color w:val="auto"/>
              </w:rPr>
            </w:pPr>
          </w:p>
        </w:tc>
        <w:tc>
          <w:tcPr>
            <w:tcW w:w="2980" w:type="dxa"/>
            <w:vAlign w:val="bottom"/>
            <w:gridSpan w:val="2"/>
            <w:vMerge w:val="continue"/>
          </w:tcPr>
          <w:p>
            <w:pPr>
              <w:spacing w:after="0"/>
              <w:rPr>
                <w:sz w:val="24"/>
                <w:szCs w:val="24"/>
                <w:color w:val="auto"/>
              </w:rPr>
            </w:pPr>
          </w:p>
        </w:tc>
        <w:tc>
          <w:tcPr>
            <w:tcW w:w="1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35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HEDGING INSTRUMENTS</w:t>
            </w:r>
          </w:p>
        </w:tc>
        <w:tc>
          <w:tcPr>
            <w:tcW w:w="120" w:type="dxa"/>
            <w:vAlign w:val="bottom"/>
            <w:tcBorders>
              <w:bottom w:val="single" w:sz="8" w:color="CCEEFF"/>
            </w:tcBorders>
          </w:tcPr>
          <w:p>
            <w:pPr>
              <w:spacing w:after="0"/>
              <w:rPr>
                <w:sz w:val="16"/>
                <w:szCs w:val="16"/>
                <w:color w:val="auto"/>
              </w:rPr>
            </w:pPr>
          </w:p>
        </w:tc>
        <w:tc>
          <w:tcPr>
            <w:tcW w:w="298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12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12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920" w:type="dxa"/>
            <w:vAlign w:val="bottom"/>
            <w:tcBorders>
              <w:bottom w:val="single" w:sz="8" w:color="CCEEFF"/>
            </w:tcBorders>
          </w:tcPr>
          <w:p>
            <w:pPr>
              <w:spacing w:after="0"/>
              <w:rPr>
                <w:sz w:val="16"/>
                <w:szCs w:val="16"/>
                <w:color w:val="auto"/>
              </w:rPr>
            </w:pPr>
          </w:p>
        </w:tc>
        <w:tc>
          <w:tcPr>
            <w:tcW w:w="4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6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Foreign currency forward contracts</w:t>
            </w:r>
          </w:p>
        </w:tc>
        <w:tc>
          <w:tcPr>
            <w:tcW w:w="31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Prepaid and other current assets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1.2</w:t>
            </w: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40"/>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100" w:type="dxa"/>
            <w:vAlign w:val="bottom"/>
            <w:gridSpan w:val="3"/>
          </w:tcPr>
          <w:p>
            <w:pPr>
              <w:ind w:left="40"/>
              <w:spacing w:after="0"/>
              <w:rPr>
                <w:sz w:val="20"/>
                <w:szCs w:val="20"/>
                <w:color w:val="auto"/>
              </w:rPr>
            </w:pPr>
            <w:r>
              <w:rPr>
                <w:rFonts w:ascii="Arial" w:cs="Arial" w:eastAsia="Arial" w:hAnsi="Arial"/>
                <w:sz w:val="18"/>
                <w:szCs w:val="18"/>
                <w:color w:val="auto"/>
              </w:rPr>
              <w:t>Other current liabilities</w:t>
            </w:r>
          </w:p>
        </w:tc>
        <w:tc>
          <w:tcPr>
            <w:tcW w:w="160" w:type="dxa"/>
            <w:vAlign w:val="bottom"/>
          </w:tcPr>
          <w:p>
            <w:pPr>
              <w:spacing w:after="0"/>
              <w:rPr>
                <w:sz w:val="21"/>
                <w:szCs w:val="21"/>
                <w:color w:val="auto"/>
              </w:rPr>
            </w:pPr>
          </w:p>
        </w:tc>
        <w:tc>
          <w:tcPr>
            <w:tcW w:w="1340" w:type="dxa"/>
            <w:vAlign w:val="bottom"/>
            <w:gridSpan w:val="4"/>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Commodity hedging instruments</w:t>
            </w:r>
          </w:p>
        </w:tc>
        <w:tc>
          <w:tcPr>
            <w:tcW w:w="31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Prepaid and other current assets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100" w:type="dxa"/>
            <w:vAlign w:val="bottom"/>
            <w:gridSpan w:val="3"/>
          </w:tcPr>
          <w:p>
            <w:pPr>
              <w:ind w:left="40"/>
              <w:spacing w:after="0"/>
              <w:rPr>
                <w:sz w:val="20"/>
                <w:szCs w:val="20"/>
                <w:color w:val="auto"/>
              </w:rPr>
            </w:pPr>
            <w:r>
              <w:rPr>
                <w:rFonts w:ascii="Arial" w:cs="Arial" w:eastAsia="Arial" w:hAnsi="Arial"/>
                <w:sz w:val="18"/>
                <w:szCs w:val="18"/>
                <w:color w:val="auto"/>
              </w:rPr>
              <w:t>Other current liabilities</w:t>
            </w:r>
          </w:p>
        </w:tc>
        <w:tc>
          <w:tcPr>
            <w:tcW w:w="160" w:type="dxa"/>
            <w:vAlign w:val="bottom"/>
          </w:tcPr>
          <w:p>
            <w:pPr>
              <w:spacing w:after="0"/>
              <w:rPr>
                <w:sz w:val="21"/>
                <w:szCs w:val="21"/>
                <w:color w:val="auto"/>
              </w:rPr>
            </w:pPr>
          </w:p>
        </w:tc>
        <w:tc>
          <w:tcPr>
            <w:tcW w:w="1320" w:type="dxa"/>
            <w:vAlign w:val="bottom"/>
            <w:gridSpan w:val="3"/>
          </w:tcPr>
          <w:p>
            <w:pPr>
              <w:jc w:val="right"/>
              <w:ind w:right="20"/>
              <w:spacing w:after="0"/>
              <w:rPr>
                <w:sz w:val="20"/>
                <w:szCs w:val="20"/>
                <w:color w:val="auto"/>
              </w:rPr>
            </w:pPr>
            <w:r>
              <w:rPr>
                <w:rFonts w:ascii="Arial" w:cs="Arial" w:eastAsia="Arial" w:hAnsi="Arial"/>
                <w:sz w:val="18"/>
                <w:szCs w:val="18"/>
                <w:color w:val="auto"/>
              </w:rPr>
              <w:t>(9.1)</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gridSpan w:val="2"/>
          </w:tcPr>
          <w:p>
            <w:pPr>
              <w:spacing w:after="0"/>
              <w:rPr>
                <w:sz w:val="2"/>
                <w:szCs w:val="2"/>
                <w:color w:val="auto"/>
              </w:rPr>
            </w:pPr>
          </w:p>
        </w:tc>
        <w:tc>
          <w:tcPr>
            <w:tcW w:w="28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76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Total derivatives not designated as hedging instruments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(7.9)</w:t>
            </w:r>
          </w:p>
        </w:tc>
        <w:tc>
          <w:tcPr>
            <w:tcW w:w="2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740"/>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3660" w:type="dxa"/>
            <w:vAlign w:val="bottom"/>
            <w:gridSpan w:val="2"/>
          </w:tcPr>
          <w:p>
            <w:pPr>
              <w:ind w:left="40"/>
              <w:spacing w:after="0"/>
              <w:rPr>
                <w:sz w:val="20"/>
                <w:szCs w:val="20"/>
                <w:color w:val="auto"/>
              </w:rPr>
            </w:pPr>
            <w:r>
              <w:rPr>
                <w:rFonts w:ascii="Arial" w:cs="Arial" w:eastAsia="Arial" w:hAnsi="Arial"/>
                <w:sz w:val="18"/>
                <w:szCs w:val="18"/>
                <w:color w:val="auto"/>
              </w:rPr>
              <w:t>Total derivatives</w:t>
            </w:r>
          </w:p>
        </w:tc>
        <w:tc>
          <w:tcPr>
            <w:tcW w:w="120" w:type="dxa"/>
            <w:vAlign w:val="bottom"/>
          </w:tcPr>
          <w:p>
            <w:pPr>
              <w:spacing w:after="0"/>
              <w:rPr>
                <w:sz w:val="21"/>
                <w:szCs w:val="21"/>
                <w:color w:val="auto"/>
              </w:rPr>
            </w:pPr>
          </w:p>
        </w:tc>
        <w:tc>
          <w:tcPr>
            <w:tcW w:w="2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(20.7)</w:t>
            </w:r>
          </w:p>
        </w:tc>
        <w:tc>
          <w:tcPr>
            <w:tcW w:w="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740"/>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9840" w:type="dxa"/>
            <w:vAlign w:val="bottom"/>
            <w:gridSpan w:val="14"/>
          </w:tcPr>
          <w:p>
            <w:pPr>
              <w:ind w:left="440"/>
              <w:spacing w:after="0"/>
              <w:rPr>
                <w:sz w:val="20"/>
                <w:szCs w:val="20"/>
                <w:color w:val="auto"/>
              </w:rPr>
            </w:pPr>
            <w:r>
              <w:rPr>
                <w:rFonts w:ascii="Arial" w:cs="Arial" w:eastAsia="Arial" w:hAnsi="Arial"/>
                <w:sz w:val="18"/>
                <w:szCs w:val="18"/>
                <w:color w:val="auto"/>
                <w:w w:val="97"/>
              </w:rPr>
              <w:t>The effect of derivative instruments on AOCI and the Condensed Consolidated Statements of Operations was as follows:</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3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160" w:type="dxa"/>
            <w:vAlign w:val="bottom"/>
            <w:gridSpan w:val="9"/>
          </w:tcPr>
          <w:p>
            <w:pPr>
              <w:ind w:left="40"/>
              <w:spacing w:after="0"/>
              <w:rPr>
                <w:sz w:val="20"/>
                <w:szCs w:val="20"/>
                <w:color w:val="auto"/>
              </w:rPr>
            </w:pPr>
            <w:r>
              <w:rPr>
                <w:rFonts w:ascii="Arial" w:cs="Arial" w:eastAsia="Arial" w:hAnsi="Arial"/>
                <w:sz w:val="14"/>
                <w:szCs w:val="14"/>
                <w:b w:val="1"/>
                <w:bCs w:val="1"/>
                <w:color w:val="auto"/>
              </w:rPr>
              <w:t>AMOUNT OF GAIN / (LOSS) RECOGNIZED IN</w:t>
            </w:r>
          </w:p>
        </w:tc>
        <w:tc>
          <w:tcPr>
            <w:tcW w:w="0" w:type="dxa"/>
            <w:vAlign w:val="bottom"/>
          </w:tcPr>
          <w:p>
            <w:pPr>
              <w:spacing w:after="0"/>
              <w:rPr>
                <w:sz w:val="1"/>
                <w:szCs w:val="1"/>
                <w:color w:val="auto"/>
              </w:rPr>
            </w:pPr>
          </w:p>
        </w:tc>
      </w:tr>
      <w:tr>
        <w:trPr>
          <w:trHeight w:val="192"/>
        </w:trPr>
        <w:tc>
          <w:tcPr>
            <w:tcW w:w="3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5"/>
          </w:tcPr>
          <w:p>
            <w:pPr>
              <w:jc w:val="center"/>
              <w:ind w:left="197"/>
              <w:spacing w:after="0"/>
              <w:rPr>
                <w:sz w:val="20"/>
                <w:szCs w:val="20"/>
                <w:color w:val="auto"/>
              </w:rPr>
            </w:pPr>
            <w:r>
              <w:rPr>
                <w:rFonts w:ascii="Arial" w:cs="Arial" w:eastAsia="Arial" w:hAnsi="Arial"/>
                <w:sz w:val="14"/>
                <w:szCs w:val="14"/>
                <w:b w:val="1"/>
                <w:bCs w:val="1"/>
                <w:color w:val="auto"/>
              </w:rPr>
              <w:t>AOCI</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2360" w:type="dxa"/>
            <w:vAlign w:val="bottom"/>
            <w:tcBorders>
              <w:bottom w:val="single" w:sz="8" w:color="auto"/>
            </w:tcBorders>
            <w:gridSpan w:val="5"/>
          </w:tcPr>
          <w:p>
            <w:pPr>
              <w:jc w:val="right"/>
              <w:ind w:right="160"/>
              <w:spacing w:after="0"/>
              <w:rPr>
                <w:sz w:val="20"/>
                <w:szCs w:val="20"/>
                <w:color w:val="auto"/>
              </w:rPr>
            </w:pPr>
            <w:r>
              <w:rPr>
                <w:rFonts w:ascii="Arial" w:cs="Arial" w:eastAsia="Arial" w:hAnsi="Arial"/>
                <w:sz w:val="14"/>
                <w:szCs w:val="14"/>
                <w:b w:val="1"/>
                <w:bCs w:val="1"/>
                <w:color w:val="auto"/>
              </w:rPr>
              <w:t>THREE MONTHS ENDED</w:t>
            </w:r>
          </w:p>
        </w:tc>
        <w:tc>
          <w:tcPr>
            <w:tcW w:w="4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6760" w:type="dxa"/>
            <w:vAlign w:val="bottom"/>
            <w:gridSpan w:val="5"/>
            <w:vMerge w:val="restart"/>
          </w:tcPr>
          <w:p>
            <w:pPr>
              <w:ind w:left="40"/>
              <w:spacing w:after="0"/>
              <w:rPr>
                <w:sz w:val="20"/>
                <w:szCs w:val="20"/>
                <w:color w:val="auto"/>
              </w:rPr>
            </w:pPr>
            <w:r>
              <w:rPr>
                <w:rFonts w:ascii="Arial" w:cs="Arial" w:eastAsia="Arial" w:hAnsi="Arial"/>
                <w:sz w:val="14"/>
                <w:szCs w:val="14"/>
                <w:b w:val="1"/>
                <w:bCs w:val="1"/>
                <w:color w:val="auto"/>
              </w:rPr>
              <w:t>DERIVATIVES IN CASH FLOW HEDGING RELATIONSHIPS</w:t>
            </w:r>
          </w:p>
        </w:tc>
        <w:tc>
          <w:tcPr>
            <w:tcW w:w="1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gridSpan w:val="3"/>
          </w:tcPr>
          <w:p>
            <w:pPr>
              <w:jc w:val="right"/>
              <w:ind w:right="360"/>
              <w:spacing w:after="0" w:line="153" w:lineRule="exact"/>
              <w:rPr>
                <w:sz w:val="20"/>
                <w:szCs w:val="20"/>
                <w:color w:val="auto"/>
              </w:rPr>
            </w:pPr>
            <w:r>
              <w:rPr>
                <w:rFonts w:ascii="Arial" w:cs="Arial" w:eastAsia="Arial" w:hAnsi="Arial"/>
                <w:sz w:val="14"/>
                <w:szCs w:val="14"/>
                <w:b w:val="1"/>
                <w:bCs w:val="1"/>
                <w:color w:val="auto"/>
              </w:rPr>
              <w:t>DECEMBER 27,</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60" w:type="dxa"/>
            <w:vAlign w:val="bottom"/>
            <w:gridSpan w:val="3"/>
          </w:tcPr>
          <w:p>
            <w:pPr>
              <w:jc w:val="center"/>
              <w:ind w:right="260"/>
              <w:spacing w:after="0" w:line="153" w:lineRule="exact"/>
              <w:rPr>
                <w:sz w:val="20"/>
                <w:szCs w:val="20"/>
                <w:color w:val="auto"/>
              </w:rPr>
            </w:pPr>
            <w:r>
              <w:rPr>
                <w:rFonts w:ascii="Arial" w:cs="Arial" w:eastAsia="Arial" w:hAnsi="Arial"/>
                <w:sz w:val="14"/>
                <w:szCs w:val="14"/>
                <w:b w:val="1"/>
                <w:bCs w:val="1"/>
                <w:color w:val="auto"/>
              </w:rPr>
              <w:t>DECEMBER 28,</w:t>
            </w:r>
          </w:p>
        </w:tc>
        <w:tc>
          <w:tcPr>
            <w:tcW w:w="0" w:type="dxa"/>
            <w:vAlign w:val="bottom"/>
          </w:tcPr>
          <w:p>
            <w:pPr>
              <w:spacing w:after="0"/>
              <w:rPr>
                <w:sz w:val="1"/>
                <w:szCs w:val="1"/>
                <w:color w:val="auto"/>
              </w:rPr>
            </w:pPr>
          </w:p>
        </w:tc>
      </w:tr>
      <w:tr>
        <w:trPr>
          <w:trHeight w:val="192"/>
        </w:trPr>
        <w:tc>
          <w:tcPr>
            <w:tcW w:w="6760" w:type="dxa"/>
            <w:vAlign w:val="bottom"/>
            <w:tcBorders>
              <w:bottom w:val="single" w:sz="8" w:color="auto"/>
            </w:tcBorders>
            <w:gridSpan w:val="5"/>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left="240"/>
              <w:spacing w:after="0"/>
              <w:rPr>
                <w:sz w:val="20"/>
                <w:szCs w:val="20"/>
                <w:color w:val="auto"/>
              </w:rPr>
            </w:pPr>
            <w:r>
              <w:rPr>
                <w:rFonts w:ascii="Arial" w:cs="Arial" w:eastAsia="Arial" w:hAnsi="Arial"/>
                <w:sz w:val="14"/>
                <w:szCs w:val="14"/>
                <w:b w:val="1"/>
                <w:bCs w:val="1"/>
                <w:color w:val="auto"/>
                <w:w w:val="89"/>
              </w:rPr>
              <w:t>2013</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360" w:type="dxa"/>
            <w:vAlign w:val="bottom"/>
            <w:gridSpan w:val="5"/>
          </w:tcPr>
          <w:p>
            <w:pPr>
              <w:jc w:val="center"/>
              <w:ind w:left="197"/>
              <w:spacing w:after="0"/>
              <w:rPr>
                <w:sz w:val="20"/>
                <w:szCs w:val="20"/>
                <w:color w:val="auto"/>
              </w:rPr>
            </w:pPr>
            <w:r>
              <w:rPr>
                <w:rFonts w:ascii="Arial" w:cs="Arial" w:eastAsia="Arial" w:hAnsi="Arial"/>
                <w:sz w:val="14"/>
                <w:szCs w:val="14"/>
                <w:b w:val="1"/>
                <w:bCs w:val="1"/>
                <w:color w:val="auto"/>
                <w:w w:val="96"/>
              </w:rPr>
              <w:t>(In millions)</w:t>
            </w: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36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Interest rate swap agreements</w:t>
            </w:r>
          </w:p>
        </w:tc>
        <w:tc>
          <w:tcPr>
            <w:tcW w:w="120" w:type="dxa"/>
            <w:vAlign w:val="bottom"/>
            <w:tcBorders>
              <w:bottom w:val="single" w:sz="8" w:color="CCEEFF"/>
            </w:tcBorders>
            <w:shd w:val="clear" w:color="auto" w:fill="CCEEFF"/>
          </w:tcPr>
          <w:p>
            <w:pPr>
              <w:spacing w:after="0"/>
              <w:rPr>
                <w:sz w:val="22"/>
                <w:szCs w:val="22"/>
                <w:color w:val="auto"/>
              </w:rPr>
            </w:pPr>
          </w:p>
        </w:tc>
        <w:tc>
          <w:tcPr>
            <w:tcW w:w="28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(0.8)</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660" w:type="dxa"/>
            <w:vAlign w:val="bottom"/>
            <w:gridSpan w:val="2"/>
          </w:tcPr>
          <w:p>
            <w:pPr>
              <w:ind w:left="380"/>
              <w:spacing w:after="0"/>
              <w:rPr>
                <w:sz w:val="20"/>
                <w:szCs w:val="20"/>
                <w:color w:val="auto"/>
              </w:rPr>
            </w:pPr>
            <w:r>
              <w:rPr>
                <w:rFonts w:ascii="Arial" w:cs="Arial" w:eastAsia="Arial" w:hAnsi="Arial"/>
                <w:sz w:val="18"/>
                <w:szCs w:val="18"/>
                <w:color w:val="auto"/>
              </w:rPr>
              <w:t>Commodity hedging instruments</w:t>
            </w:r>
          </w:p>
        </w:tc>
        <w:tc>
          <w:tcPr>
            <w:tcW w:w="120" w:type="dxa"/>
            <w:vAlign w:val="bottom"/>
          </w:tcPr>
          <w:p>
            <w:pPr>
              <w:spacing w:after="0"/>
              <w:rPr>
                <w:sz w:val="21"/>
                <w:szCs w:val="21"/>
                <w:color w:val="auto"/>
              </w:rPr>
            </w:pPr>
          </w:p>
        </w:tc>
        <w:tc>
          <w:tcPr>
            <w:tcW w:w="2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ind w:right="37"/>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40" w:type="dxa"/>
            <w:vAlign w:val="bottom"/>
          </w:tcPr>
          <w:p>
            <w:pPr>
              <w:jc w:val="right"/>
              <w:ind w:right="3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660" w:type="dxa"/>
            <w:vAlign w:val="bottom"/>
            <w:tcBorders>
              <w:bottom w:val="single" w:sz="8" w:color="CCEEFF"/>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gridSpan w:val="2"/>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CCEEFF"/>
            </w:tcBorders>
            <w:shd w:val="clear" w:color="auto" w:fill="CCEEFF"/>
          </w:tcPr>
          <w:p>
            <w:pPr>
              <w:spacing w:after="0"/>
              <w:rPr>
                <w:sz w:val="22"/>
                <w:szCs w:val="22"/>
                <w:color w:val="auto"/>
              </w:rPr>
            </w:pPr>
          </w:p>
        </w:tc>
        <w:tc>
          <w:tcPr>
            <w:tcW w:w="28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gridSpan w:val="3"/>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3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5"/>
          </w:tcPr>
          <w:p>
            <w:pPr>
              <w:jc w:val="center"/>
              <w:ind w:left="237"/>
              <w:spacing w:after="0"/>
              <w:rPr>
                <w:sz w:val="20"/>
                <w:szCs w:val="20"/>
                <w:color w:val="auto"/>
              </w:rPr>
            </w:pPr>
            <w:r>
              <w:rPr>
                <w:rFonts w:ascii="Arial" w:cs="Arial" w:eastAsia="Arial" w:hAnsi="Arial"/>
                <w:sz w:val="14"/>
                <w:szCs w:val="14"/>
                <w:b w:val="1"/>
                <w:bCs w:val="1"/>
                <w:color w:val="auto"/>
              </w:rPr>
              <w:t>AMOUNT OF GAIN / (LOSS)</w:t>
            </w:r>
          </w:p>
        </w:tc>
        <w:tc>
          <w:tcPr>
            <w:tcW w:w="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3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2360" w:type="dxa"/>
            <w:vAlign w:val="bottom"/>
            <w:tcBorders>
              <w:bottom w:val="single" w:sz="8" w:color="auto"/>
            </w:tcBorders>
            <w:gridSpan w:val="5"/>
          </w:tcPr>
          <w:p>
            <w:pPr>
              <w:jc w:val="right"/>
              <w:ind w:right="140"/>
              <w:spacing w:after="0"/>
              <w:rPr>
                <w:sz w:val="20"/>
                <w:szCs w:val="20"/>
                <w:color w:val="auto"/>
              </w:rPr>
            </w:pPr>
            <w:r>
              <w:rPr>
                <w:rFonts w:ascii="Arial" w:cs="Arial" w:eastAsia="Arial" w:hAnsi="Arial"/>
                <w:sz w:val="14"/>
                <w:szCs w:val="14"/>
                <w:b w:val="1"/>
                <w:bCs w:val="1"/>
                <w:color w:val="auto"/>
              </w:rPr>
              <w:t>THREE MONTHS ENDED</w:t>
            </w:r>
          </w:p>
        </w:tc>
        <w:tc>
          <w:tcPr>
            <w:tcW w:w="4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3"/>
        </w:trPr>
        <w:tc>
          <w:tcPr>
            <w:tcW w:w="366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DERIVATIVES IN CASH FLOW</w:t>
            </w:r>
          </w:p>
        </w:tc>
        <w:tc>
          <w:tcPr>
            <w:tcW w:w="120" w:type="dxa"/>
            <w:vAlign w:val="bottom"/>
          </w:tcPr>
          <w:p>
            <w:pPr>
              <w:spacing w:after="0"/>
              <w:rPr>
                <w:sz w:val="13"/>
                <w:szCs w:val="13"/>
                <w:color w:val="auto"/>
              </w:rPr>
            </w:pPr>
          </w:p>
        </w:tc>
        <w:tc>
          <w:tcPr>
            <w:tcW w:w="4480" w:type="dxa"/>
            <w:vAlign w:val="bottom"/>
            <w:gridSpan w:val="7"/>
          </w:tcPr>
          <w:p>
            <w:pPr>
              <w:jc w:val="center"/>
              <w:ind w:right="100"/>
              <w:spacing w:after="0" w:line="153" w:lineRule="exact"/>
              <w:rPr>
                <w:sz w:val="20"/>
                <w:szCs w:val="20"/>
                <w:color w:val="auto"/>
              </w:rPr>
            </w:pPr>
            <w:r>
              <w:rPr>
                <w:rFonts w:ascii="Arial" w:cs="Arial" w:eastAsia="Arial" w:hAnsi="Arial"/>
                <w:sz w:val="14"/>
                <w:szCs w:val="14"/>
                <w:b w:val="1"/>
                <w:bCs w:val="1"/>
                <w:color w:val="auto"/>
              </w:rPr>
              <w:t>RECLASSIFIED FROM AOCI INTO STATEMENT OF</w:t>
            </w:r>
          </w:p>
        </w:tc>
        <w:tc>
          <w:tcPr>
            <w:tcW w:w="100" w:type="dxa"/>
            <w:vAlign w:val="bottom"/>
          </w:tcPr>
          <w:p>
            <w:pPr>
              <w:spacing w:after="0"/>
              <w:rPr>
                <w:sz w:val="13"/>
                <w:szCs w:val="13"/>
                <w:color w:val="auto"/>
              </w:rPr>
            </w:pPr>
          </w:p>
        </w:tc>
        <w:tc>
          <w:tcPr>
            <w:tcW w:w="1480" w:type="dxa"/>
            <w:vAlign w:val="bottom"/>
            <w:gridSpan w:val="3"/>
          </w:tcPr>
          <w:p>
            <w:pPr>
              <w:jc w:val="right"/>
              <w:ind w:right="340"/>
              <w:spacing w:after="0" w:line="153" w:lineRule="exact"/>
              <w:rPr>
                <w:sz w:val="20"/>
                <w:szCs w:val="20"/>
                <w:color w:val="auto"/>
              </w:rPr>
            </w:pPr>
            <w:r>
              <w:rPr>
                <w:rFonts w:ascii="Arial" w:cs="Arial" w:eastAsia="Arial" w:hAnsi="Arial"/>
                <w:sz w:val="14"/>
                <w:szCs w:val="14"/>
                <w:b w:val="1"/>
                <w:bCs w:val="1"/>
                <w:color w:val="auto"/>
              </w:rPr>
              <w:t>DECEMBER 27,</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60" w:type="dxa"/>
            <w:vAlign w:val="bottom"/>
            <w:gridSpan w:val="3"/>
          </w:tcPr>
          <w:p>
            <w:pPr>
              <w:jc w:val="center"/>
              <w:ind w:right="260"/>
              <w:spacing w:after="0" w:line="153" w:lineRule="exact"/>
              <w:rPr>
                <w:sz w:val="20"/>
                <w:szCs w:val="20"/>
                <w:color w:val="auto"/>
              </w:rPr>
            </w:pPr>
            <w:r>
              <w:rPr>
                <w:rFonts w:ascii="Arial" w:cs="Arial" w:eastAsia="Arial" w:hAnsi="Arial"/>
                <w:sz w:val="14"/>
                <w:szCs w:val="14"/>
                <w:b w:val="1"/>
                <w:bCs w:val="1"/>
                <w:color w:val="auto"/>
              </w:rPr>
              <w:t>DECEMBER 28,</w:t>
            </w:r>
          </w:p>
        </w:tc>
        <w:tc>
          <w:tcPr>
            <w:tcW w:w="0" w:type="dxa"/>
            <w:vAlign w:val="bottom"/>
          </w:tcPr>
          <w:p>
            <w:pPr>
              <w:spacing w:after="0"/>
              <w:rPr>
                <w:sz w:val="1"/>
                <w:szCs w:val="1"/>
                <w:color w:val="auto"/>
              </w:rPr>
            </w:pPr>
          </w:p>
        </w:tc>
      </w:tr>
      <w:tr>
        <w:trPr>
          <w:trHeight w:val="192"/>
        </w:trPr>
        <w:tc>
          <w:tcPr>
            <w:tcW w:w="36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HEDGING RELATIONSHIPS</w:t>
            </w:r>
          </w:p>
        </w:tc>
        <w:tc>
          <w:tcPr>
            <w:tcW w:w="120" w:type="dxa"/>
            <w:vAlign w:val="bottom"/>
          </w:tcPr>
          <w:p>
            <w:pPr>
              <w:spacing w:after="0"/>
              <w:rPr>
                <w:sz w:val="16"/>
                <w:szCs w:val="16"/>
                <w:color w:val="auto"/>
              </w:rPr>
            </w:pPr>
          </w:p>
        </w:tc>
        <w:tc>
          <w:tcPr>
            <w:tcW w:w="2980" w:type="dxa"/>
            <w:vAlign w:val="bottom"/>
            <w:tcBorders>
              <w:bottom w:val="single" w:sz="8" w:color="auto"/>
            </w:tcBorders>
            <w:gridSpan w:val="2"/>
          </w:tcPr>
          <w:p>
            <w:pPr>
              <w:jc w:val="center"/>
              <w:ind w:left="1319"/>
              <w:spacing w:after="0"/>
              <w:rPr>
                <w:sz w:val="20"/>
                <w:szCs w:val="20"/>
                <w:color w:val="auto"/>
              </w:rPr>
            </w:pPr>
            <w:r>
              <w:rPr>
                <w:rFonts w:ascii="Arial" w:cs="Arial" w:eastAsia="Arial" w:hAnsi="Arial"/>
                <w:sz w:val="14"/>
                <w:szCs w:val="14"/>
                <w:b w:val="1"/>
                <w:bCs w:val="1"/>
                <w:color w:val="auto"/>
              </w:rPr>
              <w:t>OPERATIONS</w:t>
            </w: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left="240"/>
              <w:spacing w:after="0"/>
              <w:rPr>
                <w:sz w:val="20"/>
                <w:szCs w:val="20"/>
                <w:color w:val="auto"/>
              </w:rPr>
            </w:pPr>
            <w:r>
              <w:rPr>
                <w:rFonts w:ascii="Arial" w:cs="Arial" w:eastAsia="Arial" w:hAnsi="Arial"/>
                <w:sz w:val="14"/>
                <w:szCs w:val="14"/>
                <w:b w:val="1"/>
                <w:bCs w:val="1"/>
                <w:color w:val="auto"/>
                <w:w w:val="89"/>
              </w:rPr>
              <w:t>2013</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360" w:type="dxa"/>
            <w:vAlign w:val="bottom"/>
            <w:gridSpan w:val="5"/>
          </w:tcPr>
          <w:p>
            <w:pPr>
              <w:jc w:val="center"/>
              <w:ind w:left="237"/>
              <w:spacing w:after="0"/>
              <w:rPr>
                <w:sz w:val="20"/>
                <w:szCs w:val="20"/>
                <w:color w:val="auto"/>
              </w:rPr>
            </w:pPr>
            <w:r>
              <w:rPr>
                <w:rFonts w:ascii="Arial" w:cs="Arial" w:eastAsia="Arial" w:hAnsi="Arial"/>
                <w:sz w:val="14"/>
                <w:szCs w:val="14"/>
                <w:b w:val="1"/>
                <w:bCs w:val="1"/>
                <w:color w:val="auto"/>
                <w:w w:val="96"/>
              </w:rPr>
              <w:t>(In millions)</w:t>
            </w: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36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Interest rate swap agreements</w:t>
            </w:r>
          </w:p>
        </w:tc>
        <w:tc>
          <w:tcPr>
            <w:tcW w:w="120" w:type="dxa"/>
            <w:vAlign w:val="bottom"/>
            <w:tcBorders>
              <w:bottom w:val="single" w:sz="8" w:color="CCEEFF"/>
            </w:tcBorders>
            <w:shd w:val="clear" w:color="auto" w:fill="CCEEFF"/>
          </w:tcPr>
          <w:p>
            <w:pPr>
              <w:spacing w:after="0"/>
              <w:rPr>
                <w:sz w:val="22"/>
                <w:szCs w:val="22"/>
                <w:color w:val="auto"/>
              </w:rPr>
            </w:pPr>
          </w:p>
        </w:tc>
        <w:tc>
          <w:tcPr>
            <w:tcW w:w="2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(3.1)</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660" w:type="dxa"/>
            <w:vAlign w:val="bottom"/>
            <w:gridSpan w:val="2"/>
          </w:tcPr>
          <w:p>
            <w:pPr>
              <w:ind w:left="380"/>
              <w:spacing w:after="0"/>
              <w:rPr>
                <w:sz w:val="20"/>
                <w:szCs w:val="20"/>
                <w:color w:val="auto"/>
              </w:rPr>
            </w:pPr>
            <w:r>
              <w:rPr>
                <w:rFonts w:ascii="Arial" w:cs="Arial" w:eastAsia="Arial" w:hAnsi="Arial"/>
                <w:sz w:val="18"/>
                <w:szCs w:val="18"/>
                <w:color w:val="auto"/>
              </w:rPr>
              <w:t>Commodity hedging instruments</w:t>
            </w:r>
          </w:p>
        </w:tc>
        <w:tc>
          <w:tcPr>
            <w:tcW w:w="120" w:type="dxa"/>
            <w:vAlign w:val="bottom"/>
          </w:tcPr>
          <w:p>
            <w:pPr>
              <w:spacing w:after="0"/>
              <w:rPr>
                <w:sz w:val="21"/>
                <w:szCs w:val="21"/>
                <w:color w:val="auto"/>
              </w:rPr>
            </w:pPr>
          </w:p>
        </w:tc>
        <w:tc>
          <w:tcPr>
            <w:tcW w:w="2980" w:type="dxa"/>
            <w:vAlign w:val="bottom"/>
            <w:gridSpan w:val="2"/>
          </w:tcPr>
          <w:p>
            <w:pPr>
              <w:ind w:left="40"/>
              <w:spacing w:after="0"/>
              <w:rPr>
                <w:sz w:val="20"/>
                <w:szCs w:val="20"/>
                <w:color w:val="auto"/>
              </w:rPr>
            </w:pPr>
            <w:r>
              <w:rPr>
                <w:rFonts w:ascii="Arial" w:cs="Arial" w:eastAsia="Arial" w:hAnsi="Arial"/>
                <w:sz w:val="18"/>
                <w:szCs w:val="18"/>
                <w:color w:val="auto"/>
              </w:rPr>
              <w:t>Cost of sales</w:t>
            </w: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660" w:type="dxa"/>
            <w:vAlign w:val="bottom"/>
            <w:tcBorders>
              <w:bottom w:val="single" w:sz="8" w:color="CCEEFF"/>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gridSpan w:val="2"/>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gridSpan w:val="2"/>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CCEEFF"/>
            </w:tcBorders>
            <w:shd w:val="clear" w:color="auto" w:fill="CCEEFF"/>
          </w:tcPr>
          <w:p>
            <w:pPr>
              <w:spacing w:after="0"/>
              <w:rPr>
                <w:sz w:val="22"/>
                <w:szCs w:val="22"/>
                <w:color w:val="auto"/>
              </w:rPr>
            </w:pPr>
          </w:p>
        </w:tc>
        <w:tc>
          <w:tcPr>
            <w:tcW w:w="28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(3.1)</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980" w:type="dxa"/>
            <w:vAlign w:val="bottom"/>
            <w:tcBorders>
              <w:top w:val="single" w:sz="8" w:color="CCEEFF"/>
              <w:bottom w:val="single" w:sz="8" w:color="CCEEFF"/>
            </w:tcBorders>
            <w:gridSpan w:val="2"/>
            <w:vMerge w:val="restart"/>
          </w:tcPr>
          <w:p>
            <w:pPr>
              <w:ind w:left="1960"/>
              <w:spacing w:after="0"/>
              <w:rPr>
                <w:sz w:val="20"/>
                <w:szCs w:val="20"/>
                <w:color w:val="auto"/>
              </w:rPr>
            </w:pPr>
            <w:r>
              <w:rPr>
                <w:rFonts w:ascii="Arial" w:cs="Arial" w:eastAsia="Arial" w:hAnsi="Arial"/>
                <w:sz w:val="18"/>
                <w:szCs w:val="18"/>
                <w:color w:val="auto"/>
              </w:rPr>
              <w:t>18</w:t>
            </w: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3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98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color w:val="FFFFFF"/>
        </w:rPr>
      </w:pPr>
      <w:hyperlink w:anchor="page1">
        <w:r>
          <w:rPr>
            <w:rFonts w:ascii="Arial" w:cs="Arial" w:eastAsia="Arial" w:hAnsi="Arial"/>
            <w:sz w:val="18"/>
            <w:szCs w:val="18"/>
            <w:color w:val="FFFFFF"/>
          </w:rPr>
          <w:t>Table of Contents</w:t>
        </w:r>
      </w:hyperlink>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020" w:type="dxa"/>
            <w:vAlign w:val="bottom"/>
            <w:tcBorders>
              <w:bottom w:val="single" w:sz="8" w:color="auto"/>
            </w:tcBorders>
            <w:gridSpan w:val="5"/>
          </w:tcPr>
          <w:p>
            <w:pPr>
              <w:jc w:val="center"/>
              <w:ind w:right="120"/>
              <w:spacing w:after="0"/>
              <w:rPr>
                <w:sz w:val="20"/>
                <w:szCs w:val="20"/>
                <w:color w:val="auto"/>
              </w:rPr>
            </w:pPr>
            <w:r>
              <w:rPr>
                <w:rFonts w:ascii="Arial" w:cs="Arial" w:eastAsia="Arial" w:hAnsi="Arial"/>
                <w:sz w:val="14"/>
                <w:szCs w:val="14"/>
                <w:b w:val="1"/>
                <w:bCs w:val="1"/>
                <w:color w:val="auto"/>
              </w:rPr>
              <w:t>AMOUNT OF GAIN / (LOSS)</w:t>
            </w:r>
          </w:p>
        </w:tc>
      </w:tr>
      <w:tr>
        <w:trPr>
          <w:trHeight w:val="263"/>
        </w:trPr>
        <w:tc>
          <w:tcPr>
            <w:tcW w:w="3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2920" w:type="dxa"/>
            <w:vAlign w:val="bottom"/>
            <w:tcBorders>
              <w:bottom w:val="single" w:sz="8" w:color="auto"/>
            </w:tcBorders>
            <w:gridSpan w:val="4"/>
          </w:tcPr>
          <w:p>
            <w:pPr>
              <w:jc w:val="right"/>
              <w:ind w:right="577"/>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22"/>
                <w:szCs w:val="22"/>
                <w:color w:val="auto"/>
              </w:rPr>
            </w:pPr>
          </w:p>
        </w:tc>
      </w:tr>
      <w:tr>
        <w:trPr>
          <w:trHeight w:val="153"/>
        </w:trPr>
        <w:tc>
          <w:tcPr>
            <w:tcW w:w="390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DERIVATIVES NOT DESIGNATED</w:t>
            </w:r>
          </w:p>
        </w:tc>
        <w:tc>
          <w:tcPr>
            <w:tcW w:w="434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rPr>
              <w:t>RECOGNIZED IN</w:t>
            </w:r>
          </w:p>
        </w:tc>
        <w:tc>
          <w:tcPr>
            <w:tcW w:w="160" w:type="dxa"/>
            <w:vAlign w:val="bottom"/>
          </w:tcPr>
          <w:p>
            <w:pPr>
              <w:spacing w:after="0"/>
              <w:rPr>
                <w:sz w:val="13"/>
                <w:szCs w:val="13"/>
                <w:color w:val="auto"/>
              </w:rPr>
            </w:pPr>
          </w:p>
        </w:tc>
        <w:tc>
          <w:tcPr>
            <w:tcW w:w="144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DECEMBER 27,</w:t>
            </w:r>
          </w:p>
        </w:tc>
        <w:tc>
          <w:tcPr>
            <w:tcW w:w="160" w:type="dxa"/>
            <w:vAlign w:val="bottom"/>
          </w:tcPr>
          <w:p>
            <w:pPr>
              <w:spacing w:after="0"/>
              <w:rPr>
                <w:sz w:val="13"/>
                <w:szCs w:val="13"/>
                <w:color w:val="auto"/>
              </w:rPr>
            </w:pPr>
          </w:p>
        </w:tc>
        <w:tc>
          <w:tcPr>
            <w:tcW w:w="142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DECEMBER 28,</w:t>
            </w:r>
          </w:p>
        </w:tc>
      </w:tr>
      <w:tr>
        <w:trPr>
          <w:trHeight w:val="192"/>
        </w:trPr>
        <w:tc>
          <w:tcPr>
            <w:tcW w:w="3900" w:type="dxa"/>
            <w:vAlign w:val="bottom"/>
            <w:gridSpan w:val="2"/>
          </w:tcPr>
          <w:p>
            <w:pPr>
              <w:ind w:left="40"/>
              <w:spacing w:after="0"/>
              <w:rPr>
                <w:sz w:val="20"/>
                <w:szCs w:val="20"/>
                <w:color w:val="auto"/>
              </w:rPr>
            </w:pPr>
            <w:r>
              <w:rPr>
                <w:rFonts w:ascii="Arial" w:cs="Arial" w:eastAsia="Arial" w:hAnsi="Arial"/>
                <w:sz w:val="14"/>
                <w:szCs w:val="14"/>
                <w:b w:val="1"/>
                <w:bCs w:val="1"/>
                <w:color w:val="auto"/>
              </w:rPr>
              <w:t>AS HEDGING INSTRUMENTS</w:t>
            </w:r>
          </w:p>
        </w:tc>
        <w:tc>
          <w:tcPr>
            <w:tcW w:w="43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STATEMENT OF OPERATIONS</w:t>
            </w:r>
          </w:p>
        </w:tc>
        <w:tc>
          <w:tcPr>
            <w:tcW w:w="160" w:type="dxa"/>
            <w:vAlign w:val="bottom"/>
          </w:tcPr>
          <w:p>
            <w:pPr>
              <w:spacing w:after="0"/>
              <w:rPr>
                <w:sz w:val="16"/>
                <w:szCs w:val="16"/>
                <w:color w:val="auto"/>
              </w:rPr>
            </w:pPr>
          </w:p>
        </w:tc>
        <w:tc>
          <w:tcPr>
            <w:tcW w:w="1340" w:type="dxa"/>
            <w:vAlign w:val="bottom"/>
          </w:tcPr>
          <w:p>
            <w:pPr>
              <w:jc w:val="right"/>
              <w:ind w:right="521"/>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jc w:val="right"/>
              <w:ind w:right="517"/>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6"/>
                <w:szCs w:val="16"/>
                <w:color w:val="auto"/>
              </w:rPr>
            </w:pPr>
          </w:p>
        </w:tc>
      </w:tr>
      <w:tr>
        <w:trPr>
          <w:trHeight w:val="264"/>
        </w:trPr>
        <w:tc>
          <w:tcPr>
            <w:tcW w:w="37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42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3020" w:type="dxa"/>
            <w:vAlign w:val="bottom"/>
            <w:tcBorders>
              <w:top w:val="single" w:sz="8" w:color="auto"/>
            </w:tcBorders>
            <w:gridSpan w:val="5"/>
          </w:tcPr>
          <w:p>
            <w:pPr>
              <w:jc w:val="center"/>
              <w:ind w:right="140"/>
              <w:spacing w:after="0"/>
              <w:rPr>
                <w:sz w:val="20"/>
                <w:szCs w:val="20"/>
                <w:color w:val="auto"/>
              </w:rPr>
            </w:pPr>
            <w:r>
              <w:rPr>
                <w:rFonts w:ascii="Arial" w:cs="Arial" w:eastAsia="Arial" w:hAnsi="Arial"/>
                <w:sz w:val="14"/>
                <w:szCs w:val="14"/>
                <w:b w:val="1"/>
                <w:bCs w:val="1"/>
                <w:color w:val="auto"/>
                <w:w w:val="96"/>
              </w:rPr>
              <w:t>(In millions)</w:t>
            </w:r>
          </w:p>
        </w:tc>
      </w:tr>
      <w:tr>
        <w:trPr>
          <w:trHeight w:val="256"/>
        </w:trPr>
        <w:tc>
          <w:tcPr>
            <w:tcW w:w="39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Foreign currency forward contracts</w:t>
            </w:r>
          </w:p>
        </w:tc>
        <w:tc>
          <w:tcPr>
            <w:tcW w:w="43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income, net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43"/>
        </w:trPr>
        <w:tc>
          <w:tcPr>
            <w:tcW w:w="3900" w:type="dxa"/>
            <w:vAlign w:val="bottom"/>
            <w:gridSpan w:val="2"/>
          </w:tcPr>
          <w:p>
            <w:pPr>
              <w:ind w:left="380"/>
              <w:spacing w:after="0"/>
              <w:rPr>
                <w:sz w:val="20"/>
                <w:szCs w:val="20"/>
                <w:color w:val="auto"/>
              </w:rPr>
            </w:pPr>
            <w:r>
              <w:rPr>
                <w:rFonts w:ascii="Arial" w:cs="Arial" w:eastAsia="Arial" w:hAnsi="Arial"/>
                <w:sz w:val="18"/>
                <w:szCs w:val="18"/>
                <w:color w:val="auto"/>
              </w:rPr>
              <w:t>Commodity hedging instruments</w:t>
            </w:r>
          </w:p>
        </w:tc>
        <w:tc>
          <w:tcPr>
            <w:tcW w:w="4340" w:type="dxa"/>
            <w:vAlign w:val="bottom"/>
            <w:gridSpan w:val="2"/>
          </w:tcPr>
          <w:p>
            <w:pPr>
              <w:ind w:left="20"/>
              <w:spacing w:after="0"/>
              <w:rPr>
                <w:sz w:val="20"/>
                <w:szCs w:val="20"/>
                <w:color w:val="auto"/>
              </w:rPr>
            </w:pPr>
            <w:r>
              <w:rPr>
                <w:rFonts w:ascii="Arial" w:cs="Arial" w:eastAsia="Arial" w:hAnsi="Arial"/>
                <w:sz w:val="18"/>
                <w:szCs w:val="18"/>
                <w:color w:val="auto"/>
              </w:rPr>
              <w:t>Cost of sales</w:t>
            </w: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37"/>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1"/>
                <w:szCs w:val="2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r>
      <w:tr>
        <w:trPr>
          <w:trHeight w:val="269"/>
        </w:trPr>
        <w:tc>
          <w:tcPr>
            <w:tcW w:w="3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4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FAIR VALUE MEASUREMENTS</w:t>
      </w:r>
    </w:p>
    <w:p>
      <w:pPr>
        <w:spacing w:after="0" w:line="14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Fair value is defined as the exchange price that would be received for an asset or paid to transfer a liability (an exit price) in the principal or the most advantageous market for the asset or liability in an orderly transaction between market participants at the measurement date. A three-level fair value hierarchy prioritizes the inputs used to measure fair value. The hierarchy requires entities to maximize the use of observable inputs and minimize the use of unobservable inputs. The three levels of inputs used to measure fair value are as follows:</w:t>
      </w:r>
    </w:p>
    <w:p>
      <w:pPr>
        <w:spacing w:after="0" w:line="106"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 xml:space="preserve">Level 1 — </w:t>
      </w:r>
      <w:r>
        <w:rPr>
          <w:rFonts w:ascii="Arial" w:cs="Arial" w:eastAsia="Arial" w:hAnsi="Arial"/>
          <w:sz w:val="18"/>
          <w:szCs w:val="18"/>
          <w:color w:val="auto"/>
        </w:rPr>
        <w:t>Quoted prices in active markets for identical assets or liabilities.</w:t>
      </w:r>
    </w:p>
    <w:p>
      <w:pPr>
        <w:spacing w:after="0" w:line="144" w:lineRule="exact"/>
        <w:rPr>
          <w:sz w:val="20"/>
          <w:szCs w:val="20"/>
          <w:color w:val="auto"/>
        </w:rPr>
      </w:pPr>
    </w:p>
    <w:p>
      <w:pPr>
        <w:jc w:val="both"/>
        <w:ind w:firstLine="878"/>
        <w:spacing w:after="0" w:line="264" w:lineRule="auto"/>
        <w:rPr>
          <w:sz w:val="20"/>
          <w:szCs w:val="20"/>
          <w:color w:val="auto"/>
        </w:rPr>
      </w:pPr>
      <w:r>
        <w:rPr>
          <w:rFonts w:ascii="Arial" w:cs="Arial" w:eastAsia="Arial" w:hAnsi="Arial"/>
          <w:sz w:val="18"/>
          <w:szCs w:val="18"/>
          <w:i w:val="1"/>
          <w:iCs w:val="1"/>
          <w:color w:val="auto"/>
        </w:rPr>
        <w:t xml:space="preserve">Level 2 — </w:t>
      </w:r>
      <w:r>
        <w:rPr>
          <w:rFonts w:ascii="Arial" w:cs="Arial" w:eastAsia="Arial" w:hAnsi="Arial"/>
          <w:sz w:val="18"/>
          <w:szCs w:val="18"/>
          <w:color w:val="auto"/>
        </w:rPr>
        <w:t>Observable inputs other than quoted prices included in Level 1, such as quoted prices for similar assets and liabilities in active markets;</w:t>
      </w:r>
      <w:r>
        <w:rPr>
          <w:rFonts w:ascii="Arial" w:cs="Arial" w:eastAsia="Arial" w:hAnsi="Arial"/>
          <w:sz w:val="18"/>
          <w:szCs w:val="18"/>
          <w:i w:val="1"/>
          <w:iCs w:val="1"/>
          <w:color w:val="auto"/>
        </w:rPr>
        <w:t xml:space="preserve"> </w:t>
      </w:r>
      <w:r>
        <w:rPr>
          <w:rFonts w:ascii="Arial" w:cs="Arial" w:eastAsia="Arial" w:hAnsi="Arial"/>
          <w:sz w:val="18"/>
          <w:szCs w:val="18"/>
          <w:color w:val="auto"/>
        </w:rPr>
        <w:t>quoted prices for similar assets and liabilities in markets that are not active; or other inputs that are observable or can be corroborated by observable market data.</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6"/>
          <w:szCs w:val="16"/>
          <w:i w:val="1"/>
          <w:iCs w:val="1"/>
          <w:color w:val="auto"/>
        </w:rPr>
        <w:t xml:space="preserve">Level 3 — </w:t>
      </w:r>
      <w:r>
        <w:rPr>
          <w:rFonts w:ascii="Arial" w:cs="Arial" w:eastAsia="Arial" w:hAnsi="Arial"/>
          <w:sz w:val="16"/>
          <w:szCs w:val="16"/>
          <w:color w:val="auto"/>
        </w:rPr>
        <w:t>Unobservable inputs that are supported by little or no market activity and that are significant to the fair value of the assets or liabilities.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This includes pricing models, discounted cash flow methodologies and similar techniques that use significant unobservable inputs.</w:t>
      </w:r>
    </w:p>
    <w:p>
      <w:pPr>
        <w:spacing w:after="0" w:line="130"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The following describes the valuation methodologies used for financial assets and liabilities measured at fair value on a recurring basis, as well as the general classification within the valuation hierarchy.</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Derivatives</w:t>
      </w:r>
    </w:p>
    <w:p>
      <w:pPr>
        <w:spacing w:after="0" w:line="14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Derivatives consist of foreign currency, interest rate and commodity derivative instruments. Foreign currency forward contracts are valued using observable forward rates in commonly quoted intervals for the full term of the contracts. Interest rate swap agreements are valued based on the present value of the estimated future net cash flows using implied rates in the applicable yield curve as of the valuation date. Commodity contracts are measured using observable commodity exchange prices in active markets.</w:t>
      </w:r>
    </w:p>
    <w:p>
      <w:pPr>
        <w:spacing w:after="0" w:line="106"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These derivative instruments are classified within Level 2 of the valuation hierarchy and are included within other assets and other liabilities in the Company’s Condensed Consolidated Balance Sheets, except for derivative instruments expected to be settled within the next 12 months, which are included within prepaid and other current assets and other current liabilities.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Cash Equivalents</w:t>
      </w:r>
    </w:p>
    <w:p>
      <w:pPr>
        <w:spacing w:after="0" w:line="144"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Cash equivalents consist of highly liquid investments purchased with a maturity of three months or less. The carrying value of these cash equivalents approximates fair value due to their short-term maturities.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Other</w:t>
      </w:r>
    </w:p>
    <w:p>
      <w:pPr>
        <w:spacing w:after="0" w:line="144"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Other financial assets consist of investment securities in non-qualified retirement plan assets. These securities are valued using observable market prices in active markets.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color w:val="FFFFFF"/>
        </w:rPr>
      </w:pPr>
      <w:hyperlink w:anchor="page1">
        <w:r>
          <w:rPr>
            <w:rFonts w:ascii="Arial" w:cs="Arial" w:eastAsia="Arial" w:hAnsi="Arial"/>
            <w:sz w:val="18"/>
            <w:szCs w:val="18"/>
            <w:color w:val="FFFFFF"/>
          </w:rPr>
          <w:t>Table of Contents</w:t>
        </w:r>
      </w:hyperlink>
    </w:p>
    <w:p>
      <w:pPr>
        <w:spacing w:after="0" w:line="387"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 presents the Company’s financial assets and liabilities measured at fair value on a recurring basis at December 27, 2014:</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Quoted Prices in Active</w:t>
            </w:r>
          </w:p>
        </w:tc>
        <w:tc>
          <w:tcPr>
            <w:tcW w:w="200" w:type="dxa"/>
            <w:vAlign w:val="bottom"/>
          </w:tcPr>
          <w:p>
            <w:pPr>
              <w:spacing w:after="0"/>
              <w:rPr>
                <w:sz w:val="14"/>
                <w:szCs w:val="14"/>
                <w:color w:val="auto"/>
              </w:rPr>
            </w:pPr>
          </w:p>
        </w:tc>
        <w:tc>
          <w:tcPr>
            <w:tcW w:w="164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3"/>
              </w:rPr>
              <w:t>Significant Other</w:t>
            </w:r>
          </w:p>
        </w:tc>
        <w:tc>
          <w:tcPr>
            <w:tcW w:w="240" w:type="dxa"/>
            <w:vAlign w:val="bottom"/>
          </w:tcPr>
          <w:p>
            <w:pPr>
              <w:spacing w:after="0"/>
              <w:rPr>
                <w:sz w:val="14"/>
                <w:szCs w:val="14"/>
                <w:color w:val="auto"/>
              </w:rPr>
            </w:pPr>
          </w:p>
        </w:tc>
        <w:tc>
          <w:tcPr>
            <w:tcW w:w="15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Unobservable</w:t>
            </w:r>
          </w:p>
        </w:tc>
        <w:tc>
          <w:tcPr>
            <w:tcW w:w="4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Markets for Identical Assets</w:t>
            </w:r>
          </w:p>
        </w:tc>
        <w:tc>
          <w:tcPr>
            <w:tcW w:w="200" w:type="dxa"/>
            <w:vAlign w:val="bottom"/>
          </w:tcPr>
          <w:p>
            <w:pPr>
              <w:spacing w:after="0"/>
              <w:rPr>
                <w:sz w:val="12"/>
                <w:szCs w:val="12"/>
                <w:color w:val="auto"/>
              </w:rPr>
            </w:pPr>
          </w:p>
        </w:tc>
        <w:tc>
          <w:tcPr>
            <w:tcW w:w="164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Observable Inputs</w:t>
            </w:r>
          </w:p>
        </w:tc>
        <w:tc>
          <w:tcPr>
            <w:tcW w:w="240" w:type="dxa"/>
            <w:vAlign w:val="bottom"/>
          </w:tcPr>
          <w:p>
            <w:pPr>
              <w:spacing w:after="0"/>
              <w:rPr>
                <w:sz w:val="12"/>
                <w:szCs w:val="12"/>
                <w:color w:val="auto"/>
              </w:rPr>
            </w:pPr>
          </w:p>
        </w:tc>
        <w:tc>
          <w:tcPr>
            <w:tcW w:w="15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5"/>
              </w:rPr>
              <w:t>Inputs</w:t>
            </w:r>
          </w:p>
        </w:tc>
        <w:tc>
          <w:tcPr>
            <w:tcW w:w="400" w:type="dxa"/>
            <w:vAlign w:val="bottom"/>
          </w:tcPr>
          <w:p>
            <w:pPr>
              <w:spacing w:after="0"/>
              <w:rPr>
                <w:sz w:val="12"/>
                <w:szCs w:val="12"/>
                <w:color w:val="auto"/>
              </w:rPr>
            </w:pPr>
          </w:p>
        </w:tc>
        <w:tc>
          <w:tcPr>
            <w:tcW w:w="1300" w:type="dxa"/>
            <w:vAlign w:val="bottom"/>
            <w:vMerge w:val="restart"/>
          </w:tcPr>
          <w:p>
            <w:pPr>
              <w:jc w:val="right"/>
              <w:ind w:right="61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6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4"/>
              </w:rPr>
              <w:t>(Level 1)</w:t>
            </w:r>
          </w:p>
        </w:tc>
        <w:tc>
          <w:tcPr>
            <w:tcW w:w="2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center"/>
              <w:ind w:right="340"/>
              <w:spacing w:after="0"/>
              <w:rPr>
                <w:sz w:val="20"/>
                <w:szCs w:val="20"/>
                <w:color w:val="auto"/>
              </w:rPr>
            </w:pPr>
            <w:r>
              <w:rPr>
                <w:rFonts w:ascii="Arial" w:cs="Arial" w:eastAsia="Arial" w:hAnsi="Arial"/>
                <w:sz w:val="14"/>
                <w:szCs w:val="14"/>
                <w:b w:val="1"/>
                <w:bCs w:val="1"/>
                <w:color w:val="auto"/>
                <w:w w:val="94"/>
              </w:rPr>
              <w:t>(Level 2)</w:t>
            </w:r>
          </w:p>
        </w:tc>
        <w:tc>
          <w:tcPr>
            <w:tcW w:w="2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4"/>
                <w:szCs w:val="14"/>
                <w:b w:val="1"/>
                <w:bCs w:val="1"/>
                <w:color w:val="auto"/>
                <w:w w:val="94"/>
              </w:rPr>
              <w:t>(Level 3)</w:t>
            </w: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6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40" w:type="dxa"/>
            <w:vAlign w:val="bottom"/>
            <w:gridSpan w:val="3"/>
          </w:tcPr>
          <w:p>
            <w:pPr>
              <w:ind w:left="880"/>
              <w:spacing w:after="0"/>
              <w:rPr>
                <w:sz w:val="20"/>
                <w:szCs w:val="20"/>
                <w:color w:val="auto"/>
              </w:rPr>
            </w:pPr>
            <w:r>
              <w:rPr>
                <w:rFonts w:ascii="Arial" w:cs="Arial" w:eastAsia="Arial" w:hAnsi="Arial"/>
                <w:sz w:val="14"/>
                <w:szCs w:val="14"/>
                <w:b w:val="1"/>
                <w:bCs w:val="1"/>
                <w:color w:val="auto"/>
                <w:w w:val="94"/>
              </w:rPr>
              <w:t>(In millions)</w:t>
            </w:r>
          </w:p>
        </w:tc>
        <w:tc>
          <w:tcPr>
            <w:tcW w:w="2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20" w:type="dxa"/>
            <w:vAlign w:val="bottom"/>
            <w:tcBorders>
              <w:bottom w:val="single" w:sz="8" w:color="CCEEFF"/>
            </w:tcBorders>
            <w:shd w:val="clear" w:color="auto" w:fill="CCEEFF"/>
          </w:tcPr>
          <w:p>
            <w:pPr>
              <w:spacing w:after="0"/>
              <w:rPr>
                <w:sz w:val="22"/>
                <w:szCs w:val="22"/>
                <w:color w:val="auto"/>
              </w:rPr>
            </w:pPr>
          </w:p>
        </w:tc>
        <w:tc>
          <w:tcPr>
            <w:tcW w:w="2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Cash equivalents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2120" w:type="dxa"/>
            <w:vAlign w:val="bottom"/>
          </w:tcPr>
          <w:p>
            <w:pPr>
              <w:jc w:val="right"/>
              <w:ind w:right="54"/>
              <w:spacing w:after="0"/>
              <w:rPr>
                <w:sz w:val="20"/>
                <w:szCs w:val="20"/>
                <w:color w:val="auto"/>
              </w:rPr>
            </w:pPr>
            <w:r>
              <w:rPr>
                <w:rFonts w:ascii="Arial" w:cs="Arial" w:eastAsia="Arial" w:hAnsi="Arial"/>
                <w:sz w:val="18"/>
                <w:szCs w:val="18"/>
                <w:color w:val="auto"/>
              </w:rPr>
              <w:t>88.8</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540" w:type="dxa"/>
            <w:vAlign w:val="bottom"/>
            <w:gridSpan w:val="2"/>
          </w:tcPr>
          <w:p>
            <w:pPr>
              <w:ind w:left="114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88.8</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Derivatives</w:t>
            </w:r>
          </w:p>
        </w:tc>
        <w:tc>
          <w:tcPr>
            <w:tcW w:w="22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60" w:type="dxa"/>
            <w:vAlign w:val="bottom"/>
          </w:tcPr>
          <w:p>
            <w:pPr>
              <w:ind w:left="380"/>
              <w:spacing w:after="0"/>
              <w:rPr>
                <w:sz w:val="20"/>
                <w:szCs w:val="20"/>
                <w:color w:val="auto"/>
              </w:rPr>
            </w:pPr>
            <w:r>
              <w:rPr>
                <w:rFonts w:ascii="Arial" w:cs="Arial" w:eastAsia="Arial" w:hAnsi="Arial"/>
                <w:sz w:val="18"/>
                <w:szCs w:val="18"/>
                <w:color w:val="auto"/>
              </w:rPr>
              <w:t>Interest rate swap agreements</w:t>
            </w:r>
          </w:p>
        </w:tc>
        <w:tc>
          <w:tcPr>
            <w:tcW w:w="220" w:type="dxa"/>
            <w:vAlign w:val="bottom"/>
          </w:tcPr>
          <w:p>
            <w:pPr>
              <w:spacing w:after="0"/>
              <w:rPr>
                <w:sz w:val="21"/>
                <w:szCs w:val="21"/>
                <w:color w:val="auto"/>
              </w:rPr>
            </w:pPr>
          </w:p>
        </w:tc>
        <w:tc>
          <w:tcPr>
            <w:tcW w:w="2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500" w:type="dxa"/>
            <w:vAlign w:val="bottom"/>
          </w:tcPr>
          <w:p>
            <w:pPr>
              <w:jc w:val="right"/>
              <w:ind w:right="16"/>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40" w:type="dxa"/>
            <w:vAlign w:val="bottom"/>
            <w:gridSpan w:val="2"/>
          </w:tcPr>
          <w:p>
            <w:pPr>
              <w:ind w:left="114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Foreign currency forward contracts</w:t>
            </w:r>
          </w:p>
        </w:tc>
        <w:tc>
          <w:tcPr>
            <w:tcW w:w="220" w:type="dxa"/>
            <w:vAlign w:val="bottom"/>
            <w:tcBorders>
              <w:bottom w:val="single" w:sz="8" w:color="CCEEFF"/>
            </w:tcBorders>
            <w:shd w:val="clear" w:color="auto" w:fill="CCEEFF"/>
          </w:tcPr>
          <w:p>
            <w:pPr>
              <w:spacing w:after="0"/>
              <w:rPr>
                <w:sz w:val="21"/>
                <w:szCs w:val="21"/>
                <w:color w:val="auto"/>
              </w:rPr>
            </w:pPr>
          </w:p>
        </w:tc>
        <w:tc>
          <w:tcPr>
            <w:tcW w:w="2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ind w:left="114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43"/>
        </w:trPr>
        <w:tc>
          <w:tcPr>
            <w:tcW w:w="3660" w:type="dxa"/>
            <w:vAlign w:val="bottom"/>
          </w:tcPr>
          <w:p>
            <w:pPr>
              <w:ind w:left="380"/>
              <w:spacing w:after="0"/>
              <w:rPr>
                <w:sz w:val="20"/>
                <w:szCs w:val="20"/>
                <w:color w:val="auto"/>
              </w:rPr>
            </w:pPr>
            <w:r>
              <w:rPr>
                <w:rFonts w:ascii="Arial" w:cs="Arial" w:eastAsia="Arial" w:hAnsi="Arial"/>
                <w:sz w:val="18"/>
                <w:szCs w:val="18"/>
                <w:color w:val="auto"/>
              </w:rPr>
              <w:t>Commodity hedging instruments</w:t>
            </w:r>
          </w:p>
        </w:tc>
        <w:tc>
          <w:tcPr>
            <w:tcW w:w="220" w:type="dxa"/>
            <w:vAlign w:val="bottom"/>
          </w:tcPr>
          <w:p>
            <w:pPr>
              <w:spacing w:after="0"/>
              <w:rPr>
                <w:sz w:val="21"/>
                <w:szCs w:val="21"/>
                <w:color w:val="auto"/>
              </w:rPr>
            </w:pPr>
          </w:p>
        </w:tc>
        <w:tc>
          <w:tcPr>
            <w:tcW w:w="2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500" w:type="dxa"/>
            <w:vAlign w:val="bottom"/>
          </w:tcPr>
          <w:p>
            <w:pPr>
              <w:jc w:val="right"/>
              <w:ind w:right="16"/>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40" w:type="dxa"/>
            <w:vAlign w:val="bottom"/>
            <w:gridSpan w:val="2"/>
          </w:tcPr>
          <w:p>
            <w:pPr>
              <w:ind w:left="114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CCEEFF"/>
            </w:tcBorders>
            <w:shd w:val="clear" w:color="auto" w:fill="CCEEFF"/>
          </w:tcPr>
          <w:p>
            <w:pPr>
              <w:spacing w:after="0"/>
              <w:rPr>
                <w:sz w:val="23"/>
                <w:szCs w:val="23"/>
                <w:color w:val="auto"/>
              </w:rPr>
            </w:pPr>
          </w:p>
        </w:tc>
        <w:tc>
          <w:tcPr>
            <w:tcW w:w="212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10.1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gridSpan w:val="2"/>
            <w:shd w:val="clear" w:color="auto" w:fill="CCEEFF"/>
          </w:tcPr>
          <w:p>
            <w:pPr>
              <w:ind w:left="114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2120" w:type="dxa"/>
            <w:vAlign w:val="bottom"/>
            <w:tcBorders>
              <w:top w:val="single" w:sz="8" w:color="auto"/>
            </w:tcBorders>
          </w:tcPr>
          <w:p>
            <w:pPr>
              <w:jc w:val="right"/>
              <w:ind w:right="54"/>
              <w:spacing w:after="0"/>
              <w:rPr>
                <w:sz w:val="20"/>
                <w:szCs w:val="20"/>
                <w:color w:val="auto"/>
              </w:rPr>
            </w:pPr>
            <w:r>
              <w:rPr>
                <w:rFonts w:ascii="Arial" w:cs="Arial" w:eastAsia="Arial" w:hAnsi="Arial"/>
                <w:sz w:val="18"/>
                <w:szCs w:val="18"/>
                <w:color w:val="auto"/>
              </w:rPr>
              <w:t>98.9</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tcBorders>
          </w:tcPr>
          <w:p>
            <w:pPr>
              <w:ind w:left="1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102.7</w:t>
            </w:r>
          </w:p>
        </w:tc>
        <w:tc>
          <w:tcPr>
            <w:tcW w:w="0" w:type="dxa"/>
            <w:vAlign w:val="bottom"/>
          </w:tcPr>
          <w:p>
            <w:pPr>
              <w:spacing w:after="0"/>
              <w:rPr>
                <w:sz w:val="1"/>
                <w:szCs w:val="1"/>
                <w:color w:val="auto"/>
              </w:rPr>
            </w:pPr>
          </w:p>
        </w:tc>
      </w:tr>
      <w:tr>
        <w:trPr>
          <w:trHeight w:val="67"/>
        </w:trPr>
        <w:tc>
          <w:tcPr>
            <w:tcW w:w="366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2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5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4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366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Liabilities</w:t>
            </w:r>
          </w:p>
        </w:tc>
        <w:tc>
          <w:tcPr>
            <w:tcW w:w="220" w:type="dxa"/>
            <w:vAlign w:val="bottom"/>
            <w:tcBorders>
              <w:bottom w:val="single" w:sz="8" w:color="CCEEFF"/>
            </w:tcBorders>
            <w:shd w:val="clear" w:color="auto" w:fill="CCEEFF"/>
          </w:tcPr>
          <w:p>
            <w:pPr>
              <w:spacing w:after="0"/>
              <w:rPr>
                <w:sz w:val="20"/>
                <w:szCs w:val="20"/>
                <w:color w:val="auto"/>
              </w:rPr>
            </w:pPr>
          </w:p>
        </w:tc>
        <w:tc>
          <w:tcPr>
            <w:tcW w:w="2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Derivatives</w:t>
            </w:r>
          </w:p>
        </w:tc>
        <w:tc>
          <w:tcPr>
            <w:tcW w:w="22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rate swap agreements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2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540" w:type="dxa"/>
            <w:vAlign w:val="bottom"/>
            <w:tcBorders>
              <w:bottom w:val="single" w:sz="8" w:color="CCEEFF"/>
            </w:tcBorders>
            <w:gridSpan w:val="2"/>
            <w:shd w:val="clear" w:color="auto" w:fill="CCEEFF"/>
          </w:tcPr>
          <w:p>
            <w:pPr>
              <w:ind w:left="114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43"/>
        </w:trPr>
        <w:tc>
          <w:tcPr>
            <w:tcW w:w="3660" w:type="dxa"/>
            <w:vAlign w:val="bottom"/>
          </w:tcPr>
          <w:p>
            <w:pPr>
              <w:ind w:left="380"/>
              <w:spacing w:after="0"/>
              <w:rPr>
                <w:sz w:val="20"/>
                <w:szCs w:val="20"/>
                <w:color w:val="auto"/>
              </w:rPr>
            </w:pPr>
            <w:r>
              <w:rPr>
                <w:rFonts w:ascii="Arial" w:cs="Arial" w:eastAsia="Arial" w:hAnsi="Arial"/>
                <w:sz w:val="18"/>
                <w:szCs w:val="18"/>
                <w:color w:val="auto"/>
              </w:rPr>
              <w:t>Commodity hedging instruments</w:t>
            </w:r>
          </w:p>
        </w:tc>
        <w:tc>
          <w:tcPr>
            <w:tcW w:w="220" w:type="dxa"/>
            <w:vAlign w:val="bottom"/>
          </w:tcPr>
          <w:p>
            <w:pPr>
              <w:spacing w:after="0"/>
              <w:rPr>
                <w:sz w:val="21"/>
                <w:szCs w:val="21"/>
                <w:color w:val="auto"/>
              </w:rPr>
            </w:pPr>
          </w:p>
        </w:tc>
        <w:tc>
          <w:tcPr>
            <w:tcW w:w="2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40" w:type="dxa"/>
            <w:vAlign w:val="bottom"/>
            <w:gridSpan w:val="2"/>
          </w:tcPr>
          <w:p>
            <w:pPr>
              <w:ind w:left="114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7"/>
        </w:trPr>
        <w:tc>
          <w:tcPr>
            <w:tcW w:w="36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2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1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540" w:type="dxa"/>
            <w:vAlign w:val="bottom"/>
            <w:tcBorders>
              <w:bottom w:val="single" w:sz="8" w:color="CCEEFF"/>
            </w:tcBorders>
            <w:gridSpan w:val="2"/>
            <w:shd w:val="clear" w:color="auto" w:fill="CCEEFF"/>
          </w:tcPr>
          <w:p>
            <w:pPr>
              <w:ind w:left="114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 presents the Company’s financial assets and liabilities measured at fair value on a recurring basis at December 28, 2013:</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Quoted Prices in Active</w:t>
            </w:r>
          </w:p>
        </w:tc>
        <w:tc>
          <w:tcPr>
            <w:tcW w:w="200" w:type="dxa"/>
            <w:vAlign w:val="bottom"/>
          </w:tcPr>
          <w:p>
            <w:pPr>
              <w:spacing w:after="0"/>
              <w:rPr>
                <w:sz w:val="14"/>
                <w:szCs w:val="14"/>
                <w:color w:val="auto"/>
              </w:rPr>
            </w:pPr>
          </w:p>
        </w:tc>
        <w:tc>
          <w:tcPr>
            <w:tcW w:w="164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3"/>
              </w:rPr>
              <w:t>Significant Other</w:t>
            </w:r>
          </w:p>
        </w:tc>
        <w:tc>
          <w:tcPr>
            <w:tcW w:w="240" w:type="dxa"/>
            <w:vAlign w:val="bottom"/>
          </w:tcPr>
          <w:p>
            <w:pPr>
              <w:spacing w:after="0"/>
              <w:rPr>
                <w:sz w:val="14"/>
                <w:szCs w:val="14"/>
                <w:color w:val="auto"/>
              </w:rPr>
            </w:pPr>
          </w:p>
        </w:tc>
        <w:tc>
          <w:tcPr>
            <w:tcW w:w="15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Unobservable</w:t>
            </w:r>
          </w:p>
        </w:tc>
        <w:tc>
          <w:tcPr>
            <w:tcW w:w="4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Markets for Identical Assets</w:t>
            </w:r>
          </w:p>
        </w:tc>
        <w:tc>
          <w:tcPr>
            <w:tcW w:w="200" w:type="dxa"/>
            <w:vAlign w:val="bottom"/>
          </w:tcPr>
          <w:p>
            <w:pPr>
              <w:spacing w:after="0"/>
              <w:rPr>
                <w:sz w:val="12"/>
                <w:szCs w:val="12"/>
                <w:color w:val="auto"/>
              </w:rPr>
            </w:pPr>
          </w:p>
        </w:tc>
        <w:tc>
          <w:tcPr>
            <w:tcW w:w="164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Observable Inputs</w:t>
            </w:r>
          </w:p>
        </w:tc>
        <w:tc>
          <w:tcPr>
            <w:tcW w:w="240" w:type="dxa"/>
            <w:vAlign w:val="bottom"/>
          </w:tcPr>
          <w:p>
            <w:pPr>
              <w:spacing w:after="0"/>
              <w:rPr>
                <w:sz w:val="12"/>
                <w:szCs w:val="12"/>
                <w:color w:val="auto"/>
              </w:rPr>
            </w:pPr>
          </w:p>
        </w:tc>
        <w:tc>
          <w:tcPr>
            <w:tcW w:w="15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5"/>
              </w:rPr>
              <w:t>Inputs</w:t>
            </w:r>
          </w:p>
        </w:tc>
        <w:tc>
          <w:tcPr>
            <w:tcW w:w="400" w:type="dxa"/>
            <w:vAlign w:val="bottom"/>
          </w:tcPr>
          <w:p>
            <w:pPr>
              <w:spacing w:after="0"/>
              <w:rPr>
                <w:sz w:val="12"/>
                <w:szCs w:val="12"/>
                <w:color w:val="auto"/>
              </w:rPr>
            </w:pPr>
          </w:p>
        </w:tc>
        <w:tc>
          <w:tcPr>
            <w:tcW w:w="1300" w:type="dxa"/>
            <w:vAlign w:val="bottom"/>
            <w:vMerge w:val="restart"/>
          </w:tcPr>
          <w:p>
            <w:pPr>
              <w:jc w:val="right"/>
              <w:ind w:right="61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6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4"/>
              </w:rPr>
              <w:t>(Level 1)</w:t>
            </w:r>
          </w:p>
        </w:tc>
        <w:tc>
          <w:tcPr>
            <w:tcW w:w="2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center"/>
              <w:ind w:right="340"/>
              <w:spacing w:after="0"/>
              <w:rPr>
                <w:sz w:val="20"/>
                <w:szCs w:val="20"/>
                <w:color w:val="auto"/>
              </w:rPr>
            </w:pPr>
            <w:r>
              <w:rPr>
                <w:rFonts w:ascii="Arial" w:cs="Arial" w:eastAsia="Arial" w:hAnsi="Arial"/>
                <w:sz w:val="14"/>
                <w:szCs w:val="14"/>
                <w:b w:val="1"/>
                <w:bCs w:val="1"/>
                <w:color w:val="auto"/>
                <w:w w:val="94"/>
              </w:rPr>
              <w:t>(Level 2)</w:t>
            </w:r>
          </w:p>
        </w:tc>
        <w:tc>
          <w:tcPr>
            <w:tcW w:w="2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4"/>
                <w:szCs w:val="14"/>
                <w:b w:val="1"/>
                <w:bCs w:val="1"/>
                <w:color w:val="auto"/>
                <w:w w:val="94"/>
              </w:rPr>
              <w:t>(Level 3)</w:t>
            </w: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6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40" w:type="dxa"/>
            <w:vAlign w:val="bottom"/>
            <w:gridSpan w:val="3"/>
          </w:tcPr>
          <w:p>
            <w:pPr>
              <w:ind w:left="880"/>
              <w:spacing w:after="0"/>
              <w:rPr>
                <w:sz w:val="20"/>
                <w:szCs w:val="20"/>
                <w:color w:val="auto"/>
              </w:rPr>
            </w:pPr>
            <w:r>
              <w:rPr>
                <w:rFonts w:ascii="Arial" w:cs="Arial" w:eastAsia="Arial" w:hAnsi="Arial"/>
                <w:sz w:val="14"/>
                <w:szCs w:val="14"/>
                <w:b w:val="1"/>
                <w:bCs w:val="1"/>
                <w:color w:val="auto"/>
                <w:w w:val="94"/>
              </w:rPr>
              <w:t>(In millions)</w:t>
            </w:r>
          </w:p>
        </w:tc>
        <w:tc>
          <w:tcPr>
            <w:tcW w:w="2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20" w:type="dxa"/>
            <w:vAlign w:val="bottom"/>
            <w:tcBorders>
              <w:bottom w:val="single" w:sz="8" w:color="CCEEFF"/>
            </w:tcBorders>
            <w:shd w:val="clear" w:color="auto" w:fill="CCEEFF"/>
          </w:tcPr>
          <w:p>
            <w:pPr>
              <w:spacing w:after="0"/>
              <w:rPr>
                <w:sz w:val="22"/>
                <w:szCs w:val="22"/>
                <w:color w:val="auto"/>
              </w:rPr>
            </w:pPr>
          </w:p>
        </w:tc>
        <w:tc>
          <w:tcPr>
            <w:tcW w:w="2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Cash equivalents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2120" w:type="dxa"/>
            <w:vAlign w:val="bottom"/>
          </w:tcPr>
          <w:p>
            <w:pPr>
              <w:jc w:val="right"/>
              <w:ind w:right="54"/>
              <w:spacing w:after="0"/>
              <w:rPr>
                <w:sz w:val="20"/>
                <w:szCs w:val="20"/>
                <w:color w:val="auto"/>
              </w:rPr>
            </w:pPr>
            <w:r>
              <w:rPr>
                <w:rFonts w:ascii="Arial" w:cs="Arial" w:eastAsia="Arial" w:hAnsi="Arial"/>
                <w:sz w:val="18"/>
                <w:szCs w:val="18"/>
                <w:color w:val="auto"/>
              </w:rPr>
              <w:t>85.6</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540" w:type="dxa"/>
            <w:vAlign w:val="bottom"/>
            <w:gridSpan w:val="2"/>
          </w:tcPr>
          <w:p>
            <w:pPr>
              <w:ind w:left="114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85.6</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Derivatives</w:t>
            </w:r>
          </w:p>
        </w:tc>
        <w:tc>
          <w:tcPr>
            <w:tcW w:w="22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60" w:type="dxa"/>
            <w:vAlign w:val="bottom"/>
          </w:tcPr>
          <w:p>
            <w:pPr>
              <w:ind w:left="380"/>
              <w:spacing w:after="0"/>
              <w:rPr>
                <w:sz w:val="20"/>
                <w:szCs w:val="20"/>
                <w:color w:val="auto"/>
              </w:rPr>
            </w:pPr>
            <w:r>
              <w:rPr>
                <w:rFonts w:ascii="Arial" w:cs="Arial" w:eastAsia="Arial" w:hAnsi="Arial"/>
                <w:sz w:val="18"/>
                <w:szCs w:val="18"/>
                <w:color w:val="auto"/>
              </w:rPr>
              <w:t>Interest rate swap agreements</w:t>
            </w:r>
          </w:p>
        </w:tc>
        <w:tc>
          <w:tcPr>
            <w:tcW w:w="220" w:type="dxa"/>
            <w:vAlign w:val="bottom"/>
          </w:tcPr>
          <w:p>
            <w:pPr>
              <w:spacing w:after="0"/>
              <w:rPr>
                <w:sz w:val="21"/>
                <w:szCs w:val="21"/>
                <w:color w:val="auto"/>
              </w:rPr>
            </w:pPr>
          </w:p>
        </w:tc>
        <w:tc>
          <w:tcPr>
            <w:tcW w:w="2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500" w:type="dxa"/>
            <w:vAlign w:val="bottom"/>
          </w:tcPr>
          <w:p>
            <w:pPr>
              <w:jc w:val="right"/>
              <w:ind w:right="16"/>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40" w:type="dxa"/>
            <w:vAlign w:val="bottom"/>
            <w:gridSpan w:val="2"/>
          </w:tcPr>
          <w:p>
            <w:pPr>
              <w:ind w:left="114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Commodity hedging instruments</w:t>
            </w:r>
          </w:p>
        </w:tc>
        <w:tc>
          <w:tcPr>
            <w:tcW w:w="220" w:type="dxa"/>
            <w:vAlign w:val="bottom"/>
            <w:tcBorders>
              <w:bottom w:val="single" w:sz="8" w:color="CCEEFF"/>
            </w:tcBorders>
            <w:shd w:val="clear" w:color="auto" w:fill="CCEEFF"/>
          </w:tcPr>
          <w:p>
            <w:pPr>
              <w:spacing w:after="0"/>
              <w:rPr>
                <w:sz w:val="21"/>
                <w:szCs w:val="21"/>
                <w:color w:val="auto"/>
              </w:rPr>
            </w:pPr>
          </w:p>
        </w:tc>
        <w:tc>
          <w:tcPr>
            <w:tcW w:w="2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ind w:left="114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21"/>
                <w:szCs w:val="21"/>
                <w:color w:val="auto"/>
              </w:rPr>
            </w:pPr>
          </w:p>
        </w:tc>
        <w:tc>
          <w:tcPr>
            <w:tcW w:w="2120" w:type="dxa"/>
            <w:vAlign w:val="bottom"/>
          </w:tcPr>
          <w:p>
            <w:pPr>
              <w:jc w:val="right"/>
              <w:ind w:right="54"/>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4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540" w:type="dxa"/>
            <w:vAlign w:val="bottom"/>
            <w:gridSpan w:val="2"/>
          </w:tcPr>
          <w:p>
            <w:pPr>
              <w:ind w:left="114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7"/>
        </w:trPr>
        <w:tc>
          <w:tcPr>
            <w:tcW w:w="36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212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93.2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6.3</w:t>
            </w:r>
          </w:p>
        </w:tc>
        <w:tc>
          <w:tcPr>
            <w:tcW w:w="1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540" w:type="dxa"/>
            <w:vAlign w:val="bottom"/>
            <w:tcBorders>
              <w:bottom w:val="single" w:sz="8" w:color="CCEEFF"/>
            </w:tcBorders>
            <w:gridSpan w:val="2"/>
            <w:shd w:val="clear" w:color="auto" w:fill="CCEEFF"/>
          </w:tcPr>
          <w:p>
            <w:pPr>
              <w:ind w:left="114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99.5</w:t>
            </w: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Liabilities</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2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66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3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Derivatives</w:t>
            </w:r>
          </w:p>
        </w:tc>
        <w:tc>
          <w:tcPr>
            <w:tcW w:w="22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60" w:type="dxa"/>
            <w:vAlign w:val="bottom"/>
          </w:tcPr>
          <w:p>
            <w:pPr>
              <w:ind w:left="380"/>
              <w:spacing w:after="0"/>
              <w:rPr>
                <w:sz w:val="20"/>
                <w:szCs w:val="20"/>
                <w:color w:val="auto"/>
              </w:rPr>
            </w:pPr>
            <w:r>
              <w:rPr>
                <w:rFonts w:ascii="Arial" w:cs="Arial" w:eastAsia="Arial" w:hAnsi="Arial"/>
                <w:sz w:val="18"/>
                <w:szCs w:val="18"/>
                <w:color w:val="auto"/>
              </w:rPr>
              <w:t>Interest rate swap agreements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2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(20.4)</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540" w:type="dxa"/>
            <w:vAlign w:val="bottom"/>
            <w:gridSpan w:val="2"/>
          </w:tcPr>
          <w:p>
            <w:pPr>
              <w:ind w:left="114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Foreign currency forward contracts</w:t>
            </w:r>
          </w:p>
        </w:tc>
        <w:tc>
          <w:tcPr>
            <w:tcW w:w="220" w:type="dxa"/>
            <w:vAlign w:val="bottom"/>
            <w:tcBorders>
              <w:bottom w:val="single" w:sz="8" w:color="CCEEFF"/>
            </w:tcBorders>
            <w:shd w:val="clear" w:color="auto" w:fill="CCEEFF"/>
          </w:tcPr>
          <w:p>
            <w:pPr>
              <w:spacing w:after="0"/>
              <w:rPr>
                <w:sz w:val="23"/>
                <w:szCs w:val="23"/>
                <w:color w:val="auto"/>
              </w:rPr>
            </w:pPr>
          </w:p>
        </w:tc>
        <w:tc>
          <w:tcPr>
            <w:tcW w:w="2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gridSpan w:val="2"/>
            <w:shd w:val="clear" w:color="auto" w:fill="CCEEFF"/>
          </w:tcPr>
          <w:p>
            <w:pPr>
              <w:ind w:left="114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2120" w:type="dxa"/>
            <w:vAlign w:val="bottom"/>
            <w:tcBorders>
              <w:top w:val="single" w:sz="8" w:color="auto"/>
            </w:tcBorders>
          </w:tcPr>
          <w:p>
            <w:pPr>
              <w:jc w:val="right"/>
              <w:ind w:right="5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(20.9)</w:t>
            </w:r>
          </w:p>
        </w:tc>
        <w:tc>
          <w:tcPr>
            <w:tcW w:w="10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tcBorders>
          </w:tcPr>
          <w:p>
            <w:pPr>
              <w:ind w:left="1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3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20" w:type="dxa"/>
            <w:vAlign w:val="bottom"/>
          </w:tcPr>
          <w:p>
            <w:pPr>
              <w:jc w:val="right"/>
              <w:ind w:right="114"/>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color w:val="FFFFFF"/>
        </w:rPr>
      </w:pPr>
      <w:hyperlink w:anchor="page1">
        <w:r>
          <w:rPr>
            <w:rFonts w:ascii="Arial" w:cs="Arial" w:eastAsia="Arial" w:hAnsi="Arial"/>
            <w:sz w:val="18"/>
            <w:szCs w:val="18"/>
            <w:color w:val="FFFFFF"/>
          </w:rPr>
          <w:t>Table of Contents</w:t>
        </w:r>
      </w:hyperlink>
    </w:p>
    <w:p>
      <w:pPr>
        <w:spacing w:after="0" w:line="200" w:lineRule="exact"/>
        <w:rPr>
          <w:sz w:val="20"/>
          <w:szCs w:val="20"/>
          <w:color w:val="auto"/>
        </w:rPr>
      </w:pPr>
    </w:p>
    <w:p>
      <w:pPr>
        <w:spacing w:after="0" w:line="268"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table presents the Company’s financial assets and liabilities measured at fair value on a recurring basis at September 30, 2014:</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Quoted Prices in Active</w:t>
            </w:r>
          </w:p>
        </w:tc>
        <w:tc>
          <w:tcPr>
            <w:tcW w:w="200" w:type="dxa"/>
            <w:vAlign w:val="bottom"/>
          </w:tcPr>
          <w:p>
            <w:pPr>
              <w:spacing w:after="0"/>
              <w:rPr>
                <w:sz w:val="14"/>
                <w:szCs w:val="14"/>
                <w:color w:val="auto"/>
              </w:rPr>
            </w:pPr>
          </w:p>
        </w:tc>
        <w:tc>
          <w:tcPr>
            <w:tcW w:w="164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3"/>
              </w:rPr>
              <w:t>Significant Other</w:t>
            </w:r>
          </w:p>
        </w:tc>
        <w:tc>
          <w:tcPr>
            <w:tcW w:w="240" w:type="dxa"/>
            <w:vAlign w:val="bottom"/>
          </w:tcPr>
          <w:p>
            <w:pPr>
              <w:spacing w:after="0"/>
              <w:rPr>
                <w:sz w:val="14"/>
                <w:szCs w:val="14"/>
                <w:color w:val="auto"/>
              </w:rPr>
            </w:pPr>
          </w:p>
        </w:tc>
        <w:tc>
          <w:tcPr>
            <w:tcW w:w="15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Unobservable</w:t>
            </w:r>
          </w:p>
        </w:tc>
        <w:tc>
          <w:tcPr>
            <w:tcW w:w="4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Markets for Identical Assets</w:t>
            </w:r>
          </w:p>
        </w:tc>
        <w:tc>
          <w:tcPr>
            <w:tcW w:w="200" w:type="dxa"/>
            <w:vAlign w:val="bottom"/>
          </w:tcPr>
          <w:p>
            <w:pPr>
              <w:spacing w:after="0"/>
              <w:rPr>
                <w:sz w:val="12"/>
                <w:szCs w:val="12"/>
                <w:color w:val="auto"/>
              </w:rPr>
            </w:pPr>
          </w:p>
        </w:tc>
        <w:tc>
          <w:tcPr>
            <w:tcW w:w="164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Observable Inputs</w:t>
            </w:r>
          </w:p>
        </w:tc>
        <w:tc>
          <w:tcPr>
            <w:tcW w:w="240" w:type="dxa"/>
            <w:vAlign w:val="bottom"/>
          </w:tcPr>
          <w:p>
            <w:pPr>
              <w:spacing w:after="0"/>
              <w:rPr>
                <w:sz w:val="12"/>
                <w:szCs w:val="12"/>
                <w:color w:val="auto"/>
              </w:rPr>
            </w:pPr>
          </w:p>
        </w:tc>
        <w:tc>
          <w:tcPr>
            <w:tcW w:w="15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5"/>
              </w:rPr>
              <w:t>Inputs</w:t>
            </w:r>
          </w:p>
        </w:tc>
        <w:tc>
          <w:tcPr>
            <w:tcW w:w="400" w:type="dxa"/>
            <w:vAlign w:val="bottom"/>
          </w:tcPr>
          <w:p>
            <w:pPr>
              <w:spacing w:after="0"/>
              <w:rPr>
                <w:sz w:val="12"/>
                <w:szCs w:val="12"/>
                <w:color w:val="auto"/>
              </w:rPr>
            </w:pPr>
          </w:p>
        </w:tc>
        <w:tc>
          <w:tcPr>
            <w:tcW w:w="1300" w:type="dxa"/>
            <w:vAlign w:val="bottom"/>
            <w:vMerge w:val="restart"/>
          </w:tcPr>
          <w:p>
            <w:pPr>
              <w:jc w:val="right"/>
              <w:ind w:right="61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6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4"/>
              </w:rPr>
              <w:t>(Level 1)</w:t>
            </w:r>
          </w:p>
        </w:tc>
        <w:tc>
          <w:tcPr>
            <w:tcW w:w="2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center"/>
              <w:ind w:right="340"/>
              <w:spacing w:after="0"/>
              <w:rPr>
                <w:sz w:val="20"/>
                <w:szCs w:val="20"/>
                <w:color w:val="auto"/>
              </w:rPr>
            </w:pPr>
            <w:r>
              <w:rPr>
                <w:rFonts w:ascii="Arial" w:cs="Arial" w:eastAsia="Arial" w:hAnsi="Arial"/>
                <w:sz w:val="14"/>
                <w:szCs w:val="14"/>
                <w:b w:val="1"/>
                <w:bCs w:val="1"/>
                <w:color w:val="auto"/>
                <w:w w:val="94"/>
              </w:rPr>
              <w:t>(Level 2)</w:t>
            </w:r>
          </w:p>
        </w:tc>
        <w:tc>
          <w:tcPr>
            <w:tcW w:w="2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4"/>
                <w:szCs w:val="14"/>
                <w:b w:val="1"/>
                <w:bCs w:val="1"/>
                <w:color w:val="auto"/>
                <w:w w:val="94"/>
              </w:rPr>
              <w:t>(Level 3)</w:t>
            </w: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6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40" w:type="dxa"/>
            <w:vAlign w:val="bottom"/>
            <w:gridSpan w:val="3"/>
          </w:tcPr>
          <w:p>
            <w:pPr>
              <w:ind w:left="880"/>
              <w:spacing w:after="0"/>
              <w:rPr>
                <w:sz w:val="20"/>
                <w:szCs w:val="20"/>
                <w:color w:val="auto"/>
              </w:rPr>
            </w:pPr>
            <w:r>
              <w:rPr>
                <w:rFonts w:ascii="Arial" w:cs="Arial" w:eastAsia="Arial" w:hAnsi="Arial"/>
                <w:sz w:val="14"/>
                <w:szCs w:val="14"/>
                <w:b w:val="1"/>
                <w:bCs w:val="1"/>
                <w:color w:val="auto"/>
                <w:w w:val="94"/>
              </w:rPr>
              <w:t>(In millions)</w:t>
            </w:r>
          </w:p>
        </w:tc>
        <w:tc>
          <w:tcPr>
            <w:tcW w:w="2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20" w:type="dxa"/>
            <w:vAlign w:val="bottom"/>
            <w:tcBorders>
              <w:bottom w:val="single" w:sz="8" w:color="CCEEFF"/>
            </w:tcBorders>
            <w:shd w:val="clear" w:color="auto" w:fill="CCEEFF"/>
          </w:tcPr>
          <w:p>
            <w:pPr>
              <w:spacing w:after="0"/>
              <w:rPr>
                <w:sz w:val="22"/>
                <w:szCs w:val="22"/>
                <w:color w:val="auto"/>
              </w:rPr>
            </w:pPr>
          </w:p>
        </w:tc>
        <w:tc>
          <w:tcPr>
            <w:tcW w:w="2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Cash equivalents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2120" w:type="dxa"/>
            <w:vAlign w:val="bottom"/>
          </w:tcPr>
          <w:p>
            <w:pPr>
              <w:jc w:val="right"/>
              <w:ind w:right="55"/>
              <w:spacing w:after="0"/>
              <w:rPr>
                <w:sz w:val="20"/>
                <w:szCs w:val="20"/>
                <w:color w:val="auto"/>
              </w:rPr>
            </w:pPr>
            <w:r>
              <w:rPr>
                <w:rFonts w:ascii="Arial" w:cs="Arial" w:eastAsia="Arial" w:hAnsi="Arial"/>
                <w:sz w:val="18"/>
                <w:szCs w:val="18"/>
                <w:color w:val="auto"/>
              </w:rPr>
              <w:t>32.0</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540" w:type="dxa"/>
            <w:vAlign w:val="bottom"/>
            <w:gridSpan w:val="2"/>
          </w:tcPr>
          <w:p>
            <w:pPr>
              <w:ind w:left="114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Derivatives</w:t>
            </w:r>
          </w:p>
        </w:tc>
        <w:tc>
          <w:tcPr>
            <w:tcW w:w="22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60" w:type="dxa"/>
            <w:vAlign w:val="bottom"/>
          </w:tcPr>
          <w:p>
            <w:pPr>
              <w:ind w:left="380"/>
              <w:spacing w:after="0"/>
              <w:rPr>
                <w:sz w:val="20"/>
                <w:szCs w:val="20"/>
                <w:color w:val="auto"/>
              </w:rPr>
            </w:pPr>
            <w:r>
              <w:rPr>
                <w:rFonts w:ascii="Arial" w:cs="Arial" w:eastAsia="Arial" w:hAnsi="Arial"/>
                <w:sz w:val="18"/>
                <w:szCs w:val="18"/>
                <w:color w:val="auto"/>
              </w:rPr>
              <w:t>Interest rate swap agreements</w:t>
            </w:r>
          </w:p>
        </w:tc>
        <w:tc>
          <w:tcPr>
            <w:tcW w:w="220" w:type="dxa"/>
            <w:vAlign w:val="bottom"/>
          </w:tcPr>
          <w:p>
            <w:pPr>
              <w:spacing w:after="0"/>
              <w:rPr>
                <w:sz w:val="21"/>
                <w:szCs w:val="21"/>
                <w:color w:val="auto"/>
              </w:rPr>
            </w:pPr>
          </w:p>
        </w:tc>
        <w:tc>
          <w:tcPr>
            <w:tcW w:w="2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500" w:type="dxa"/>
            <w:vAlign w:val="bottom"/>
          </w:tcPr>
          <w:p>
            <w:pPr>
              <w:jc w:val="right"/>
              <w:ind w:right="16"/>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40" w:type="dxa"/>
            <w:vAlign w:val="bottom"/>
            <w:gridSpan w:val="2"/>
          </w:tcPr>
          <w:p>
            <w:pPr>
              <w:ind w:left="114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CCEEFF"/>
            </w:tcBorders>
            <w:shd w:val="clear" w:color="auto" w:fill="CCEEFF"/>
          </w:tcPr>
          <w:p>
            <w:pPr>
              <w:spacing w:after="0"/>
              <w:rPr>
                <w:sz w:val="23"/>
                <w:szCs w:val="23"/>
                <w:color w:val="auto"/>
              </w:rPr>
            </w:pPr>
          </w:p>
        </w:tc>
        <w:tc>
          <w:tcPr>
            <w:tcW w:w="21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8.9</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gridSpan w:val="2"/>
            <w:shd w:val="clear" w:color="auto" w:fill="CCEEFF"/>
          </w:tcPr>
          <w:p>
            <w:pPr>
              <w:ind w:left="114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2120" w:type="dxa"/>
            <w:vAlign w:val="bottom"/>
            <w:tcBorders>
              <w:top w:val="single" w:sz="8" w:color="auto"/>
            </w:tcBorders>
          </w:tcPr>
          <w:p>
            <w:pPr>
              <w:jc w:val="right"/>
              <w:ind w:right="55"/>
              <w:spacing w:after="0"/>
              <w:rPr>
                <w:sz w:val="20"/>
                <w:szCs w:val="20"/>
                <w:color w:val="auto"/>
              </w:rPr>
            </w:pPr>
            <w:r>
              <w:rPr>
                <w:rFonts w:ascii="Arial" w:cs="Arial" w:eastAsia="Arial" w:hAnsi="Arial"/>
                <w:sz w:val="18"/>
                <w:szCs w:val="18"/>
                <w:color w:val="auto"/>
              </w:rPr>
              <w:t>40.9</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tcBorders>
          </w:tcPr>
          <w:p>
            <w:pPr>
              <w:ind w:left="1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44.9</w:t>
            </w:r>
          </w:p>
        </w:tc>
        <w:tc>
          <w:tcPr>
            <w:tcW w:w="0" w:type="dxa"/>
            <w:vAlign w:val="bottom"/>
          </w:tcPr>
          <w:p>
            <w:pPr>
              <w:spacing w:after="0"/>
              <w:rPr>
                <w:sz w:val="1"/>
                <w:szCs w:val="1"/>
                <w:color w:val="auto"/>
              </w:rPr>
            </w:pPr>
          </w:p>
        </w:tc>
      </w:tr>
      <w:tr>
        <w:trPr>
          <w:trHeight w:val="67"/>
        </w:trPr>
        <w:tc>
          <w:tcPr>
            <w:tcW w:w="366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2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5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4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366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Liabilities</w:t>
            </w:r>
          </w:p>
        </w:tc>
        <w:tc>
          <w:tcPr>
            <w:tcW w:w="220" w:type="dxa"/>
            <w:vAlign w:val="bottom"/>
            <w:tcBorders>
              <w:bottom w:val="single" w:sz="8" w:color="CCEEFF"/>
            </w:tcBorders>
            <w:shd w:val="clear" w:color="auto" w:fill="CCEEFF"/>
          </w:tcPr>
          <w:p>
            <w:pPr>
              <w:spacing w:after="0"/>
              <w:rPr>
                <w:sz w:val="20"/>
                <w:szCs w:val="20"/>
                <w:color w:val="auto"/>
              </w:rPr>
            </w:pPr>
          </w:p>
        </w:tc>
        <w:tc>
          <w:tcPr>
            <w:tcW w:w="2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Derivatives</w:t>
            </w:r>
          </w:p>
        </w:tc>
        <w:tc>
          <w:tcPr>
            <w:tcW w:w="22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rate swap agreements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2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540" w:type="dxa"/>
            <w:vAlign w:val="bottom"/>
            <w:tcBorders>
              <w:bottom w:val="single" w:sz="8" w:color="CCEEFF"/>
            </w:tcBorders>
            <w:gridSpan w:val="2"/>
            <w:shd w:val="clear" w:color="auto" w:fill="CCEEFF"/>
          </w:tcPr>
          <w:p>
            <w:pPr>
              <w:ind w:left="114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43"/>
        </w:trPr>
        <w:tc>
          <w:tcPr>
            <w:tcW w:w="3660" w:type="dxa"/>
            <w:vAlign w:val="bottom"/>
          </w:tcPr>
          <w:p>
            <w:pPr>
              <w:ind w:left="380"/>
              <w:spacing w:after="0"/>
              <w:rPr>
                <w:sz w:val="20"/>
                <w:szCs w:val="20"/>
                <w:color w:val="auto"/>
              </w:rPr>
            </w:pPr>
            <w:r>
              <w:rPr>
                <w:rFonts w:ascii="Arial" w:cs="Arial" w:eastAsia="Arial" w:hAnsi="Arial"/>
                <w:sz w:val="18"/>
                <w:szCs w:val="18"/>
                <w:color w:val="auto"/>
              </w:rPr>
              <w:t>Foreign currency forward contracts</w:t>
            </w:r>
          </w:p>
        </w:tc>
        <w:tc>
          <w:tcPr>
            <w:tcW w:w="220" w:type="dxa"/>
            <w:vAlign w:val="bottom"/>
          </w:tcPr>
          <w:p>
            <w:pPr>
              <w:spacing w:after="0"/>
              <w:rPr>
                <w:sz w:val="21"/>
                <w:szCs w:val="21"/>
                <w:color w:val="auto"/>
              </w:rPr>
            </w:pPr>
          </w:p>
        </w:tc>
        <w:tc>
          <w:tcPr>
            <w:tcW w:w="2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40" w:type="dxa"/>
            <w:vAlign w:val="bottom"/>
            <w:gridSpan w:val="2"/>
          </w:tcPr>
          <w:p>
            <w:pPr>
              <w:ind w:left="114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Commodity hedging instruments</w:t>
            </w:r>
          </w:p>
        </w:tc>
        <w:tc>
          <w:tcPr>
            <w:tcW w:w="220" w:type="dxa"/>
            <w:vAlign w:val="bottom"/>
            <w:tcBorders>
              <w:bottom w:val="single" w:sz="8" w:color="CCEEFF"/>
            </w:tcBorders>
            <w:shd w:val="clear" w:color="auto" w:fill="CCEEFF"/>
          </w:tcPr>
          <w:p>
            <w:pPr>
              <w:spacing w:after="0"/>
              <w:rPr>
                <w:sz w:val="23"/>
                <w:szCs w:val="23"/>
                <w:color w:val="auto"/>
              </w:rPr>
            </w:pPr>
          </w:p>
        </w:tc>
        <w:tc>
          <w:tcPr>
            <w:tcW w:w="2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gridSpan w:val="2"/>
            <w:shd w:val="clear" w:color="auto" w:fill="CCEEFF"/>
          </w:tcPr>
          <w:p>
            <w:pPr>
              <w:ind w:left="114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2120" w:type="dxa"/>
            <w:vAlign w:val="bottom"/>
            <w:tcBorders>
              <w:top w:val="single" w:sz="8" w:color="auto"/>
            </w:tcBorders>
          </w:tcPr>
          <w:p>
            <w:pPr>
              <w:jc w:val="right"/>
              <w:ind w:right="55"/>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(17.5)</w:t>
            </w:r>
          </w:p>
        </w:tc>
        <w:tc>
          <w:tcPr>
            <w:tcW w:w="10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tcBorders>
          </w:tcPr>
          <w:p>
            <w:pPr>
              <w:ind w:left="1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SEGMENT INFORMATION</w:t>
      </w:r>
    </w:p>
    <w:p>
      <w:pPr>
        <w:spacing w:after="0" w:line="148" w:lineRule="exact"/>
        <w:rPr>
          <w:sz w:val="20"/>
          <w:szCs w:val="20"/>
          <w:color w:val="auto"/>
        </w:rPr>
      </w:pPr>
    </w:p>
    <w:p>
      <w:pPr>
        <w:jc w:val="both"/>
        <w:ind w:firstLine="432"/>
        <w:spacing w:after="0" w:line="216" w:lineRule="auto"/>
        <w:rPr>
          <w:sz w:val="20"/>
          <w:szCs w:val="20"/>
          <w:color w:val="auto"/>
        </w:rPr>
      </w:pPr>
      <w:r>
        <w:rPr>
          <w:rFonts w:ascii="Arial" w:cs="Arial" w:eastAsia="Arial" w:hAnsi="Arial"/>
          <w:sz w:val="18"/>
          <w:szCs w:val="18"/>
          <w:color w:val="auto"/>
        </w:rPr>
        <w:t>The Company divides its business into two segments — Global Consumer and Scotts LawnService</w:t>
      </w:r>
      <w:r>
        <w:rPr>
          <w:rFonts w:ascii="Arial" w:cs="Arial" w:eastAsia="Arial" w:hAnsi="Arial"/>
          <w:sz w:val="25"/>
          <w:szCs w:val="25"/>
          <w:color w:val="auto"/>
          <w:vertAlign w:val="superscript"/>
        </w:rPr>
        <w:t>®</w:t>
      </w:r>
      <w:r>
        <w:rPr>
          <w:rFonts w:ascii="Arial" w:cs="Arial" w:eastAsia="Arial" w:hAnsi="Arial"/>
          <w:sz w:val="18"/>
          <w:szCs w:val="18"/>
          <w:color w:val="auto"/>
        </w:rPr>
        <w:t>. This division of reportable segments is consistent with how the segments report to and are managed by the chief operating decision maker of the Company.</w:t>
      </w:r>
    </w:p>
    <w:p>
      <w:pPr>
        <w:spacing w:after="0" w:line="122"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Segment performance is evaluated on several factors, including income from continuing operations before amortization and impairment, restructuring and other charges, which is not a GAAP measure. Senior management uses this measure of operating profit to gauge segment performance because the Company believes this measure is the most indicative of performance trends and the overall earnings potential of each segment.</w:t>
      </w:r>
    </w:p>
    <w:p>
      <w:pPr>
        <w:spacing w:after="0" w:line="66" w:lineRule="exact"/>
        <w:rPr>
          <w:sz w:val="20"/>
          <w:szCs w:val="20"/>
          <w:color w:val="auto"/>
        </w:rPr>
      </w:pPr>
    </w:p>
    <w:p>
      <w:pPr>
        <w:jc w:val="both"/>
        <w:ind w:firstLine="432"/>
        <w:spacing w:after="0" w:line="232" w:lineRule="auto"/>
        <w:rPr>
          <w:sz w:val="20"/>
          <w:szCs w:val="20"/>
          <w:color w:val="auto"/>
        </w:rPr>
      </w:pPr>
      <w:r>
        <w:rPr>
          <w:rFonts w:ascii="Arial" w:cs="Arial" w:eastAsia="Arial" w:hAnsi="Arial"/>
          <w:sz w:val="18"/>
          <w:szCs w:val="18"/>
          <w:color w:val="auto"/>
        </w:rPr>
        <w:t>Corporate &amp; Other consists of revenues and expenses associated with the Company’s supply agreements with Israel Chemicals, Ltd. (“ICL”) and the amortization related to the Roundup</w:t>
      </w:r>
      <w:r>
        <w:rPr>
          <w:rFonts w:ascii="Arial" w:cs="Arial" w:eastAsia="Arial" w:hAnsi="Arial"/>
          <w:sz w:val="25"/>
          <w:szCs w:val="25"/>
          <w:color w:val="auto"/>
          <w:vertAlign w:val="superscript"/>
        </w:rPr>
        <w:t>®</w:t>
      </w:r>
      <w:r>
        <w:rPr>
          <w:rFonts w:ascii="Arial" w:cs="Arial" w:eastAsia="Arial" w:hAnsi="Arial"/>
          <w:sz w:val="18"/>
          <w:szCs w:val="18"/>
          <w:color w:val="auto"/>
        </w:rPr>
        <w:t xml:space="preserve"> Marketing Agreement, as well as corporate, general and administrative expenses and certain other income/expense items not allocated to the business segments. Corporate &amp; Other assets primarily include deferred financing and debt issuance costs and corporate intangible assets, as well as deferred tax assets.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color w:val="FFFFFF"/>
        </w:rPr>
      </w:pPr>
      <w:hyperlink w:anchor="page1">
        <w:r>
          <w:rPr>
            <w:rFonts w:ascii="Arial" w:cs="Arial" w:eastAsia="Arial" w:hAnsi="Arial"/>
            <w:sz w:val="18"/>
            <w:szCs w:val="18"/>
            <w:color w:val="FFFF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tables present summarized financial information concerning the Company’s reportable segments for the periods indicated:</w:t>
      </w:r>
    </w:p>
    <w:p>
      <w:pPr>
        <w:spacing w:after="0" w:line="200" w:lineRule="exact"/>
        <w:rPr>
          <w:sz w:val="20"/>
          <w:szCs w:val="20"/>
          <w:color w:val="auto"/>
        </w:rPr>
      </w:pP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260" w:type="dxa"/>
            <w:vAlign w:val="bottom"/>
            <w:tcBorders>
              <w:bottom w:val="single" w:sz="8" w:color="auto"/>
            </w:tcBorders>
            <w:gridSpan w:val="5"/>
          </w:tcPr>
          <w:p>
            <w:pPr>
              <w:jc w:val="right"/>
              <w:ind w:right="813"/>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6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DECEMBER 27,</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4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DECEMBER 28,</w:t>
            </w:r>
          </w:p>
        </w:tc>
        <w:tc>
          <w:tcPr>
            <w:tcW w:w="0" w:type="dxa"/>
            <w:vAlign w:val="bottom"/>
          </w:tcPr>
          <w:p>
            <w:pPr>
              <w:spacing w:after="0"/>
              <w:rPr>
                <w:sz w:val="1"/>
                <w:szCs w:val="1"/>
                <w:color w:val="auto"/>
              </w:rPr>
            </w:pPr>
          </w:p>
        </w:tc>
      </w:tr>
      <w:tr>
        <w:trPr>
          <w:trHeight w:val="192"/>
        </w:trPr>
        <w:tc>
          <w:tcPr>
            <w:tcW w:w="5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635"/>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633"/>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360" w:type="dxa"/>
            <w:vAlign w:val="bottom"/>
            <w:gridSpan w:val="6"/>
          </w:tcPr>
          <w:p>
            <w:pPr>
              <w:ind w:left="1180"/>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256"/>
        </w:trPr>
        <w:tc>
          <w:tcPr>
            <w:tcW w:w="5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9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100" w:type="dxa"/>
            <w:vAlign w:val="bottom"/>
          </w:tcPr>
          <w:p>
            <w:pPr>
              <w:ind w:left="380"/>
              <w:spacing w:after="0"/>
              <w:rPr>
                <w:sz w:val="20"/>
                <w:szCs w:val="20"/>
                <w:color w:val="auto"/>
              </w:rPr>
            </w:pPr>
            <w:r>
              <w:rPr>
                <w:rFonts w:ascii="Arial" w:cs="Arial" w:eastAsia="Arial" w:hAnsi="Arial"/>
                <w:sz w:val="18"/>
                <w:szCs w:val="18"/>
                <w:color w:val="auto"/>
              </w:rPr>
              <w:t>Global Consumer</w:t>
            </w:r>
          </w:p>
        </w:tc>
        <w:tc>
          <w:tcPr>
            <w:tcW w:w="9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21"/>
                <w:szCs w:val="21"/>
                <w:color w:val="auto"/>
              </w:rPr>
            </w:pPr>
          </w:p>
        </w:tc>
        <w:tc>
          <w:tcPr>
            <w:tcW w:w="1440" w:type="dxa"/>
            <w:vAlign w:val="bottom"/>
          </w:tcPr>
          <w:p>
            <w:pPr>
              <w:jc w:val="right"/>
              <w:ind w:right="15"/>
              <w:spacing w:after="0"/>
              <w:rPr>
                <w:sz w:val="20"/>
                <w:szCs w:val="20"/>
                <w:color w:val="auto"/>
              </w:rPr>
            </w:pPr>
            <w:r>
              <w:rPr>
                <w:rFonts w:ascii="Arial" w:cs="Arial" w:eastAsia="Arial" w:hAnsi="Arial"/>
                <w:sz w:val="18"/>
                <w:szCs w:val="18"/>
                <w:color w:val="auto"/>
              </w:rPr>
              <w:t>163.6</w:t>
            </w:r>
          </w:p>
        </w:tc>
        <w:tc>
          <w:tcPr>
            <w:tcW w:w="120" w:type="dxa"/>
            <w:vAlign w:val="bottom"/>
          </w:tcPr>
          <w:p>
            <w:pPr>
              <w:spacing w:after="0"/>
              <w:rPr>
                <w:sz w:val="21"/>
                <w:szCs w:val="21"/>
                <w:color w:val="auto"/>
              </w:rPr>
            </w:pPr>
          </w:p>
        </w:tc>
        <w:tc>
          <w:tcPr>
            <w:tcW w:w="260" w:type="dxa"/>
            <w:vAlign w:val="bottom"/>
            <w:gridSpan w:val="2"/>
          </w:tcPr>
          <w:p>
            <w:pPr>
              <w:jc w:val="right"/>
              <w:ind w:right="160"/>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ind w:right="33"/>
              <w:spacing w:after="0"/>
              <w:rPr>
                <w:sz w:val="20"/>
                <w:szCs w:val="20"/>
                <w:color w:val="auto"/>
              </w:rPr>
            </w:pPr>
            <w:r>
              <w:rPr>
                <w:rFonts w:ascii="Arial" w:cs="Arial" w:eastAsia="Arial" w:hAnsi="Arial"/>
                <w:sz w:val="18"/>
                <w:szCs w:val="18"/>
                <w:color w:val="auto"/>
              </w:rPr>
              <w:t>138.4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00" w:type="dxa"/>
            <w:vAlign w:val="bottom"/>
            <w:shd w:val="clear" w:color="auto" w:fill="CCEEFF"/>
          </w:tcPr>
          <w:p>
            <w:pPr>
              <w:ind w:left="380"/>
              <w:spacing w:after="0" w:line="270" w:lineRule="exact"/>
              <w:rPr>
                <w:sz w:val="20"/>
                <w:szCs w:val="20"/>
                <w:color w:val="auto"/>
              </w:rPr>
            </w:pPr>
            <w:r>
              <w:rPr>
                <w:rFonts w:ascii="Arial" w:cs="Arial" w:eastAsia="Arial" w:hAnsi="Arial"/>
                <w:sz w:val="18"/>
                <w:szCs w:val="18"/>
                <w:color w:val="auto"/>
              </w:rPr>
              <w:t>Scotts LawnService</w:t>
            </w:r>
            <w:r>
              <w:rPr>
                <w:rFonts w:ascii="Arial" w:cs="Arial" w:eastAsia="Arial" w:hAnsi="Arial"/>
                <w:sz w:val="25"/>
                <w:szCs w:val="25"/>
                <w:color w:val="auto"/>
                <w:vertAlign w:val="superscript"/>
              </w:rPr>
              <w:t>®</w:t>
            </w:r>
          </w:p>
        </w:tc>
        <w:tc>
          <w:tcPr>
            <w:tcW w:w="9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50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46.7</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46.3</w:t>
            </w:r>
          </w:p>
        </w:tc>
        <w:tc>
          <w:tcPr>
            <w:tcW w:w="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5100" w:type="dxa"/>
            <w:vAlign w:val="bottom"/>
          </w:tcPr>
          <w:p>
            <w:pPr>
              <w:ind w:left="40"/>
              <w:spacing w:after="0"/>
              <w:rPr>
                <w:sz w:val="20"/>
                <w:szCs w:val="20"/>
                <w:color w:val="auto"/>
              </w:rPr>
            </w:pPr>
            <w:r>
              <w:rPr>
                <w:rFonts w:ascii="Arial" w:cs="Arial" w:eastAsia="Arial" w:hAnsi="Arial"/>
                <w:sz w:val="18"/>
                <w:szCs w:val="18"/>
                <w:color w:val="auto"/>
              </w:rPr>
              <w:t>Segment total</w:t>
            </w: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jc w:val="right"/>
              <w:ind w:right="15"/>
              <w:spacing w:after="0"/>
              <w:rPr>
                <w:sz w:val="20"/>
                <w:szCs w:val="20"/>
                <w:color w:val="auto"/>
              </w:rPr>
            </w:pPr>
            <w:r>
              <w:rPr>
                <w:rFonts w:ascii="Arial" w:cs="Arial" w:eastAsia="Arial" w:hAnsi="Arial"/>
                <w:sz w:val="18"/>
                <w:szCs w:val="18"/>
                <w:color w:val="auto"/>
              </w:rPr>
              <w:t>210.3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jc w:val="right"/>
              <w:ind w:right="33"/>
              <w:spacing w:after="0"/>
              <w:rPr>
                <w:sz w:val="20"/>
                <w:szCs w:val="20"/>
                <w:color w:val="auto"/>
              </w:rPr>
            </w:pPr>
            <w:r>
              <w:rPr>
                <w:rFonts w:ascii="Arial" w:cs="Arial" w:eastAsia="Arial" w:hAnsi="Arial"/>
                <w:sz w:val="18"/>
                <w:szCs w:val="18"/>
                <w:color w:val="auto"/>
              </w:rPr>
              <w:t>184.7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Corporate &amp; Other</w:t>
            </w:r>
          </w:p>
        </w:tc>
        <w:tc>
          <w:tcPr>
            <w:tcW w:w="96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5.9</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5100" w:type="dxa"/>
            <w:vAlign w:val="bottom"/>
          </w:tcPr>
          <w:p>
            <w:pPr>
              <w:ind w:left="40"/>
              <w:spacing w:after="0"/>
              <w:rPr>
                <w:sz w:val="20"/>
                <w:szCs w:val="20"/>
                <w:color w:val="auto"/>
              </w:rPr>
            </w:pPr>
            <w:r>
              <w:rPr>
                <w:rFonts w:ascii="Arial" w:cs="Arial" w:eastAsia="Arial" w:hAnsi="Arial"/>
                <w:sz w:val="18"/>
                <w:szCs w:val="18"/>
                <w:color w:val="auto"/>
              </w:rPr>
              <w:t>Consolidated</w:t>
            </w: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1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216.2</w:t>
            </w:r>
          </w:p>
        </w:tc>
        <w:tc>
          <w:tcPr>
            <w:tcW w:w="120" w:type="dxa"/>
            <w:vAlign w:val="bottom"/>
          </w:tcPr>
          <w:p>
            <w:pPr>
              <w:spacing w:after="0"/>
              <w:rPr>
                <w:sz w:val="20"/>
                <w:szCs w:val="20"/>
                <w:color w:val="auto"/>
              </w:rPr>
            </w:pPr>
          </w:p>
        </w:tc>
        <w:tc>
          <w:tcPr>
            <w:tcW w:w="260" w:type="dxa"/>
            <w:vAlign w:val="bottom"/>
            <w:tcBorders>
              <w:top w:val="single" w:sz="8" w:color="auto"/>
            </w:tcBorders>
            <w:gridSpan w:val="2"/>
          </w:tcPr>
          <w:p>
            <w:pPr>
              <w:jc w:val="right"/>
              <w:ind w:right="160"/>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189.6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7"/>
        </w:trPr>
        <w:tc>
          <w:tcPr>
            <w:tcW w:w="5100" w:type="dxa"/>
            <w:vAlign w:val="bottom"/>
            <w:tcBorders>
              <w:bottom w:val="single" w:sz="8" w:color="CCEEFF"/>
            </w:tcBorders>
          </w:tcPr>
          <w:p>
            <w:pPr>
              <w:spacing w:after="0"/>
              <w:rPr>
                <w:sz w:val="5"/>
                <w:szCs w:val="5"/>
                <w:color w:val="auto"/>
              </w:rPr>
            </w:pPr>
          </w:p>
        </w:tc>
        <w:tc>
          <w:tcPr>
            <w:tcW w:w="960" w:type="dxa"/>
            <w:vAlign w:val="bottom"/>
            <w:tcBorders>
              <w:bottom w:val="single" w:sz="8" w:color="CCEEFF"/>
            </w:tcBorders>
          </w:tcPr>
          <w:p>
            <w:pPr>
              <w:spacing w:after="0"/>
              <w:rPr>
                <w:sz w:val="5"/>
                <w:szCs w:val="5"/>
                <w:color w:val="auto"/>
              </w:rPr>
            </w:pPr>
          </w:p>
        </w:tc>
        <w:tc>
          <w:tcPr>
            <w:tcW w:w="220" w:type="dxa"/>
            <w:vAlign w:val="bottom"/>
            <w:tcBorders>
              <w:bottom w:val="single" w:sz="8" w:color="CCEEFF"/>
            </w:tcBorders>
          </w:tcPr>
          <w:p>
            <w:pPr>
              <w:spacing w:after="0"/>
              <w:rPr>
                <w:sz w:val="5"/>
                <w:szCs w:val="5"/>
                <w:color w:val="auto"/>
              </w:rPr>
            </w:pPr>
          </w:p>
        </w:tc>
        <w:tc>
          <w:tcPr>
            <w:tcW w:w="1500" w:type="dxa"/>
            <w:vAlign w:val="bottom"/>
            <w:tcBorders>
              <w:bottom w:val="single" w:sz="8" w:color="CCEEFF"/>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4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4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510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Income (loss) from continuing operations before income taxes:</w:t>
            </w:r>
          </w:p>
        </w:tc>
        <w:tc>
          <w:tcPr>
            <w:tcW w:w="9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100" w:type="dxa"/>
            <w:vAlign w:val="bottom"/>
          </w:tcPr>
          <w:p>
            <w:pPr>
              <w:ind w:left="380"/>
              <w:spacing w:after="0"/>
              <w:rPr>
                <w:sz w:val="20"/>
                <w:szCs w:val="20"/>
                <w:color w:val="auto"/>
              </w:rPr>
            </w:pPr>
            <w:r>
              <w:rPr>
                <w:rFonts w:ascii="Arial" w:cs="Arial" w:eastAsia="Arial" w:hAnsi="Arial"/>
                <w:sz w:val="18"/>
                <w:szCs w:val="18"/>
                <w:color w:val="auto"/>
              </w:rPr>
              <w:t>Global Consumer</w:t>
            </w:r>
          </w:p>
        </w:tc>
        <w:tc>
          <w:tcPr>
            <w:tcW w:w="9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(74.2)</w:t>
            </w:r>
          </w:p>
        </w:tc>
        <w:tc>
          <w:tcPr>
            <w:tcW w:w="120" w:type="dxa"/>
            <w:vAlign w:val="bottom"/>
          </w:tcPr>
          <w:p>
            <w:pPr>
              <w:spacing w:after="0"/>
              <w:rPr>
                <w:sz w:val="21"/>
                <w:szCs w:val="21"/>
                <w:color w:val="auto"/>
              </w:rPr>
            </w:pPr>
          </w:p>
        </w:tc>
        <w:tc>
          <w:tcPr>
            <w:tcW w:w="260" w:type="dxa"/>
            <w:vAlign w:val="bottom"/>
            <w:gridSpan w:val="2"/>
          </w:tcPr>
          <w:p>
            <w:pPr>
              <w:jc w:val="right"/>
              <w:ind w:right="160"/>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(67.4)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00" w:type="dxa"/>
            <w:vAlign w:val="bottom"/>
            <w:shd w:val="clear" w:color="auto" w:fill="CCEEFF"/>
          </w:tcPr>
          <w:p>
            <w:pPr>
              <w:ind w:left="360"/>
              <w:spacing w:after="0" w:line="270" w:lineRule="exact"/>
              <w:rPr>
                <w:sz w:val="20"/>
                <w:szCs w:val="20"/>
                <w:color w:val="auto"/>
              </w:rPr>
            </w:pPr>
            <w:r>
              <w:rPr>
                <w:rFonts w:ascii="Arial" w:cs="Arial" w:eastAsia="Arial" w:hAnsi="Arial"/>
                <w:sz w:val="18"/>
                <w:szCs w:val="18"/>
                <w:color w:val="auto"/>
              </w:rPr>
              <w:t>Scotts LawnService</w:t>
            </w:r>
            <w:r>
              <w:rPr>
                <w:rFonts w:ascii="Arial" w:cs="Arial" w:eastAsia="Arial" w:hAnsi="Arial"/>
                <w:sz w:val="25"/>
                <w:szCs w:val="25"/>
                <w:color w:val="auto"/>
                <w:vertAlign w:val="superscript"/>
              </w:rPr>
              <w:t>®</w:t>
            </w:r>
          </w:p>
        </w:tc>
        <w:tc>
          <w:tcPr>
            <w:tcW w:w="9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50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5100" w:type="dxa"/>
            <w:vAlign w:val="bottom"/>
          </w:tcPr>
          <w:p>
            <w:pPr>
              <w:ind w:left="40"/>
              <w:spacing w:after="0"/>
              <w:rPr>
                <w:sz w:val="20"/>
                <w:szCs w:val="20"/>
                <w:color w:val="auto"/>
              </w:rPr>
            </w:pPr>
            <w:r>
              <w:rPr>
                <w:rFonts w:ascii="Arial" w:cs="Arial" w:eastAsia="Arial" w:hAnsi="Arial"/>
                <w:sz w:val="18"/>
                <w:szCs w:val="18"/>
                <w:color w:val="auto"/>
              </w:rPr>
              <w:t>Segment total</w:t>
            </w: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(72.7)</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(64.8)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Corporate &amp; Other</w:t>
            </w:r>
          </w:p>
        </w:tc>
        <w:tc>
          <w:tcPr>
            <w:tcW w:w="9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00" w:type="dxa"/>
            <w:vAlign w:val="bottom"/>
          </w:tcPr>
          <w:p>
            <w:pPr>
              <w:ind w:left="380"/>
              <w:spacing w:after="0"/>
              <w:rPr>
                <w:sz w:val="20"/>
                <w:szCs w:val="20"/>
                <w:color w:val="auto"/>
              </w:rPr>
            </w:pPr>
            <w:r>
              <w:rPr>
                <w:rFonts w:ascii="Arial" w:cs="Arial" w:eastAsia="Arial" w:hAnsi="Arial"/>
                <w:sz w:val="18"/>
                <w:szCs w:val="18"/>
                <w:color w:val="auto"/>
              </w:rPr>
              <w:t>Intangible asset amortization</w:t>
            </w:r>
          </w:p>
        </w:tc>
        <w:tc>
          <w:tcPr>
            <w:tcW w:w="9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Impairment, restructuring and other</w:t>
            </w:r>
          </w:p>
        </w:tc>
        <w:tc>
          <w:tcPr>
            <w:tcW w:w="9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00" w:type="dxa"/>
            <w:vAlign w:val="bottom"/>
          </w:tcPr>
          <w:p>
            <w:pPr>
              <w:ind w:left="380"/>
              <w:spacing w:after="0"/>
              <w:rPr>
                <w:sz w:val="20"/>
                <w:szCs w:val="20"/>
                <w:color w:val="auto"/>
              </w:rPr>
            </w:pPr>
            <w:r>
              <w:rPr>
                <w:rFonts w:ascii="Arial" w:cs="Arial" w:eastAsia="Arial" w:hAnsi="Arial"/>
                <w:sz w:val="18"/>
                <w:szCs w:val="18"/>
                <w:color w:val="auto"/>
              </w:rPr>
              <w:t>Interest expense</w:t>
            </w:r>
          </w:p>
        </w:tc>
        <w:tc>
          <w:tcPr>
            <w:tcW w:w="9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(9.7)</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(13.9)</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0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Consolidated</w:t>
            </w:r>
          </w:p>
        </w:tc>
        <w:tc>
          <w:tcPr>
            <w:tcW w:w="9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(115.7)</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(103.6)</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4"/>
        </w:trPr>
        <w:tc>
          <w:tcPr>
            <w:tcW w:w="5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tcPr>
          <w:p>
            <w:pPr>
              <w:jc w:val="right"/>
              <w:ind w:right="256"/>
              <w:spacing w:after="0"/>
              <w:rPr>
                <w:sz w:val="20"/>
                <w:szCs w:val="20"/>
                <w:color w:val="auto"/>
              </w:rPr>
            </w:pPr>
            <w:r>
              <w:rPr>
                <w:rFonts w:ascii="Arial" w:cs="Arial" w:eastAsia="Arial" w:hAnsi="Arial"/>
                <w:sz w:val="14"/>
                <w:szCs w:val="14"/>
                <w:b w:val="1"/>
                <w:bCs w:val="1"/>
                <w:color w:val="auto"/>
              </w:rPr>
              <w:t>DECEMBER 27,</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DECEMBER 28,</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gridSpan w:val="2"/>
          </w:tcPr>
          <w:p>
            <w:pPr>
              <w:ind w:left="12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92"/>
        </w:trPr>
        <w:tc>
          <w:tcPr>
            <w:tcW w:w="5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616"/>
              <w:spacing w:after="0"/>
              <w:rPr>
                <w:sz w:val="20"/>
                <w:szCs w:val="20"/>
                <w:color w:val="auto"/>
              </w:rPr>
            </w:pPr>
            <w:r>
              <w:rPr>
                <w:rFonts w:ascii="Arial" w:cs="Arial" w:eastAsia="Arial" w:hAnsi="Arial"/>
                <w:sz w:val="14"/>
                <w:szCs w:val="14"/>
                <w:b w:val="1"/>
                <w:bCs w:val="1"/>
                <w:color w:val="auto"/>
              </w:rPr>
              <w:t>2014</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2013</w:t>
            </w: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6"/>
              </w:rPr>
              <w:t>(In millions)</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9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100" w:type="dxa"/>
            <w:vAlign w:val="bottom"/>
          </w:tcPr>
          <w:p>
            <w:pPr>
              <w:ind w:left="380"/>
              <w:spacing w:after="0"/>
              <w:rPr>
                <w:sz w:val="20"/>
                <w:szCs w:val="20"/>
                <w:color w:val="auto"/>
              </w:rPr>
            </w:pPr>
            <w:r>
              <w:rPr>
                <w:rFonts w:ascii="Arial" w:cs="Arial" w:eastAsia="Arial" w:hAnsi="Arial"/>
                <w:sz w:val="18"/>
                <w:szCs w:val="18"/>
                <w:color w:val="auto"/>
              </w:rPr>
              <w:t>Global Consumer</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16"/>
              <w:spacing w:after="0"/>
              <w:rPr>
                <w:sz w:val="20"/>
                <w:szCs w:val="20"/>
                <w:color w:val="auto"/>
              </w:rPr>
            </w:pPr>
            <w:r>
              <w:rPr>
                <w:rFonts w:ascii="Arial" w:cs="Arial" w:eastAsia="Arial" w:hAnsi="Arial"/>
                <w:sz w:val="18"/>
                <w:szCs w:val="18"/>
                <w:color w:val="auto"/>
              </w:rPr>
              <w:t>1,833.7</w:t>
            </w:r>
          </w:p>
        </w:tc>
        <w:tc>
          <w:tcPr>
            <w:tcW w:w="28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1,812.2</w:t>
            </w:r>
          </w:p>
        </w:tc>
        <w:tc>
          <w:tcPr>
            <w:tcW w:w="120" w:type="dxa"/>
            <w:vAlign w:val="bottom"/>
          </w:tcPr>
          <w:p>
            <w:pPr>
              <w:spacing w:after="0"/>
              <w:rPr>
                <w:sz w:val="21"/>
                <w:szCs w:val="21"/>
                <w:color w:val="auto"/>
              </w:rPr>
            </w:pP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1,690.7</w:t>
            </w:r>
          </w:p>
        </w:tc>
        <w:tc>
          <w:tcPr>
            <w:tcW w:w="0" w:type="dxa"/>
            <w:vAlign w:val="bottom"/>
          </w:tcPr>
          <w:p>
            <w:pPr>
              <w:spacing w:after="0"/>
              <w:rPr>
                <w:sz w:val="1"/>
                <w:szCs w:val="1"/>
                <w:color w:val="auto"/>
              </w:rPr>
            </w:pPr>
          </w:p>
        </w:tc>
      </w:tr>
      <w:tr>
        <w:trPr>
          <w:trHeight w:val="27"/>
        </w:trPr>
        <w:tc>
          <w:tcPr>
            <w:tcW w:w="5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00" w:type="dxa"/>
            <w:vAlign w:val="bottom"/>
            <w:shd w:val="clear" w:color="auto" w:fill="CCEEFF"/>
          </w:tcPr>
          <w:p>
            <w:pPr>
              <w:ind w:left="380"/>
              <w:spacing w:after="0" w:line="270" w:lineRule="exact"/>
              <w:rPr>
                <w:sz w:val="20"/>
                <w:szCs w:val="20"/>
                <w:color w:val="auto"/>
              </w:rPr>
            </w:pPr>
            <w:r>
              <w:rPr>
                <w:rFonts w:ascii="Arial" w:cs="Arial" w:eastAsia="Arial" w:hAnsi="Arial"/>
                <w:sz w:val="18"/>
                <w:szCs w:val="18"/>
                <w:color w:val="auto"/>
              </w:rPr>
              <w:t>Scotts LawnService</w:t>
            </w:r>
            <w:r>
              <w:rPr>
                <w:rFonts w:ascii="Arial" w:cs="Arial" w:eastAsia="Arial" w:hAnsi="Arial"/>
                <w:sz w:val="25"/>
                <w:szCs w:val="25"/>
                <w:color w:val="auto"/>
                <w:vertAlign w:val="superscript"/>
              </w:rPr>
              <w:t>®</w:t>
            </w:r>
          </w:p>
        </w:tc>
        <w:tc>
          <w:tcPr>
            <w:tcW w:w="9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5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191.8</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168.0</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191.3</w:t>
            </w:r>
          </w:p>
        </w:tc>
        <w:tc>
          <w:tcPr>
            <w:tcW w:w="0" w:type="dxa"/>
            <w:vAlign w:val="bottom"/>
          </w:tcPr>
          <w:p>
            <w:pPr>
              <w:spacing w:after="0"/>
              <w:rPr>
                <w:sz w:val="1"/>
                <w:szCs w:val="1"/>
                <w:color w:val="auto"/>
              </w:rPr>
            </w:pPr>
          </w:p>
        </w:tc>
      </w:tr>
      <w:tr>
        <w:trPr>
          <w:trHeight w:val="243"/>
        </w:trPr>
        <w:tc>
          <w:tcPr>
            <w:tcW w:w="5100" w:type="dxa"/>
            <w:vAlign w:val="bottom"/>
          </w:tcPr>
          <w:p>
            <w:pPr>
              <w:ind w:left="380"/>
              <w:spacing w:after="0"/>
              <w:rPr>
                <w:sz w:val="20"/>
                <w:szCs w:val="20"/>
                <w:color w:val="auto"/>
              </w:rPr>
            </w:pPr>
            <w:r>
              <w:rPr>
                <w:rFonts w:ascii="Arial" w:cs="Arial" w:eastAsia="Arial" w:hAnsi="Arial"/>
                <w:sz w:val="18"/>
                <w:szCs w:val="18"/>
                <w:color w:val="auto"/>
              </w:rPr>
              <w:t>Corporate &amp; Other</w:t>
            </w:r>
          </w:p>
        </w:tc>
        <w:tc>
          <w:tcPr>
            <w:tcW w:w="9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00" w:type="dxa"/>
            <w:vAlign w:val="bottom"/>
          </w:tcPr>
          <w:p>
            <w:pPr>
              <w:jc w:val="right"/>
              <w:ind w:right="16"/>
              <w:spacing w:after="0"/>
              <w:rPr>
                <w:sz w:val="20"/>
                <w:szCs w:val="20"/>
                <w:color w:val="auto"/>
              </w:rPr>
            </w:pPr>
            <w:r>
              <w:rPr>
                <w:rFonts w:ascii="Arial" w:cs="Arial" w:eastAsia="Arial" w:hAnsi="Arial"/>
                <w:sz w:val="18"/>
                <w:szCs w:val="18"/>
                <w:color w:val="auto"/>
              </w:rPr>
              <w:t>239.7</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179.2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176.3</w:t>
            </w:r>
          </w:p>
        </w:tc>
        <w:tc>
          <w:tcPr>
            <w:tcW w:w="0" w:type="dxa"/>
            <w:vAlign w:val="bottom"/>
          </w:tcPr>
          <w:p>
            <w:pPr>
              <w:spacing w:after="0"/>
              <w:rPr>
                <w:sz w:val="1"/>
                <w:szCs w:val="1"/>
                <w:color w:val="auto"/>
              </w:rPr>
            </w:pPr>
          </w:p>
        </w:tc>
      </w:tr>
      <w:tr>
        <w:trPr>
          <w:trHeight w:val="27"/>
        </w:trPr>
        <w:tc>
          <w:tcPr>
            <w:tcW w:w="510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Consolidated</w:t>
            </w:r>
          </w:p>
        </w:tc>
        <w:tc>
          <w:tcPr>
            <w:tcW w:w="11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2,265.2</w:t>
            </w:r>
          </w:p>
        </w:tc>
        <w:tc>
          <w:tcPr>
            <w:tcW w:w="2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2,159.4</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2,058.3</w:t>
            </w:r>
          </w:p>
        </w:tc>
        <w:tc>
          <w:tcPr>
            <w:tcW w:w="0" w:type="dxa"/>
            <w:vAlign w:val="bottom"/>
          </w:tcPr>
          <w:p>
            <w:pPr>
              <w:spacing w:after="0"/>
              <w:rPr>
                <w:sz w:val="1"/>
                <w:szCs w:val="1"/>
                <w:color w:val="auto"/>
              </w:rPr>
            </w:pP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CCEEFF"/>
            </w:tcBorders>
            <w:vMerge w:val="restart"/>
          </w:tcPr>
          <w:p>
            <w:pPr>
              <w:jc w:val="right"/>
              <w:ind w:right="170"/>
              <w:spacing w:after="0"/>
              <w:rPr>
                <w:sz w:val="20"/>
                <w:szCs w:val="20"/>
                <w:color w:val="auto"/>
              </w:rPr>
            </w:pPr>
            <w:r>
              <w:rPr>
                <w:rFonts w:ascii="Arial" w:cs="Arial" w:eastAsia="Arial" w:hAnsi="Arial"/>
                <w:sz w:val="18"/>
                <w:szCs w:val="18"/>
                <w:color w:val="auto"/>
              </w:rPr>
              <w:t>22</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5100" w:type="dxa"/>
            <w:vAlign w:val="bottom"/>
          </w:tcPr>
          <w:p>
            <w:pPr>
              <w:spacing w:after="0"/>
              <w:rPr>
                <w:sz w:val="24"/>
                <w:szCs w:val="24"/>
                <w:color w:val="auto"/>
              </w:rPr>
            </w:pPr>
          </w:p>
        </w:tc>
        <w:tc>
          <w:tcPr>
            <w:tcW w:w="96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color w:val="FFFFFF"/>
        </w:rPr>
      </w:pPr>
      <w:hyperlink w:anchor="page1">
        <w:r>
          <w:rPr>
            <w:rFonts w:ascii="Arial" w:cs="Arial" w:eastAsia="Arial" w:hAnsi="Arial"/>
            <w:sz w:val="18"/>
            <w:szCs w:val="18"/>
            <w:color w:val="FFFFFF"/>
          </w:rPr>
          <w:t>Table of Contents</w:t>
        </w:r>
      </w:hyperlink>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FINANCIAL INFORMATION FOR SUBSIDIARY GUARANTORS AND NON-GUARANTORS</w:t>
      </w:r>
    </w:p>
    <w:p>
      <w:pPr>
        <w:spacing w:after="0" w:line="148" w:lineRule="exact"/>
        <w:rPr>
          <w:sz w:val="20"/>
          <w:szCs w:val="20"/>
          <w:color w:val="auto"/>
        </w:rPr>
      </w:pPr>
    </w:p>
    <w:p>
      <w:pPr>
        <w:jc w:val="both"/>
        <w:ind w:firstLine="432"/>
        <w:spacing w:after="0" w:line="261" w:lineRule="auto"/>
        <w:rPr>
          <w:sz w:val="20"/>
          <w:szCs w:val="20"/>
          <w:color w:val="auto"/>
        </w:rPr>
      </w:pPr>
      <w:r>
        <w:rPr>
          <w:rFonts w:ascii="Arial" w:cs="Arial" w:eastAsia="Arial" w:hAnsi="Arial"/>
          <w:sz w:val="17"/>
          <w:szCs w:val="17"/>
          <w:color w:val="auto"/>
        </w:rPr>
        <w:t xml:space="preserve">The 6.625% Senior Notes (the “6.625% Senior Notes”) issued by Scotts Miracle-Gro on December 16, 2010 are guaranteed at December 27, 2014 by certain of its domestic subsidiaries and, therefore, the Company has disclosed condensed consolidating financial information in accordance with SEC Regulation S-X Rule 3-10, </w:t>
      </w:r>
      <w:r>
        <w:rPr>
          <w:rFonts w:ascii="Arial" w:cs="Arial" w:eastAsia="Arial" w:hAnsi="Arial"/>
          <w:sz w:val="17"/>
          <w:szCs w:val="17"/>
          <w:i w:val="1"/>
          <w:iCs w:val="1"/>
          <w:color w:val="auto"/>
        </w:rPr>
        <w:t>Financial Statements of Guarantors and Issuers of Guaranteed Securities Registered or Being Registered.</w:t>
      </w:r>
      <w:r>
        <w:rPr>
          <w:rFonts w:ascii="Arial" w:cs="Arial" w:eastAsia="Arial" w:hAnsi="Arial"/>
          <w:sz w:val="17"/>
          <w:szCs w:val="17"/>
          <w:color w:val="auto"/>
        </w:rPr>
        <w:t xml:space="preserve"> On January 15, 2014, the Company redeemed all of its outstanding $200 million aggregate principal amount of 7.25% Senior Notes which were previously guaranteed by certain of its domestic subsidiaries. The guarantees are “full and unconditional,” as those terms are used in Regulation S-X Rule 3-10, except that a subsidiary’s guarantee will be automatically released in certain customary circumstances, such as (1) upon any sale or other disposition of all or substantially all of the assets of the subsidiary (including by way of merger or consolidation) to any person other than Scotts Miracle-Gro or any “restricted subsidiary” under the applicable indenture; (2) if the subsidiary merges with and into Scotts Miracle-Gro, with Scotts Miracle-Gro surviving such merger; (3) if the subsidiary is designated an “unrestricted subsidiary” in accordance with the applicable indenture or otherwise ceases to be a “restricted subsidiary” (including by way of liquidation or dissolution) in a transaction permitted by such indenture; (4) upon legal or covenant defeasance; (5) upon satisfaction and discharge of the 6.625% Senior Notes; or (6) if the subsidiary ceases to be a “wholly owned restricted subsidiary” and the subsidiary is not otherwise required to provide a guarantee of the 6.625% Senior Notes pursuant to the applicable indenture. The following 100% directly or indirectly owned subsidiaries fully and unconditionally guarantee at December 27, 2014 the 6.625% Senior Notes on a joint and several basis: EG Systems, Inc., dba Scotts LawnService</w:t>
      </w:r>
      <w:r>
        <w:rPr>
          <w:rFonts w:ascii="Arial" w:cs="Arial" w:eastAsia="Arial" w:hAnsi="Arial"/>
          <w:sz w:val="24"/>
          <w:szCs w:val="24"/>
          <w:color w:val="auto"/>
          <w:vertAlign w:val="superscript"/>
        </w:rPr>
        <w:t>®</w:t>
      </w:r>
      <w:r>
        <w:rPr>
          <w:rFonts w:ascii="Arial" w:cs="Arial" w:eastAsia="Arial" w:hAnsi="Arial"/>
          <w:sz w:val="17"/>
          <w:szCs w:val="17"/>
          <w:color w:val="auto"/>
        </w:rPr>
        <w:t>; Gutwein &amp; Co., Inc.; Hyponex Corporation; Miracle-Gro Lawn Products, Inc.; OMS Investments, Inc.; Rod McLellan Company; Sanford Scientific, Inc.; Scotts Temecula Operations, LLC; Scotts Manufacturing Company; Scotts Products Co.; Scotts Professional Products Co.; Scotts-Sierra Investments LLC; SMG Growing Media, Inc.; Swiss Farms Products, Inc.; SMGM LLC; SLS Franchise Systems, LLC; and The Scotts Company LLC (collectively, the “Guarantors”). SLS Franchise Systems, LLC was added as a guarantor to The Scotts Miracle-Gro Company indenture governing its 6.625% Senior Notes on February 25, 2014. Accordingly, SLS Franchise Systems, LLC was added as a Guarantor effective in the three month period ending March 29, 2014 and all periods presented.</w:t>
      </w:r>
    </w:p>
    <w:p>
      <w:pPr>
        <w:spacing w:after="0" w:line="114" w:lineRule="exact"/>
        <w:rPr>
          <w:sz w:val="20"/>
          <w:szCs w:val="20"/>
          <w:color w:val="auto"/>
        </w:rPr>
      </w:pPr>
    </w:p>
    <w:p>
      <w:pPr>
        <w:jc w:val="both"/>
        <w:ind w:firstLine="432"/>
        <w:spacing w:after="0" w:line="268" w:lineRule="auto"/>
        <w:rPr>
          <w:sz w:val="20"/>
          <w:szCs w:val="20"/>
          <w:color w:val="auto"/>
        </w:rPr>
      </w:pPr>
      <w:r>
        <w:rPr>
          <w:rFonts w:ascii="Arial" w:cs="Arial" w:eastAsia="Arial" w:hAnsi="Arial"/>
          <w:sz w:val="17"/>
          <w:szCs w:val="17"/>
          <w:color w:val="auto"/>
        </w:rPr>
        <w:t>The following information presents Condensed Consolidating Statements of Operations for the three months ended December 27, 2014 and December 28, 2013, Condensed Consolidating Statements of Comprehensive Income (Loss) for the three months ended December 27, 2014 and December 28, 2013, Condensed Consolidating Statements of Cash Flows for the three months ended December 27, 2014 and December 28, 2013, and Condensed Consolidating Balance Sheets as of December 27, 2014, December 28, 2013 and September 30, 2014. The condensed consolidating financial information presents, in separate columns, financial information for: Scotts Miracle-Gro on a Parent-only basis, carrying its investment in subsidiaries under the equity method; Guarantors on a combined basis, carrying their investments in subsidiaries which do not guarantee the debt (collectively, the “Non-Guarantors”) under the equity method; Non-Guarantors on a combined basis; and eliminating entries. The eliminating entries primarily reflect intercompany transactions, such as interest expense, accounts receivable and payable, short and long-term debt, and the elimination of equity investments, return on investments and income in subsidiaries. Because the Parent is obligated to pay the unpaid principal amount and interest on all amounts borrowed by the Guarantors or Non-Guarantors under the credit facility (and was obligated to pay the unpaid principal amount and interest on all amounts borrowed by the Guarantors and Non-Guarantors under the previous senior secured five-year revolving loan facility), the borrowings and related interest expense for the loans outstanding of the Guarantors and Non-Guarantors are also presented in the accompanying Parent-only financial information, and are then eliminated. Included in the Parent Condensed Consolidating Statement of Cash Flow for December 27, 2014 and December 28, 2013, respectively are $48.9 million and $35.8 million of dividends paid by the Guarantors to the Parent representing return on investments and as such are classified within cash flows from operating activities.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color w:val="FFFFFF"/>
        </w:rPr>
      </w:pPr>
      <w:hyperlink w:anchor="page1">
        <w:r>
          <w:rPr>
            <w:rFonts w:ascii="Arial" w:cs="Arial" w:eastAsia="Arial" w:hAnsi="Arial"/>
            <w:sz w:val="18"/>
            <w:szCs w:val="18"/>
            <w:color w:val="FFFFFF"/>
          </w:rPr>
          <w:t>Table of Contents</w:t>
        </w:r>
      </w:hyperlink>
    </w:p>
    <w:p>
      <w:pPr>
        <w:spacing w:after="0" w:line="24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Condensed Consolidating Statement of Operations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for the three months ended December 27, 2014</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(Unaudited)</w:t>
      </w:r>
    </w:p>
    <w:p>
      <w:pPr>
        <w:spacing w:after="0" w:line="352"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4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vMerge w:val="restart"/>
          </w:tcPr>
          <w:p>
            <w:pPr>
              <w:jc w:val="right"/>
              <w:ind w:right="251"/>
              <w:spacing w:after="0"/>
              <w:rPr>
                <w:sz w:val="20"/>
                <w:szCs w:val="20"/>
                <w:color w:val="auto"/>
              </w:rPr>
            </w:pPr>
            <w:r>
              <w:rPr>
                <w:rFonts w:ascii="Arial" w:cs="Arial" w:eastAsia="Arial" w:hAnsi="Arial"/>
                <w:sz w:val="14"/>
                <w:szCs w:val="14"/>
                <w:b w:val="1"/>
                <w:bCs w:val="1"/>
                <w:color w:val="auto"/>
              </w:rPr>
              <w:t>Parent</w:t>
            </w:r>
          </w:p>
        </w:tc>
        <w:tc>
          <w:tcPr>
            <w:tcW w:w="10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tcPr>
          <w:p>
            <w:pPr>
              <w:ind w:left="80"/>
              <w:spacing w:after="0"/>
              <w:rPr>
                <w:sz w:val="20"/>
                <w:szCs w:val="20"/>
                <w:color w:val="auto"/>
              </w:rPr>
            </w:pPr>
            <w:r>
              <w:rPr>
                <w:rFonts w:ascii="Arial" w:cs="Arial" w:eastAsia="Arial" w:hAnsi="Arial"/>
                <w:sz w:val="14"/>
                <w:szCs w:val="14"/>
                <w:b w:val="1"/>
                <w:bCs w:val="1"/>
                <w:color w:val="auto"/>
              </w:rPr>
              <w:t>Subsidiary</w:t>
            </w:r>
          </w:p>
        </w:tc>
        <w:tc>
          <w:tcPr>
            <w:tcW w:w="160" w:type="dxa"/>
            <w:vAlign w:val="bottom"/>
          </w:tcPr>
          <w:p>
            <w:pPr>
              <w:spacing w:after="0"/>
              <w:rPr>
                <w:sz w:val="14"/>
                <w:szCs w:val="14"/>
                <w:color w:val="auto"/>
              </w:rPr>
            </w:pPr>
          </w:p>
        </w:tc>
        <w:tc>
          <w:tcPr>
            <w:tcW w:w="1060" w:type="dxa"/>
            <w:vAlign w:val="bottom"/>
            <w:gridSpan w:val="2"/>
          </w:tcPr>
          <w:p>
            <w:pPr>
              <w:ind w:left="240"/>
              <w:spacing w:after="0"/>
              <w:rPr>
                <w:sz w:val="20"/>
                <w:szCs w:val="20"/>
                <w:color w:val="auto"/>
              </w:rPr>
            </w:pPr>
            <w:r>
              <w:rPr>
                <w:rFonts w:ascii="Arial" w:cs="Arial" w:eastAsia="Arial" w:hAnsi="Arial"/>
                <w:sz w:val="14"/>
                <w:szCs w:val="14"/>
                <w:b w:val="1"/>
                <w:bCs w:val="1"/>
                <w:color w:val="auto"/>
              </w:rPr>
              <w:t>Non-</w:t>
            </w:r>
          </w:p>
        </w:tc>
        <w:tc>
          <w:tcPr>
            <w:tcW w:w="17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2"/>
              </w:rPr>
              <w:t>Eliminations/Consolidations</w:t>
            </w:r>
          </w:p>
        </w:tc>
        <w:tc>
          <w:tcPr>
            <w:tcW w:w="12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92"/>
        </w:trPr>
        <w:tc>
          <w:tcPr>
            <w:tcW w:w="46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w w:val="98"/>
              </w:rPr>
              <w:t>Guarantors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w w:val="98"/>
              </w:rPr>
              <w:t>Guarantors</w:t>
            </w:r>
          </w:p>
        </w:tc>
        <w:tc>
          <w:tcPr>
            <w:tcW w:w="100" w:type="dxa"/>
            <w:vAlign w:val="bottom"/>
            <w:tcBorders>
              <w:bottom w:val="single" w:sz="8" w:color="CCEEFF"/>
            </w:tcBorders>
          </w:tcPr>
          <w:p>
            <w:pPr>
              <w:spacing w:after="0"/>
              <w:rPr>
                <w:sz w:val="16"/>
                <w:szCs w:val="16"/>
                <w:color w:val="auto"/>
              </w:rPr>
            </w:pPr>
          </w:p>
        </w:tc>
        <w:tc>
          <w:tcPr>
            <w:tcW w:w="178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146.5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69.7</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216.2</w:t>
            </w:r>
          </w:p>
        </w:tc>
        <w:tc>
          <w:tcPr>
            <w:tcW w:w="0" w:type="dxa"/>
            <w:vAlign w:val="bottom"/>
          </w:tcPr>
          <w:p>
            <w:pPr>
              <w:spacing w:after="0"/>
              <w:rPr>
                <w:sz w:val="1"/>
                <w:szCs w:val="1"/>
                <w:color w:val="auto"/>
              </w:rPr>
            </w:pPr>
          </w:p>
        </w:tc>
      </w:tr>
      <w:tr>
        <w:trPr>
          <w:trHeight w:val="243"/>
        </w:trPr>
        <w:tc>
          <w:tcPr>
            <w:tcW w:w="4620" w:type="dxa"/>
            <w:vAlign w:val="bottom"/>
          </w:tcPr>
          <w:p>
            <w:pPr>
              <w:ind w:left="20"/>
              <w:spacing w:after="0"/>
              <w:rPr>
                <w:sz w:val="20"/>
                <w:szCs w:val="20"/>
                <w:color w:val="auto"/>
              </w:rPr>
            </w:pPr>
            <w:r>
              <w:rPr>
                <w:rFonts w:ascii="Arial" w:cs="Arial" w:eastAsia="Arial" w:hAnsi="Arial"/>
                <w:sz w:val="18"/>
                <w:szCs w:val="18"/>
                <w:color w:val="auto"/>
              </w:rPr>
              <w:t>Cost of sales</w:t>
            </w:r>
          </w:p>
        </w:tc>
        <w:tc>
          <w:tcPr>
            <w:tcW w:w="240" w:type="dxa"/>
            <w:vAlign w:val="bottom"/>
          </w:tcPr>
          <w:p>
            <w:pPr>
              <w:spacing w:after="0"/>
              <w:rPr>
                <w:sz w:val="21"/>
                <w:szCs w:val="21"/>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130.5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56.4</w:t>
            </w: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186.9</w:t>
            </w:r>
          </w:p>
        </w:tc>
        <w:tc>
          <w:tcPr>
            <w:tcW w:w="0" w:type="dxa"/>
            <w:vAlign w:val="bottom"/>
          </w:tcPr>
          <w:p>
            <w:pPr>
              <w:spacing w:after="0"/>
              <w:rPr>
                <w:sz w:val="1"/>
                <w:szCs w:val="1"/>
                <w:color w:val="auto"/>
              </w:rPr>
            </w:pPr>
          </w:p>
        </w:tc>
      </w:tr>
      <w:tr>
        <w:trPr>
          <w:trHeight w:val="27"/>
        </w:trPr>
        <w:tc>
          <w:tcPr>
            <w:tcW w:w="46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13.3</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29.3</w:t>
            </w:r>
          </w:p>
        </w:tc>
        <w:tc>
          <w:tcPr>
            <w:tcW w:w="0" w:type="dxa"/>
            <w:vAlign w:val="bottom"/>
          </w:tcPr>
          <w:p>
            <w:pPr>
              <w:spacing w:after="0"/>
              <w:rPr>
                <w:sz w:val="1"/>
                <w:szCs w:val="1"/>
                <w:color w:val="auto"/>
              </w:rPr>
            </w:pPr>
          </w:p>
        </w:tc>
      </w:tr>
      <w:tr>
        <w:trPr>
          <w:trHeight w:val="243"/>
        </w:trPr>
        <w:tc>
          <w:tcPr>
            <w:tcW w:w="462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Selling, general and administrative</w:t>
            </w: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94.5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31.9</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0.5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126.9</w:t>
            </w:r>
          </w:p>
        </w:tc>
        <w:tc>
          <w:tcPr>
            <w:tcW w:w="0" w:type="dxa"/>
            <w:vAlign w:val="bottom"/>
          </w:tcPr>
          <w:p>
            <w:pPr>
              <w:spacing w:after="0"/>
              <w:rPr>
                <w:sz w:val="1"/>
                <w:szCs w:val="1"/>
                <w:color w:val="auto"/>
              </w:rPr>
            </w:pPr>
          </w:p>
        </w:tc>
      </w:tr>
      <w:tr>
        <w:trPr>
          <w:trHeight w:val="243"/>
        </w:trPr>
        <w:tc>
          <w:tcPr>
            <w:tcW w:w="4620" w:type="dxa"/>
            <w:vAlign w:val="bottom"/>
          </w:tcPr>
          <w:p>
            <w:pPr>
              <w:ind w:left="380"/>
              <w:spacing w:after="0"/>
              <w:rPr>
                <w:sz w:val="20"/>
                <w:szCs w:val="20"/>
                <w:color w:val="auto"/>
              </w:rPr>
            </w:pPr>
            <w:r>
              <w:rPr>
                <w:rFonts w:ascii="Arial" w:cs="Arial" w:eastAsia="Arial" w:hAnsi="Arial"/>
                <w:sz w:val="18"/>
                <w:szCs w:val="18"/>
                <w:color w:val="auto"/>
              </w:rPr>
              <w:t>Impairment, restructuring and other</w:t>
            </w:r>
          </w:p>
        </w:tc>
        <w:tc>
          <w:tcPr>
            <w:tcW w:w="240" w:type="dxa"/>
            <w:vAlign w:val="bottom"/>
          </w:tcPr>
          <w:p>
            <w:pPr>
              <w:spacing w:after="0"/>
              <w:rPr>
                <w:sz w:val="21"/>
                <w:szCs w:val="21"/>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income, net</w:t>
            </w:r>
          </w:p>
        </w:tc>
        <w:tc>
          <w:tcPr>
            <w:tcW w:w="2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37"/>
        </w:trPr>
        <w:tc>
          <w:tcPr>
            <w:tcW w:w="4620" w:type="dxa"/>
            <w:vAlign w:val="bottom"/>
          </w:tcPr>
          <w:p>
            <w:pPr>
              <w:ind w:left="20"/>
              <w:spacing w:after="0"/>
              <w:rPr>
                <w:sz w:val="20"/>
                <w:szCs w:val="20"/>
                <w:color w:val="auto"/>
              </w:rPr>
            </w:pPr>
            <w:r>
              <w:rPr>
                <w:rFonts w:ascii="Arial" w:cs="Arial" w:eastAsia="Arial" w:hAnsi="Arial"/>
                <w:sz w:val="18"/>
                <w:szCs w:val="18"/>
                <w:color w:val="auto"/>
              </w:rPr>
              <w:t>Loss from operations</w:t>
            </w:r>
          </w:p>
        </w:tc>
        <w:tc>
          <w:tcPr>
            <w:tcW w:w="2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(86.2)</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(19.3)</w:t>
            </w:r>
          </w:p>
        </w:tc>
        <w:tc>
          <w:tcPr>
            <w:tcW w:w="100" w:type="dxa"/>
            <w:vAlign w:val="bottom"/>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(106.0)</w:t>
            </w: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Equity income in subsidiaries</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620" w:type="dxa"/>
            <w:vAlign w:val="bottom"/>
          </w:tcPr>
          <w:p>
            <w:pPr>
              <w:ind w:left="20"/>
              <w:spacing w:after="0"/>
              <w:rPr>
                <w:sz w:val="20"/>
                <w:szCs w:val="20"/>
                <w:color w:val="auto"/>
              </w:rPr>
            </w:pPr>
            <w:r>
              <w:rPr>
                <w:rFonts w:ascii="Arial" w:cs="Arial" w:eastAsia="Arial" w:hAnsi="Arial"/>
                <w:sz w:val="18"/>
                <w:szCs w:val="18"/>
                <w:color w:val="auto"/>
              </w:rPr>
              <w:t>Other non-operating income</w:t>
            </w: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2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37"/>
        </w:trPr>
        <w:tc>
          <w:tcPr>
            <w:tcW w:w="4620" w:type="dxa"/>
            <w:vAlign w:val="bottom"/>
          </w:tcPr>
          <w:p>
            <w:pPr>
              <w:ind w:left="20"/>
              <w:spacing w:after="0"/>
              <w:rPr>
                <w:sz w:val="20"/>
                <w:szCs w:val="20"/>
                <w:color w:val="auto"/>
              </w:rPr>
            </w:pPr>
            <w:r>
              <w:rPr>
                <w:rFonts w:ascii="Arial" w:cs="Arial" w:eastAsia="Arial" w:hAnsi="Arial"/>
                <w:sz w:val="18"/>
                <w:szCs w:val="18"/>
                <w:color w:val="auto"/>
              </w:rPr>
              <w:t>Loss from continuing operations before income taxes</w:t>
            </w:r>
          </w:p>
        </w:tc>
        <w:tc>
          <w:tcPr>
            <w:tcW w:w="2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(75.9)</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(97.9)</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72.1</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(115.7)</w:t>
            </w: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benefit from continuing operations</w:t>
            </w:r>
          </w:p>
        </w:tc>
        <w:tc>
          <w:tcPr>
            <w:tcW w:w="2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(41.7)</w:t>
            </w:r>
          </w:p>
        </w:tc>
        <w:tc>
          <w:tcPr>
            <w:tcW w:w="0" w:type="dxa"/>
            <w:vAlign w:val="bottom"/>
          </w:tcPr>
          <w:p>
            <w:pPr>
              <w:spacing w:after="0"/>
              <w:rPr>
                <w:sz w:val="1"/>
                <w:szCs w:val="1"/>
                <w:color w:val="auto"/>
              </w:rPr>
            </w:pPr>
          </w:p>
        </w:tc>
      </w:tr>
      <w:tr>
        <w:trPr>
          <w:trHeight w:val="237"/>
        </w:trPr>
        <w:tc>
          <w:tcPr>
            <w:tcW w:w="4620" w:type="dxa"/>
            <w:vAlign w:val="bottom"/>
          </w:tcPr>
          <w:p>
            <w:pPr>
              <w:ind w:left="20"/>
              <w:spacing w:after="0"/>
              <w:rPr>
                <w:sz w:val="20"/>
                <w:szCs w:val="20"/>
                <w:color w:val="auto"/>
              </w:rPr>
            </w:pPr>
            <w:r>
              <w:rPr>
                <w:rFonts w:ascii="Arial" w:cs="Arial" w:eastAsia="Arial" w:hAnsi="Arial"/>
                <w:sz w:val="18"/>
                <w:szCs w:val="18"/>
                <w:color w:val="auto"/>
              </w:rPr>
              <w:t>Loss from continuing operations</w:t>
            </w:r>
          </w:p>
        </w:tc>
        <w:tc>
          <w:tcPr>
            <w:tcW w:w="2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(73.5)</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(64.0)</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72.1</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(74.0)</w:t>
            </w: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from discontinued operations, net of tax</w:t>
            </w:r>
          </w:p>
        </w:tc>
        <w:tc>
          <w:tcPr>
            <w:tcW w:w="2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620" w:type="dxa"/>
            <w:vAlign w:val="bottom"/>
          </w:tcPr>
          <w:p>
            <w:pPr>
              <w:ind w:left="20"/>
              <w:spacing w:after="0"/>
              <w:rPr>
                <w:sz w:val="20"/>
                <w:szCs w:val="20"/>
                <w:color w:val="auto"/>
              </w:rPr>
            </w:pPr>
            <w:r>
              <w:rPr>
                <w:rFonts w:ascii="Arial" w:cs="Arial" w:eastAsia="Arial" w:hAnsi="Arial"/>
                <w:sz w:val="18"/>
                <w:szCs w:val="18"/>
                <w:color w:val="auto"/>
              </w:rPr>
              <w:t>Net loss</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(73.5)</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(64.0)</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20"/>
                <w:szCs w:val="20"/>
                <w:color w:val="auto"/>
              </w:rPr>
            </w:pPr>
          </w:p>
        </w:tc>
        <w:tc>
          <w:tcPr>
            <w:tcW w:w="7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72.1</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(74.0)</w:t>
            </w:r>
          </w:p>
        </w:tc>
        <w:tc>
          <w:tcPr>
            <w:tcW w:w="0" w:type="dxa"/>
            <w:vAlign w:val="bottom"/>
          </w:tcPr>
          <w:p>
            <w:pPr>
              <w:spacing w:after="0"/>
              <w:rPr>
                <w:sz w:val="1"/>
                <w:szCs w:val="1"/>
                <w:color w:val="auto"/>
              </w:rPr>
            </w:pPr>
          </w:p>
        </w:tc>
      </w:tr>
      <w:tr>
        <w:trPr>
          <w:trHeight w:val="67"/>
        </w:trPr>
        <w:tc>
          <w:tcPr>
            <w:tcW w:w="462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462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Net income attributable to noncontrolling interest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Net loss attributable to controlling interest</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620" w:type="dxa"/>
            <w:vAlign w:val="bottom"/>
            <w:vMerge w:val="continue"/>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(73.5)</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(64.0)</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19"/>
                <w:szCs w:val="19"/>
                <w:color w:val="auto"/>
              </w:rPr>
            </w:pPr>
          </w:p>
        </w:tc>
        <w:tc>
          <w:tcPr>
            <w:tcW w:w="700" w:type="dxa"/>
            <w:vAlign w:val="bottom"/>
          </w:tcPr>
          <w:p>
            <w:pPr>
              <w:ind w:left="2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71.5</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(74.6)</w:t>
            </w: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2"/>
        </w:trPr>
        <w:tc>
          <w:tcPr>
            <w:tcW w:w="4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24</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125" w:right="299" w:bottom="1440" w:gutter="0" w:footer="0" w:header="0"/>
        </w:sectPr>
      </w:pPr>
    </w:p>
    <w:bookmarkStart w:id="24" w:name="page25"/>
    <w:bookmarkEnd w:id="24"/>
    <w:p>
      <w:pPr>
        <w:spacing w:after="0"/>
        <w:rPr>
          <w:rFonts w:ascii="Arial" w:cs="Arial" w:eastAsia="Arial" w:hAnsi="Arial"/>
          <w:sz w:val="18"/>
          <w:szCs w:val="18"/>
          <w:color w:val="FFFFFF"/>
        </w:rPr>
      </w:pPr>
      <w:hyperlink w:anchor="page1">
        <w:r>
          <w:rPr>
            <w:rFonts w:ascii="Arial" w:cs="Arial" w:eastAsia="Arial" w:hAnsi="Arial"/>
            <w:sz w:val="18"/>
            <w:szCs w:val="18"/>
            <w:color w:val="FFFF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December 27, 2014</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(Unaudited)</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Parent</w:t>
            </w:r>
          </w:p>
        </w:tc>
        <w:tc>
          <w:tcPr>
            <w:tcW w:w="160" w:type="dxa"/>
            <w:vAlign w:val="bottom"/>
          </w:tcPr>
          <w:p>
            <w:pPr>
              <w:spacing w:after="0"/>
              <w:rPr>
                <w:sz w:val="14"/>
                <w:szCs w:val="14"/>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Subsidiary</w:t>
            </w:r>
          </w:p>
        </w:tc>
        <w:tc>
          <w:tcPr>
            <w:tcW w:w="160" w:type="dxa"/>
            <w:vAlign w:val="bottom"/>
          </w:tcPr>
          <w:p>
            <w:pPr>
              <w:spacing w:after="0"/>
              <w:rPr>
                <w:sz w:val="14"/>
                <w:szCs w:val="14"/>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Non-</w:t>
            </w:r>
          </w:p>
        </w:tc>
        <w:tc>
          <w:tcPr>
            <w:tcW w:w="19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w w:val="98"/>
              </w:rPr>
              <w:t>Eliminations/Consolidations</w:t>
            </w:r>
          </w:p>
        </w:tc>
        <w:tc>
          <w:tcPr>
            <w:tcW w:w="160" w:type="dxa"/>
            <w:vAlign w:val="bottom"/>
          </w:tcPr>
          <w:p>
            <w:pPr>
              <w:spacing w:after="0"/>
              <w:rPr>
                <w:sz w:val="14"/>
                <w:szCs w:val="14"/>
                <w:color w:val="auto"/>
              </w:rPr>
            </w:pPr>
          </w:p>
        </w:tc>
        <w:tc>
          <w:tcPr>
            <w:tcW w:w="1060" w:type="dxa"/>
            <w:vAlign w:val="bottom"/>
            <w:vMerge w:val="restart"/>
          </w:tcPr>
          <w:p>
            <w:pPr>
              <w:jc w:val="right"/>
              <w:ind w:right="133"/>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92"/>
        </w:trPr>
        <w:tc>
          <w:tcPr>
            <w:tcW w:w="4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Guarantors</w:t>
            </w:r>
          </w:p>
        </w:tc>
        <w:tc>
          <w:tcPr>
            <w:tcW w:w="160" w:type="dxa"/>
            <w:vAlign w:val="bottom"/>
          </w:tcPr>
          <w:p>
            <w:pPr>
              <w:spacing w:after="0"/>
              <w:rPr>
                <w:sz w:val="16"/>
                <w:szCs w:val="16"/>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Guarantors</w:t>
            </w:r>
          </w:p>
        </w:tc>
        <w:tc>
          <w:tcPr>
            <w:tcW w:w="190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6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72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72.1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(74.0)</w:t>
            </w:r>
          </w:p>
        </w:tc>
        <w:tc>
          <w:tcPr>
            <w:tcW w:w="0" w:type="dxa"/>
            <w:vAlign w:val="bottom"/>
          </w:tcPr>
          <w:p>
            <w:pPr>
              <w:spacing w:after="0"/>
              <w:rPr>
                <w:sz w:val="1"/>
                <w:szCs w:val="1"/>
                <w:color w:val="auto"/>
              </w:rPr>
            </w:pPr>
          </w:p>
        </w:tc>
      </w:tr>
      <w:tr>
        <w:trPr>
          <w:trHeight w:val="243"/>
        </w:trPr>
        <w:tc>
          <w:tcPr>
            <w:tcW w:w="4660" w:type="dxa"/>
            <w:vAlign w:val="bottom"/>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foreign currency translation adjustment</w:t>
            </w: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43"/>
        </w:trPr>
        <w:tc>
          <w:tcPr>
            <w:tcW w:w="4660" w:type="dxa"/>
            <w:vAlign w:val="bottom"/>
          </w:tcPr>
          <w:p>
            <w:pPr>
              <w:ind w:left="500"/>
              <w:spacing w:after="0"/>
              <w:rPr>
                <w:sz w:val="20"/>
                <w:szCs w:val="20"/>
                <w:color w:val="auto"/>
              </w:rPr>
            </w:pPr>
            <w:r>
              <w:rPr>
                <w:rFonts w:ascii="Arial" w:cs="Arial" w:eastAsia="Arial" w:hAnsi="Arial"/>
                <w:sz w:val="18"/>
                <w:szCs w:val="18"/>
                <w:color w:val="auto"/>
              </w:rPr>
              <w:t>Net change in derivatives</w:t>
            </w: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w w:val="91"/>
              </w:rPr>
              <w:t>Net change in pension and other post retirement benefits</w:t>
            </w:r>
          </w:p>
        </w:tc>
        <w:tc>
          <w:tcPr>
            <w:tcW w:w="2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0.8</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0.5</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(0.8)</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37"/>
        </w:trPr>
        <w:tc>
          <w:tcPr>
            <w:tcW w:w="4660" w:type="dxa"/>
            <w:vAlign w:val="bottom"/>
          </w:tcPr>
          <w:p>
            <w:pPr>
              <w:ind w:left="40"/>
              <w:spacing w:after="0"/>
              <w:rPr>
                <w:sz w:val="20"/>
                <w:szCs w:val="20"/>
                <w:color w:val="auto"/>
              </w:rPr>
            </w:pPr>
            <w:r>
              <w:rPr>
                <w:rFonts w:ascii="Arial" w:cs="Arial" w:eastAsia="Arial" w:hAnsi="Arial"/>
                <w:sz w:val="18"/>
                <w:szCs w:val="18"/>
                <w:color w:val="auto"/>
              </w:rPr>
              <w:t>Total other comprehensive (loss) income</w:t>
            </w:r>
          </w:p>
        </w:tc>
        <w:tc>
          <w:tcPr>
            <w:tcW w:w="22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
        </w:trPr>
        <w:tc>
          <w:tcPr>
            <w:tcW w:w="46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loss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(75.8)</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(62.9)</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73.7</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(76.3)</w:t>
            </w: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2"/>
        </w:trPr>
        <w:tc>
          <w:tcPr>
            <w:tcW w:w="4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25</w:t>
            </w: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Arial" w:cs="Arial" w:eastAsia="Arial" w:hAnsi="Arial"/>
          <w:sz w:val="18"/>
          <w:szCs w:val="18"/>
          <w:color w:val="FFFFFF"/>
        </w:rPr>
      </w:pPr>
      <w:hyperlink w:anchor="page1">
        <w:r>
          <w:rPr>
            <w:rFonts w:ascii="Arial" w:cs="Arial" w:eastAsia="Arial" w:hAnsi="Arial"/>
            <w:sz w:val="18"/>
            <w:szCs w:val="18"/>
            <w:color w:val="FFFF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December 27, 2014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Parent</w:t>
            </w:r>
          </w:p>
        </w:tc>
        <w:tc>
          <w:tcPr>
            <w:tcW w:w="140" w:type="dxa"/>
            <w:vAlign w:val="bottom"/>
          </w:tcPr>
          <w:p>
            <w:pPr>
              <w:spacing w:after="0"/>
              <w:rPr>
                <w:sz w:val="14"/>
                <w:szCs w:val="14"/>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Subsidiary</w:t>
            </w:r>
          </w:p>
        </w:tc>
        <w:tc>
          <w:tcPr>
            <w:tcW w:w="140" w:type="dxa"/>
            <w:vAlign w:val="bottom"/>
          </w:tcPr>
          <w:p>
            <w:pPr>
              <w:spacing w:after="0"/>
              <w:rPr>
                <w:sz w:val="14"/>
                <w:szCs w:val="14"/>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Non-</w:t>
            </w:r>
          </w:p>
        </w:tc>
        <w:tc>
          <w:tcPr>
            <w:tcW w:w="19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w w:val="97"/>
              </w:rPr>
              <w:t>Eliminations/Consolidations</w:t>
            </w:r>
          </w:p>
        </w:tc>
        <w:tc>
          <w:tcPr>
            <w:tcW w:w="140" w:type="dxa"/>
            <w:vAlign w:val="bottom"/>
          </w:tcPr>
          <w:p>
            <w:pPr>
              <w:spacing w:after="0"/>
              <w:rPr>
                <w:sz w:val="14"/>
                <w:szCs w:val="14"/>
                <w:color w:val="auto"/>
              </w:rPr>
            </w:pPr>
          </w:p>
        </w:tc>
        <w:tc>
          <w:tcPr>
            <w:tcW w:w="98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92"/>
        </w:trPr>
        <w:tc>
          <w:tcPr>
            <w:tcW w:w="5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Guarantors</w:t>
            </w:r>
          </w:p>
        </w:tc>
        <w:tc>
          <w:tcPr>
            <w:tcW w:w="140" w:type="dxa"/>
            <w:vAlign w:val="bottom"/>
          </w:tcPr>
          <w:p>
            <w:pPr>
              <w:spacing w:after="0"/>
              <w:rPr>
                <w:sz w:val="16"/>
                <w:szCs w:val="16"/>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Guarantors</w:t>
            </w:r>
          </w:p>
        </w:tc>
        <w:tc>
          <w:tcPr>
            <w:tcW w:w="190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50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(USED IN) OPERATING</w:t>
            </w:r>
          </w:p>
        </w:tc>
        <w:tc>
          <w:tcPr>
            <w:tcW w:w="2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5080" w:type="dxa"/>
            <w:vAlign w:val="bottom"/>
            <w:shd w:val="clear" w:color="auto" w:fill="CCEEFF"/>
          </w:tcPr>
          <w:p>
            <w:pPr>
              <w:ind w:left="40"/>
              <w:spacing w:after="0" w:line="257" w:lineRule="exact"/>
              <w:rPr>
                <w:sz w:val="20"/>
                <w:szCs w:val="20"/>
                <w:color w:val="auto"/>
              </w:rPr>
            </w:pPr>
            <w:r>
              <w:rPr>
                <w:rFonts w:ascii="Arial" w:cs="Arial" w:eastAsia="Arial" w:hAnsi="Arial"/>
                <w:sz w:val="18"/>
                <w:szCs w:val="18"/>
                <w:color w:val="auto"/>
              </w:rPr>
              <w:t xml:space="preserve">ACTIVITIES </w:t>
            </w:r>
            <w:r>
              <w:rPr>
                <w:rFonts w:ascii="Arial" w:cs="Arial" w:eastAsia="Arial" w:hAnsi="Arial"/>
                <w:sz w:val="25"/>
                <w:szCs w:val="25"/>
                <w:color w:val="auto"/>
                <w:vertAlign w:val="superscript"/>
              </w:rPr>
              <w:t>(a)</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24.9</w:t>
            </w: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(198.6)</w:t>
            </w: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(40.2)</w:t>
            </w:r>
          </w:p>
        </w:tc>
        <w:tc>
          <w:tcPr>
            <w:tcW w:w="100" w:type="dxa"/>
            <w:vAlign w:val="bottom"/>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(53.1)</w:t>
            </w: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(267.0)</w:t>
            </w:r>
          </w:p>
        </w:tc>
        <w:tc>
          <w:tcPr>
            <w:tcW w:w="0" w:type="dxa"/>
            <w:vAlign w:val="bottom"/>
          </w:tcPr>
          <w:p>
            <w:pPr>
              <w:spacing w:after="0"/>
              <w:rPr>
                <w:sz w:val="1"/>
                <w:szCs w:val="1"/>
                <w:color w:val="auto"/>
              </w:rPr>
            </w:pPr>
          </w:p>
        </w:tc>
      </w:tr>
      <w:tr>
        <w:trPr>
          <w:trHeight w:val="264"/>
        </w:trPr>
        <w:tc>
          <w:tcPr>
            <w:tcW w:w="50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INVESTING ACTIVITIES</w:t>
            </w:r>
          </w:p>
        </w:tc>
        <w:tc>
          <w:tcPr>
            <w:tcW w:w="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80" w:type="dxa"/>
            <w:vAlign w:val="bottom"/>
          </w:tcPr>
          <w:p>
            <w:pPr>
              <w:ind w:left="380"/>
              <w:spacing w:after="0"/>
              <w:rPr>
                <w:sz w:val="20"/>
                <w:szCs w:val="20"/>
                <w:color w:val="auto"/>
              </w:rPr>
            </w:pPr>
            <w:r>
              <w:rPr>
                <w:rFonts w:ascii="Arial" w:cs="Arial" w:eastAsia="Arial" w:hAnsi="Arial"/>
                <w:sz w:val="18"/>
                <w:szCs w:val="18"/>
                <w:color w:val="auto"/>
              </w:rPr>
              <w:t>Investments in property, plant and equipment</w:t>
            </w:r>
          </w:p>
        </w:tc>
        <w:tc>
          <w:tcPr>
            <w:tcW w:w="20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Investment in acquired business, net of cash acquired</w:t>
            </w:r>
          </w:p>
        </w:tc>
        <w:tc>
          <w:tcPr>
            <w:tcW w:w="2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37"/>
        </w:trPr>
        <w:tc>
          <w:tcPr>
            <w:tcW w:w="5080" w:type="dxa"/>
            <w:vAlign w:val="bottom"/>
          </w:tcPr>
          <w:p>
            <w:pPr>
              <w:ind w:left="720"/>
              <w:spacing w:after="0"/>
              <w:rPr>
                <w:sz w:val="20"/>
                <w:szCs w:val="20"/>
                <w:color w:val="auto"/>
              </w:rPr>
            </w:pPr>
            <w:r>
              <w:rPr>
                <w:rFonts w:ascii="Arial" w:cs="Arial" w:eastAsia="Arial" w:hAnsi="Arial"/>
                <w:sz w:val="18"/>
                <w:szCs w:val="18"/>
                <w:color w:val="auto"/>
              </w:rPr>
              <w:t>Net cash used in investing activities</w:t>
            </w:r>
          </w:p>
        </w:tc>
        <w:tc>
          <w:tcPr>
            <w:tcW w:w="20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(23.5)</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7"/>
        </w:trPr>
        <w:tc>
          <w:tcPr>
            <w:tcW w:w="50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0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FINANCING ACTIVITIES</w:t>
            </w:r>
          </w:p>
        </w:tc>
        <w:tc>
          <w:tcPr>
            <w:tcW w:w="2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Borrowings under revolving and bank lines of credit</w:t>
            </w: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480.7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58.9</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539.6</w:t>
            </w:r>
          </w:p>
        </w:tc>
        <w:tc>
          <w:tcPr>
            <w:tcW w:w="0" w:type="dxa"/>
            <w:vAlign w:val="bottom"/>
          </w:tcPr>
          <w:p>
            <w:pPr>
              <w:spacing w:after="0"/>
              <w:rPr>
                <w:sz w:val="1"/>
                <w:szCs w:val="1"/>
                <w:color w:val="auto"/>
              </w:rPr>
            </w:pPr>
          </w:p>
        </w:tc>
      </w:tr>
      <w:tr>
        <w:trPr>
          <w:trHeight w:val="243"/>
        </w:trPr>
        <w:tc>
          <w:tcPr>
            <w:tcW w:w="5080" w:type="dxa"/>
            <w:vAlign w:val="bottom"/>
          </w:tcPr>
          <w:p>
            <w:pPr>
              <w:ind w:left="380"/>
              <w:spacing w:after="0"/>
              <w:rPr>
                <w:sz w:val="20"/>
                <w:szCs w:val="20"/>
                <w:color w:val="auto"/>
              </w:rPr>
            </w:pPr>
            <w:r>
              <w:rPr>
                <w:rFonts w:ascii="Arial" w:cs="Arial" w:eastAsia="Arial" w:hAnsi="Arial"/>
                <w:sz w:val="18"/>
                <w:szCs w:val="18"/>
                <w:color w:val="auto"/>
              </w:rPr>
              <w:t>Repayments under revolving and bank lines of credit</w:t>
            </w:r>
          </w:p>
        </w:tc>
        <w:tc>
          <w:tcPr>
            <w:tcW w:w="20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(156.5)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(167.1)</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Dividends paid</w:t>
            </w:r>
          </w:p>
        </w:tc>
        <w:tc>
          <w:tcPr>
            <w:tcW w:w="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52.6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243"/>
        </w:trPr>
        <w:tc>
          <w:tcPr>
            <w:tcW w:w="5080" w:type="dxa"/>
            <w:vAlign w:val="bottom"/>
          </w:tcPr>
          <w:p>
            <w:pPr>
              <w:ind w:left="380"/>
              <w:spacing w:after="0"/>
              <w:rPr>
                <w:sz w:val="20"/>
                <w:szCs w:val="20"/>
                <w:color w:val="auto"/>
              </w:rPr>
            </w:pPr>
            <w:r>
              <w:rPr>
                <w:rFonts w:ascii="Arial" w:cs="Arial" w:eastAsia="Arial" w:hAnsi="Arial"/>
                <w:sz w:val="18"/>
                <w:szCs w:val="18"/>
                <w:color w:val="auto"/>
              </w:rPr>
              <w:t>Purchase of common shares</w:t>
            </w:r>
          </w:p>
        </w:tc>
        <w:tc>
          <w:tcPr>
            <w:tcW w:w="2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21"/>
                <w:szCs w:val="21"/>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95"/>
              </w:rPr>
              <w:t>Excess tax benefits from share-based payment arrangements</w:t>
            </w: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43"/>
        </w:trPr>
        <w:tc>
          <w:tcPr>
            <w:tcW w:w="5080" w:type="dxa"/>
            <w:vAlign w:val="bottom"/>
          </w:tcPr>
          <w:p>
            <w:pPr>
              <w:ind w:left="380"/>
              <w:spacing w:after="0"/>
              <w:rPr>
                <w:sz w:val="20"/>
                <w:szCs w:val="20"/>
                <w:color w:val="auto"/>
              </w:rPr>
            </w:pPr>
            <w:r>
              <w:rPr>
                <w:rFonts w:ascii="Arial" w:cs="Arial" w:eastAsia="Arial" w:hAnsi="Arial"/>
                <w:sz w:val="18"/>
                <w:szCs w:val="18"/>
                <w:color w:val="auto"/>
              </w:rPr>
              <w:t>Cash received from the exercise of stock options</w:t>
            </w:r>
          </w:p>
        </w:tc>
        <w:tc>
          <w:tcPr>
            <w:tcW w:w="20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21"/>
                <w:szCs w:val="21"/>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Intercompany financing</w:t>
            </w:r>
          </w:p>
        </w:tc>
        <w:tc>
          <w:tcPr>
            <w:tcW w:w="2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5080" w:type="dxa"/>
            <w:vAlign w:val="bottom"/>
          </w:tcPr>
          <w:p>
            <w:pPr>
              <w:ind w:left="720"/>
              <w:spacing w:after="0"/>
              <w:rPr>
                <w:sz w:val="20"/>
                <w:szCs w:val="20"/>
                <w:color w:val="auto"/>
              </w:rPr>
            </w:pPr>
            <w:r>
              <w:rPr>
                <w:rFonts w:ascii="Arial" w:cs="Arial" w:eastAsia="Arial" w:hAnsi="Arial"/>
                <w:sz w:val="18"/>
                <w:szCs w:val="18"/>
                <w:color w:val="auto"/>
              </w:rPr>
              <w:t>Net cash (used in) provided by financing activities</w:t>
            </w:r>
          </w:p>
        </w:tc>
        <w:tc>
          <w:tcPr>
            <w:tcW w:w="20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(24.9)</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262.9</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45.9</w:t>
            </w:r>
          </w:p>
        </w:tc>
        <w:tc>
          <w:tcPr>
            <w:tcW w:w="100" w:type="dxa"/>
            <w:vAlign w:val="bottom"/>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53.1</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337.0</w:t>
            </w:r>
          </w:p>
        </w:tc>
        <w:tc>
          <w:tcPr>
            <w:tcW w:w="0" w:type="dxa"/>
            <w:vAlign w:val="bottom"/>
          </w:tcPr>
          <w:p>
            <w:pPr>
              <w:spacing w:after="0"/>
              <w:rPr>
                <w:sz w:val="1"/>
                <w:szCs w:val="1"/>
                <w:color w:val="auto"/>
              </w:rPr>
            </w:pPr>
          </w:p>
        </w:tc>
      </w:tr>
      <w:tr>
        <w:trPr>
          <w:trHeight w:val="27"/>
        </w:trPr>
        <w:tc>
          <w:tcPr>
            <w:tcW w:w="50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exchange rate changes on cash</w:t>
            </w:r>
          </w:p>
        </w:tc>
        <w:tc>
          <w:tcPr>
            <w:tcW w:w="2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37"/>
        </w:trPr>
        <w:tc>
          <w:tcPr>
            <w:tcW w:w="5080" w:type="dxa"/>
            <w:vAlign w:val="bottom"/>
          </w:tcPr>
          <w:p>
            <w:pPr>
              <w:ind w:left="40"/>
              <w:spacing w:after="0"/>
              <w:rPr>
                <w:sz w:val="20"/>
                <w:szCs w:val="20"/>
                <w:color w:val="auto"/>
              </w:rPr>
            </w:pPr>
            <w:r>
              <w:rPr>
                <w:rFonts w:ascii="Arial" w:cs="Arial" w:eastAsia="Arial" w:hAnsi="Arial"/>
                <w:sz w:val="18"/>
                <w:szCs w:val="18"/>
                <w:color w:val="auto"/>
              </w:rPr>
              <w:t>Net increase in cash and cash equivalents</w:t>
            </w:r>
          </w:p>
        </w:tc>
        <w:tc>
          <w:tcPr>
            <w:tcW w:w="20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40.8</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40.8</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beginning of period</w:t>
            </w:r>
          </w:p>
        </w:tc>
        <w:tc>
          <w:tcPr>
            <w:tcW w:w="2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66.2</w:t>
            </w:r>
          </w:p>
        </w:tc>
        <w:tc>
          <w:tcPr>
            <w:tcW w:w="1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89.3</w:t>
            </w:r>
          </w:p>
        </w:tc>
        <w:tc>
          <w:tcPr>
            <w:tcW w:w="0" w:type="dxa"/>
            <w:vAlign w:val="bottom"/>
          </w:tcPr>
          <w:p>
            <w:pPr>
              <w:spacing w:after="0"/>
              <w:rPr>
                <w:sz w:val="1"/>
                <w:szCs w:val="1"/>
                <w:color w:val="auto"/>
              </w:rPr>
            </w:pPr>
          </w:p>
        </w:tc>
      </w:tr>
      <w:tr>
        <w:trPr>
          <w:trHeight w:val="237"/>
        </w:trPr>
        <w:tc>
          <w:tcPr>
            <w:tcW w:w="5080" w:type="dxa"/>
            <w:vAlign w:val="bottom"/>
          </w:tcPr>
          <w:p>
            <w:pPr>
              <w:ind w:left="40"/>
              <w:spacing w:after="0"/>
              <w:rPr>
                <w:sz w:val="20"/>
                <w:szCs w:val="20"/>
                <w:color w:val="auto"/>
              </w:rPr>
            </w:pPr>
            <w:r>
              <w:rPr>
                <w:rFonts w:ascii="Arial" w:cs="Arial" w:eastAsia="Arial" w:hAnsi="Arial"/>
                <w:sz w:val="18"/>
                <w:szCs w:val="18"/>
                <w:color w:val="auto"/>
              </w:rPr>
              <w:t>Cash and cash equivalents, end of period</w:t>
            </w: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63.9</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66.2</w:t>
            </w:r>
          </w:p>
        </w:tc>
        <w:tc>
          <w:tcPr>
            <w:tcW w:w="100" w:type="dxa"/>
            <w:vAlign w:val="bottom"/>
          </w:tcPr>
          <w:p>
            <w:pPr>
              <w:spacing w:after="0"/>
              <w:rPr>
                <w:sz w:val="20"/>
                <w:szCs w:val="20"/>
                <w:color w:val="auto"/>
              </w:rPr>
            </w:pPr>
          </w:p>
        </w:tc>
        <w:tc>
          <w:tcPr>
            <w:tcW w:w="6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130.1</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ind w:left="660" w:hanging="652"/>
        <w:spacing w:after="0" w:line="275" w:lineRule="auto"/>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Cash received by the Parent from its subsidiaries in the form of dividends in the amount of $48.9 million represent return on investments and are included in cash flows from operating activities.</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Arial" w:cs="Arial" w:eastAsia="Arial" w:hAnsi="Arial"/>
          <w:sz w:val="18"/>
          <w:szCs w:val="18"/>
          <w:color w:val="FFFFFF"/>
        </w:rPr>
      </w:pPr>
      <w:hyperlink w:anchor="page1">
        <w:r>
          <w:rPr>
            <w:rFonts w:ascii="Arial" w:cs="Arial" w:eastAsia="Arial" w:hAnsi="Arial"/>
            <w:sz w:val="18"/>
            <w:szCs w:val="18"/>
            <w:color w:val="FFFF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27, 2014</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(Unaudited)</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vMerge w:val="restart"/>
          </w:tcPr>
          <w:p>
            <w:pPr>
              <w:jc w:val="right"/>
              <w:ind w:right="311"/>
              <w:spacing w:after="0"/>
              <w:rPr>
                <w:sz w:val="20"/>
                <w:szCs w:val="20"/>
                <w:color w:val="auto"/>
              </w:rPr>
            </w:pPr>
            <w:r>
              <w:rPr>
                <w:rFonts w:ascii="Arial" w:cs="Arial" w:eastAsia="Arial" w:hAnsi="Arial"/>
                <w:sz w:val="14"/>
                <w:szCs w:val="14"/>
                <w:b w:val="1"/>
                <w:bCs w:val="1"/>
                <w:color w:val="auto"/>
              </w:rPr>
              <w:t>Parent</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gridSpan w:val="2"/>
          </w:tcPr>
          <w:p>
            <w:pPr>
              <w:ind w:left="60"/>
              <w:spacing w:after="0"/>
              <w:rPr>
                <w:sz w:val="20"/>
                <w:szCs w:val="20"/>
                <w:color w:val="auto"/>
              </w:rPr>
            </w:pPr>
            <w:r>
              <w:rPr>
                <w:rFonts w:ascii="Arial" w:cs="Arial" w:eastAsia="Arial" w:hAnsi="Arial"/>
                <w:sz w:val="14"/>
                <w:szCs w:val="14"/>
                <w:b w:val="1"/>
                <w:bCs w:val="1"/>
                <w:color w:val="auto"/>
              </w:rPr>
              <w:t>Subsidiary</w:t>
            </w:r>
          </w:p>
        </w:tc>
        <w:tc>
          <w:tcPr>
            <w:tcW w:w="180" w:type="dxa"/>
            <w:vAlign w:val="bottom"/>
          </w:tcPr>
          <w:p>
            <w:pPr>
              <w:spacing w:after="0"/>
              <w:rPr>
                <w:sz w:val="14"/>
                <w:szCs w:val="14"/>
                <w:color w:val="auto"/>
              </w:rPr>
            </w:pPr>
          </w:p>
        </w:tc>
        <w:tc>
          <w:tcPr>
            <w:tcW w:w="1160" w:type="dxa"/>
            <w:vAlign w:val="bottom"/>
            <w:gridSpan w:val="2"/>
          </w:tcPr>
          <w:p>
            <w:pPr>
              <w:ind w:left="280"/>
              <w:spacing w:after="0"/>
              <w:rPr>
                <w:sz w:val="20"/>
                <w:szCs w:val="20"/>
                <w:color w:val="auto"/>
              </w:rPr>
            </w:pPr>
            <w:r>
              <w:rPr>
                <w:rFonts w:ascii="Arial" w:cs="Arial" w:eastAsia="Arial" w:hAnsi="Arial"/>
                <w:sz w:val="14"/>
                <w:szCs w:val="14"/>
                <w:b w:val="1"/>
                <w:bCs w:val="1"/>
                <w:color w:val="auto"/>
              </w:rPr>
              <w:t>Non-</w:t>
            </w:r>
          </w:p>
        </w:tc>
        <w:tc>
          <w:tcPr>
            <w:tcW w:w="17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2"/>
              </w:rPr>
              <w:t>Eliminations/Consolidations</w:t>
            </w:r>
          </w:p>
        </w:tc>
        <w:tc>
          <w:tcPr>
            <w:tcW w:w="12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92"/>
        </w:trPr>
        <w:tc>
          <w:tcPr>
            <w:tcW w:w="36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w w:val="98"/>
              </w:rPr>
              <w:t>Guarantors</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Guarantors</w:t>
            </w:r>
          </w:p>
        </w:tc>
        <w:tc>
          <w:tcPr>
            <w:tcW w:w="100" w:type="dxa"/>
            <w:vAlign w:val="bottom"/>
          </w:tcPr>
          <w:p>
            <w:pPr>
              <w:spacing w:after="0"/>
              <w:rPr>
                <w:sz w:val="16"/>
                <w:szCs w:val="16"/>
                <w:color w:val="auto"/>
              </w:rPr>
            </w:pPr>
          </w:p>
        </w:tc>
        <w:tc>
          <w:tcPr>
            <w:tcW w:w="1780" w:type="dxa"/>
            <w:vAlign w:val="bottom"/>
            <w:tcBorders>
              <w:bottom w:val="single" w:sz="8" w:color="auto"/>
            </w:tcBorders>
            <w:gridSpan w:val="2"/>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6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300" w:type="dxa"/>
            <w:vAlign w:val="bottom"/>
            <w:gridSpan w:val="4"/>
          </w:tcPr>
          <w:p>
            <w:pPr>
              <w:jc w:val="center"/>
              <w:spacing w:after="0"/>
              <w:rPr>
                <w:sz w:val="20"/>
                <w:szCs w:val="20"/>
                <w:color w:val="auto"/>
              </w:rPr>
            </w:pPr>
            <w:r>
              <w:rPr>
                <w:rFonts w:ascii="Arial" w:cs="Arial" w:eastAsia="Arial" w:hAnsi="Arial"/>
                <w:sz w:val="18"/>
                <w:szCs w:val="18"/>
                <w:b w:val="1"/>
                <w:bCs w:val="1"/>
                <w:color w:val="auto"/>
                <w:w w:val="91"/>
              </w:rPr>
              <w:t>ASSETS</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
        </w:trPr>
        <w:tc>
          <w:tcPr>
            <w:tcW w:w="3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6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80" w:type="dxa"/>
            <w:vAlign w:val="bottom"/>
          </w:tcPr>
          <w:p>
            <w:pPr>
              <w:ind w:left="380"/>
              <w:spacing w:after="0"/>
              <w:rPr>
                <w:sz w:val="20"/>
                <w:szCs w:val="20"/>
                <w:color w:val="auto"/>
              </w:rPr>
            </w:pPr>
            <w:r>
              <w:rPr>
                <w:rFonts w:ascii="Arial" w:cs="Arial" w:eastAsia="Arial" w:hAnsi="Arial"/>
                <w:sz w:val="18"/>
                <w:szCs w:val="18"/>
                <w:color w:val="auto"/>
              </w:rPr>
              <w:t>Cash and cash equivalents</w:t>
            </w:r>
          </w:p>
        </w:tc>
        <w:tc>
          <w:tcPr>
            <w:tcW w:w="8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center"/>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63.9</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66.2</w:t>
            </w:r>
          </w:p>
        </w:tc>
        <w:tc>
          <w:tcPr>
            <w:tcW w:w="100" w:type="dxa"/>
            <w:vAlign w:val="bottom"/>
          </w:tcPr>
          <w:p>
            <w:pPr>
              <w:spacing w:after="0"/>
              <w:rPr>
                <w:sz w:val="21"/>
                <w:szCs w:val="21"/>
                <w:color w:val="auto"/>
              </w:rPr>
            </w:pPr>
          </w:p>
        </w:tc>
        <w:tc>
          <w:tcPr>
            <w:tcW w:w="580" w:type="dxa"/>
            <w:vAlign w:val="bottom"/>
          </w:tcPr>
          <w:p>
            <w:pPr>
              <w:ind w:left="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130.1</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receivable, net</w:t>
            </w:r>
          </w:p>
        </w:tc>
        <w:tc>
          <w:tcPr>
            <w:tcW w:w="6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97.7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87.7</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185.4</w:t>
            </w:r>
          </w:p>
        </w:tc>
        <w:tc>
          <w:tcPr>
            <w:tcW w:w="0" w:type="dxa"/>
            <w:vAlign w:val="bottom"/>
          </w:tcPr>
          <w:p>
            <w:pPr>
              <w:spacing w:after="0"/>
              <w:rPr>
                <w:sz w:val="1"/>
                <w:szCs w:val="1"/>
                <w:color w:val="auto"/>
              </w:rPr>
            </w:pPr>
          </w:p>
        </w:tc>
      </w:tr>
      <w:tr>
        <w:trPr>
          <w:trHeight w:val="243"/>
        </w:trPr>
        <w:tc>
          <w:tcPr>
            <w:tcW w:w="3680" w:type="dxa"/>
            <w:vAlign w:val="bottom"/>
          </w:tcPr>
          <w:p>
            <w:pPr>
              <w:ind w:left="380"/>
              <w:spacing w:after="0"/>
              <w:rPr>
                <w:sz w:val="20"/>
                <w:szCs w:val="20"/>
                <w:color w:val="auto"/>
              </w:rPr>
            </w:pPr>
            <w:r>
              <w:rPr>
                <w:rFonts w:ascii="Arial" w:cs="Arial" w:eastAsia="Arial" w:hAnsi="Arial"/>
                <w:sz w:val="18"/>
                <w:szCs w:val="18"/>
                <w:color w:val="auto"/>
              </w:rPr>
              <w:t>Inventories</w:t>
            </w:r>
          </w:p>
        </w:tc>
        <w:tc>
          <w:tcPr>
            <w:tcW w:w="6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547.2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135.6</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682.8</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Prepaid and other current assets</w:t>
            </w:r>
          </w:p>
        </w:tc>
        <w:tc>
          <w:tcPr>
            <w:tcW w:w="6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84.8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42.8</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127.6</w:t>
            </w:r>
          </w:p>
        </w:tc>
        <w:tc>
          <w:tcPr>
            <w:tcW w:w="0" w:type="dxa"/>
            <w:vAlign w:val="bottom"/>
          </w:tcPr>
          <w:p>
            <w:pPr>
              <w:spacing w:after="0"/>
              <w:rPr>
                <w:sz w:val="1"/>
                <w:szCs w:val="1"/>
                <w:color w:val="auto"/>
              </w:rPr>
            </w:pPr>
          </w:p>
        </w:tc>
      </w:tr>
      <w:tr>
        <w:trPr>
          <w:trHeight w:val="237"/>
        </w:trPr>
        <w:tc>
          <w:tcPr>
            <w:tcW w:w="3680" w:type="dxa"/>
            <w:vAlign w:val="bottom"/>
          </w:tcPr>
          <w:p>
            <w:pPr>
              <w:ind w:left="720"/>
              <w:spacing w:after="0"/>
              <w:rPr>
                <w:sz w:val="20"/>
                <w:szCs w:val="20"/>
                <w:color w:val="auto"/>
              </w:rPr>
            </w:pPr>
            <w:r>
              <w:rPr>
                <w:rFonts w:ascii="Arial" w:cs="Arial" w:eastAsia="Arial" w:hAnsi="Arial"/>
                <w:sz w:val="18"/>
                <w:szCs w:val="18"/>
                <w:color w:val="auto"/>
              </w:rPr>
              <w:t>Total current assets</w:t>
            </w:r>
          </w:p>
        </w:tc>
        <w:tc>
          <w:tcPr>
            <w:tcW w:w="6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793.6</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332.3</w:t>
            </w:r>
          </w:p>
        </w:tc>
        <w:tc>
          <w:tcPr>
            <w:tcW w:w="10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1,125.9</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 net</w:t>
            </w:r>
          </w:p>
        </w:tc>
        <w:tc>
          <w:tcPr>
            <w:tcW w:w="6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370.4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64.0</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434.4</w:t>
            </w:r>
          </w:p>
        </w:tc>
        <w:tc>
          <w:tcPr>
            <w:tcW w:w="0" w:type="dxa"/>
            <w:vAlign w:val="bottom"/>
          </w:tcPr>
          <w:p>
            <w:pPr>
              <w:spacing w:after="0"/>
              <w:rPr>
                <w:sz w:val="1"/>
                <w:szCs w:val="1"/>
                <w:color w:val="auto"/>
              </w:rPr>
            </w:pPr>
          </w:p>
        </w:tc>
      </w:tr>
      <w:tr>
        <w:trPr>
          <w:trHeight w:val="243"/>
        </w:trPr>
        <w:tc>
          <w:tcPr>
            <w:tcW w:w="3680" w:type="dxa"/>
            <w:vAlign w:val="bottom"/>
          </w:tcPr>
          <w:p>
            <w:pPr>
              <w:ind w:left="40"/>
              <w:spacing w:after="0"/>
              <w:rPr>
                <w:sz w:val="20"/>
                <w:szCs w:val="20"/>
                <w:color w:val="auto"/>
              </w:rPr>
            </w:pPr>
            <w:r>
              <w:rPr>
                <w:rFonts w:ascii="Arial" w:cs="Arial" w:eastAsia="Arial" w:hAnsi="Arial"/>
                <w:sz w:val="18"/>
                <w:szCs w:val="18"/>
                <w:color w:val="auto"/>
              </w:rPr>
              <w:t>Goodwill</w:t>
            </w:r>
          </w:p>
        </w:tc>
        <w:tc>
          <w:tcPr>
            <w:tcW w:w="6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346.3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11.6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364.3</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 net</w:t>
            </w:r>
          </w:p>
        </w:tc>
        <w:tc>
          <w:tcPr>
            <w:tcW w:w="6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247.4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48.5</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13.0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308.9</w:t>
            </w:r>
          </w:p>
        </w:tc>
        <w:tc>
          <w:tcPr>
            <w:tcW w:w="0" w:type="dxa"/>
            <w:vAlign w:val="bottom"/>
          </w:tcPr>
          <w:p>
            <w:pPr>
              <w:spacing w:after="0"/>
              <w:rPr>
                <w:sz w:val="1"/>
                <w:szCs w:val="1"/>
                <w:color w:val="auto"/>
              </w:rPr>
            </w:pPr>
          </w:p>
        </w:tc>
      </w:tr>
      <w:tr>
        <w:trPr>
          <w:trHeight w:val="243"/>
        </w:trPr>
        <w:tc>
          <w:tcPr>
            <w:tcW w:w="368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6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21.1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16.0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27.5</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(32.9)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31.7</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investment in subsidiaries</w:t>
            </w:r>
          </w:p>
        </w:tc>
        <w:tc>
          <w:tcPr>
            <w:tcW w:w="6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300.7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680" w:type="dxa"/>
            <w:vAlign w:val="bottom"/>
          </w:tcPr>
          <w:p>
            <w:pPr>
              <w:ind w:left="40"/>
              <w:spacing w:after="0"/>
              <w:rPr>
                <w:sz w:val="20"/>
                <w:szCs w:val="20"/>
                <w:color w:val="auto"/>
              </w:rPr>
            </w:pPr>
            <w:r>
              <w:rPr>
                <w:rFonts w:ascii="Arial" w:cs="Arial" w:eastAsia="Arial" w:hAnsi="Arial"/>
                <w:sz w:val="18"/>
                <w:szCs w:val="18"/>
                <w:color w:val="auto"/>
              </w:rPr>
              <w:t>Intercompany assets</w:t>
            </w:r>
          </w:p>
        </w:tc>
        <w:tc>
          <w:tcPr>
            <w:tcW w:w="6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1,266.6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(1,266.6)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68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6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assets</w:t>
            </w:r>
          </w:p>
        </w:tc>
        <w:tc>
          <w:tcPr>
            <w:tcW w:w="6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1,588.4</w:t>
            </w:r>
          </w:p>
        </w:tc>
        <w:tc>
          <w:tcPr>
            <w:tcW w:w="32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1,773.7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478.7</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(1,575.6)</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2,265.2</w:t>
            </w:r>
          </w:p>
        </w:tc>
        <w:tc>
          <w:tcPr>
            <w:tcW w:w="0" w:type="dxa"/>
            <w:vAlign w:val="bottom"/>
          </w:tcPr>
          <w:p>
            <w:pPr>
              <w:spacing w:after="0"/>
              <w:rPr>
                <w:sz w:val="1"/>
                <w:szCs w:val="1"/>
                <w:color w:val="auto"/>
              </w:rPr>
            </w:pPr>
          </w:p>
        </w:tc>
      </w:tr>
      <w:tr>
        <w:trPr>
          <w:trHeight w:val="20"/>
        </w:trPr>
        <w:tc>
          <w:tcPr>
            <w:tcW w:w="36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3680" w:type="dxa"/>
            <w:vAlign w:val="bottom"/>
          </w:tcPr>
          <w:p>
            <w:pPr>
              <w:spacing w:after="0"/>
              <w:rPr>
                <w:sz w:val="24"/>
                <w:szCs w:val="24"/>
                <w:color w:val="auto"/>
              </w:rPr>
            </w:pPr>
          </w:p>
        </w:tc>
        <w:tc>
          <w:tcPr>
            <w:tcW w:w="4620" w:type="dxa"/>
            <w:vAlign w:val="bottom"/>
            <w:gridSpan w:val="10"/>
          </w:tcPr>
          <w:p>
            <w:pPr>
              <w:jc w:val="center"/>
              <w:ind w:right="560"/>
              <w:spacing w:after="0"/>
              <w:rPr>
                <w:sz w:val="20"/>
                <w:szCs w:val="20"/>
                <w:color w:val="auto"/>
              </w:rPr>
            </w:pPr>
            <w:r>
              <w:rPr>
                <w:rFonts w:ascii="Arial" w:cs="Arial" w:eastAsia="Arial" w:hAnsi="Arial"/>
                <w:sz w:val="18"/>
                <w:szCs w:val="18"/>
                <w:b w:val="1"/>
                <w:bCs w:val="1"/>
                <w:color w:val="auto"/>
              </w:rPr>
              <w:t>LIABILITIES AND SHAREHOLDERS’ EQUITY</w:t>
            </w:r>
          </w:p>
        </w:tc>
        <w:tc>
          <w:tcPr>
            <w:tcW w:w="5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6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80" w:type="dxa"/>
            <w:vAlign w:val="bottom"/>
          </w:tcPr>
          <w:p>
            <w:pPr>
              <w:ind w:left="380"/>
              <w:spacing w:after="0"/>
              <w:rPr>
                <w:sz w:val="20"/>
                <w:szCs w:val="20"/>
                <w:color w:val="auto"/>
              </w:rPr>
            </w:pPr>
            <w:r>
              <w:rPr>
                <w:rFonts w:ascii="Arial" w:cs="Arial" w:eastAsia="Arial" w:hAnsi="Arial"/>
                <w:sz w:val="18"/>
                <w:szCs w:val="18"/>
                <w:color w:val="auto"/>
              </w:rPr>
              <w:t>Current portion of debt</w:t>
            </w:r>
          </w:p>
        </w:tc>
        <w:tc>
          <w:tcPr>
            <w:tcW w:w="8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center"/>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16.0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20.6</w:t>
            </w:r>
          </w:p>
        </w:tc>
        <w:tc>
          <w:tcPr>
            <w:tcW w:w="100" w:type="dxa"/>
            <w:vAlign w:val="bottom"/>
          </w:tcPr>
          <w:p>
            <w:pPr>
              <w:spacing w:after="0"/>
              <w:rPr>
                <w:sz w:val="21"/>
                <w:szCs w:val="21"/>
                <w:color w:val="auto"/>
              </w:rPr>
            </w:pPr>
          </w:p>
        </w:tc>
        <w:tc>
          <w:tcPr>
            <w:tcW w:w="580" w:type="dxa"/>
            <w:vAlign w:val="bottom"/>
          </w:tcPr>
          <w:p>
            <w:pPr>
              <w:ind w:left="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36.6</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w:t>
            </w:r>
          </w:p>
        </w:tc>
        <w:tc>
          <w:tcPr>
            <w:tcW w:w="6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162.7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57.3</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220.0</w:t>
            </w:r>
          </w:p>
        </w:tc>
        <w:tc>
          <w:tcPr>
            <w:tcW w:w="0" w:type="dxa"/>
            <w:vAlign w:val="bottom"/>
          </w:tcPr>
          <w:p>
            <w:pPr>
              <w:spacing w:after="0"/>
              <w:rPr>
                <w:sz w:val="1"/>
                <w:szCs w:val="1"/>
                <w:color w:val="auto"/>
              </w:rPr>
            </w:pPr>
          </w:p>
        </w:tc>
      </w:tr>
      <w:tr>
        <w:trPr>
          <w:trHeight w:val="243"/>
        </w:trPr>
        <w:tc>
          <w:tcPr>
            <w:tcW w:w="3680" w:type="dxa"/>
            <w:vAlign w:val="bottom"/>
          </w:tcPr>
          <w:p>
            <w:pPr>
              <w:ind w:left="380"/>
              <w:spacing w:after="0"/>
              <w:rPr>
                <w:sz w:val="20"/>
                <w:szCs w:val="20"/>
                <w:color w:val="auto"/>
              </w:rPr>
            </w:pPr>
            <w:r>
              <w:rPr>
                <w:rFonts w:ascii="Arial" w:cs="Arial" w:eastAsia="Arial" w:hAnsi="Arial"/>
                <w:sz w:val="18"/>
                <w:szCs w:val="18"/>
                <w:color w:val="auto"/>
              </w:rPr>
              <w:t>Other current liabilities</w:t>
            </w:r>
          </w:p>
        </w:tc>
        <w:tc>
          <w:tcPr>
            <w:tcW w:w="6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77.3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74.4</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165.3</w:t>
            </w:r>
          </w:p>
        </w:tc>
        <w:tc>
          <w:tcPr>
            <w:tcW w:w="0" w:type="dxa"/>
            <w:vAlign w:val="bottom"/>
          </w:tcPr>
          <w:p>
            <w:pPr>
              <w:spacing w:after="0"/>
              <w:rPr>
                <w:sz w:val="1"/>
                <w:szCs w:val="1"/>
                <w:color w:val="auto"/>
              </w:rPr>
            </w:pPr>
          </w:p>
        </w:tc>
      </w:tr>
      <w:tr>
        <w:trPr>
          <w:trHeight w:val="27"/>
        </w:trPr>
        <w:tc>
          <w:tcPr>
            <w:tcW w:w="368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current liabilities</w:t>
            </w:r>
          </w:p>
        </w:tc>
        <w:tc>
          <w:tcPr>
            <w:tcW w:w="6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256.0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152.3</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421.9</w:t>
            </w:r>
          </w:p>
        </w:tc>
        <w:tc>
          <w:tcPr>
            <w:tcW w:w="0" w:type="dxa"/>
            <w:vAlign w:val="bottom"/>
          </w:tcPr>
          <w:p>
            <w:pPr>
              <w:spacing w:after="0"/>
              <w:rPr>
                <w:sz w:val="1"/>
                <w:szCs w:val="1"/>
                <w:color w:val="auto"/>
              </w:rPr>
            </w:pPr>
          </w:p>
        </w:tc>
      </w:tr>
      <w:tr>
        <w:trPr>
          <w:trHeight w:val="243"/>
        </w:trPr>
        <w:tc>
          <w:tcPr>
            <w:tcW w:w="3680" w:type="dxa"/>
            <w:vAlign w:val="bottom"/>
          </w:tcPr>
          <w:p>
            <w:pPr>
              <w:ind w:left="40"/>
              <w:spacing w:after="0"/>
              <w:rPr>
                <w:sz w:val="20"/>
                <w:szCs w:val="20"/>
                <w:color w:val="auto"/>
              </w:rPr>
            </w:pPr>
            <w:r>
              <w:rPr>
                <w:rFonts w:ascii="Arial" w:cs="Arial" w:eastAsia="Arial" w:hAnsi="Arial"/>
                <w:sz w:val="18"/>
                <w:szCs w:val="18"/>
                <w:color w:val="auto"/>
              </w:rPr>
              <w:t>Long-term debt</w:t>
            </w:r>
          </w:p>
        </w:tc>
        <w:tc>
          <w:tcPr>
            <w:tcW w:w="6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1,122.9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888.4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44.8</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(922.8)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1,133.3</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liabilities</w:t>
            </w:r>
          </w:p>
        </w:tc>
        <w:tc>
          <w:tcPr>
            <w:tcW w:w="6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224.9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47.0</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249.1</w:t>
            </w:r>
          </w:p>
        </w:tc>
        <w:tc>
          <w:tcPr>
            <w:tcW w:w="0" w:type="dxa"/>
            <w:vAlign w:val="bottom"/>
          </w:tcPr>
          <w:p>
            <w:pPr>
              <w:spacing w:after="0"/>
              <w:rPr>
                <w:sz w:val="1"/>
                <w:szCs w:val="1"/>
                <w:color w:val="auto"/>
              </w:rPr>
            </w:pPr>
          </w:p>
        </w:tc>
      </w:tr>
      <w:tr>
        <w:trPr>
          <w:trHeight w:val="243"/>
        </w:trPr>
        <w:tc>
          <w:tcPr>
            <w:tcW w:w="3680" w:type="dxa"/>
            <w:vAlign w:val="bottom"/>
          </w:tcPr>
          <w:p>
            <w:pPr>
              <w:ind w:left="40"/>
              <w:spacing w:after="0"/>
              <w:rPr>
                <w:sz w:val="20"/>
                <w:szCs w:val="20"/>
                <w:color w:val="auto"/>
              </w:rPr>
            </w:pPr>
            <w:r>
              <w:rPr>
                <w:rFonts w:ascii="Arial" w:cs="Arial" w:eastAsia="Arial" w:hAnsi="Arial"/>
                <w:sz w:val="18"/>
                <w:szCs w:val="18"/>
                <w:color w:val="auto"/>
              </w:rPr>
              <w:t>Equity investment in subsidiaries</w:t>
            </w:r>
          </w:p>
        </w:tc>
        <w:tc>
          <w:tcPr>
            <w:tcW w:w="6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99.0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(99.0)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Intercompany liabilities</w:t>
            </w:r>
          </w:p>
        </w:tc>
        <w:tc>
          <w:tcPr>
            <w:tcW w:w="6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257.5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87.1</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(344.6)</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3680" w:type="dxa"/>
            <w:vAlign w:val="bottom"/>
          </w:tcPr>
          <w:p>
            <w:pPr>
              <w:ind w:left="720"/>
              <w:spacing w:after="0"/>
              <w:rPr>
                <w:sz w:val="20"/>
                <w:szCs w:val="20"/>
                <w:color w:val="auto"/>
              </w:rPr>
            </w:pPr>
            <w:r>
              <w:rPr>
                <w:rFonts w:ascii="Arial" w:cs="Arial" w:eastAsia="Arial" w:hAnsi="Arial"/>
                <w:sz w:val="18"/>
                <w:szCs w:val="18"/>
                <w:color w:val="auto"/>
              </w:rPr>
              <w:t>Total liabilities</w:t>
            </w:r>
          </w:p>
        </w:tc>
        <w:tc>
          <w:tcPr>
            <w:tcW w:w="6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1,141.6</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1,725.8</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331.2</w:t>
            </w:r>
          </w:p>
        </w:tc>
        <w:tc>
          <w:tcPr>
            <w:tcW w:w="10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(1,394.3)</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1,804.3</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8"/>
              </w:rPr>
              <w:t>Total shareholders' equity - controlling interest</w:t>
            </w:r>
          </w:p>
        </w:tc>
        <w:tc>
          <w:tcPr>
            <w:tcW w:w="6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446.8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47.9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147.5</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446.8</w:t>
            </w:r>
          </w:p>
        </w:tc>
        <w:tc>
          <w:tcPr>
            <w:tcW w:w="0" w:type="dxa"/>
            <w:vAlign w:val="bottom"/>
          </w:tcPr>
          <w:p>
            <w:pPr>
              <w:spacing w:after="0"/>
              <w:rPr>
                <w:sz w:val="1"/>
                <w:szCs w:val="1"/>
                <w:color w:val="auto"/>
              </w:rPr>
            </w:pPr>
          </w:p>
        </w:tc>
      </w:tr>
      <w:tr>
        <w:trPr>
          <w:trHeight w:val="243"/>
        </w:trPr>
        <w:tc>
          <w:tcPr>
            <w:tcW w:w="3680" w:type="dxa"/>
            <w:vAlign w:val="bottom"/>
          </w:tcPr>
          <w:p>
            <w:pPr>
              <w:ind w:left="40"/>
              <w:spacing w:after="0"/>
              <w:rPr>
                <w:sz w:val="20"/>
                <w:szCs w:val="20"/>
                <w:color w:val="auto"/>
              </w:rPr>
            </w:pPr>
            <w:r>
              <w:rPr>
                <w:rFonts w:ascii="Arial" w:cs="Arial" w:eastAsia="Arial" w:hAnsi="Arial"/>
                <w:sz w:val="18"/>
                <w:szCs w:val="18"/>
                <w:color w:val="auto"/>
              </w:rPr>
              <w:t>Noncontrolling interest</w:t>
            </w:r>
          </w:p>
        </w:tc>
        <w:tc>
          <w:tcPr>
            <w:tcW w:w="6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1"/>
                <w:szCs w:val="21"/>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14.1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7"/>
        </w:trPr>
        <w:tc>
          <w:tcPr>
            <w:tcW w:w="368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6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equity</w:t>
            </w:r>
          </w:p>
        </w:tc>
        <w:tc>
          <w:tcPr>
            <w:tcW w:w="6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446.8</w:t>
            </w:r>
          </w:p>
        </w:tc>
        <w:tc>
          <w:tcPr>
            <w:tcW w:w="32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47.9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147.5</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(181.3)</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460.9</w:t>
            </w:r>
          </w:p>
        </w:tc>
        <w:tc>
          <w:tcPr>
            <w:tcW w:w="0" w:type="dxa"/>
            <w:vAlign w:val="bottom"/>
          </w:tcPr>
          <w:p>
            <w:pPr>
              <w:spacing w:after="0"/>
              <w:rPr>
                <w:sz w:val="1"/>
                <w:szCs w:val="1"/>
                <w:color w:val="auto"/>
              </w:rPr>
            </w:pPr>
          </w:p>
        </w:tc>
      </w:tr>
      <w:tr>
        <w:trPr>
          <w:trHeight w:val="20"/>
        </w:trPr>
        <w:tc>
          <w:tcPr>
            <w:tcW w:w="3680" w:type="dxa"/>
            <w:vAlign w:val="bottom"/>
            <w:tcBorders>
              <w:top w:val="single" w:sz="8" w:color="CCEEFF"/>
              <w:bottom w:val="single" w:sz="8" w:color="CCEEFF"/>
            </w:tcBorders>
            <w:vMerge w:val="restart"/>
          </w:tcPr>
          <w:p>
            <w:pPr>
              <w:ind w:left="720"/>
              <w:spacing w:after="0"/>
              <w:rPr>
                <w:sz w:val="20"/>
                <w:szCs w:val="20"/>
                <w:color w:val="auto"/>
              </w:rPr>
            </w:pPr>
            <w:r>
              <w:rPr>
                <w:rFonts w:ascii="Arial" w:cs="Arial" w:eastAsia="Arial" w:hAnsi="Arial"/>
                <w:sz w:val="18"/>
                <w:szCs w:val="18"/>
                <w:color w:val="auto"/>
                <w:w w:val="93"/>
              </w:rPr>
              <w:t>Total liabilities and shareholders’ equity</w:t>
            </w:r>
          </w:p>
        </w:tc>
        <w:tc>
          <w:tcPr>
            <w:tcW w:w="6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680" w:type="dxa"/>
            <w:vAlign w:val="bottom"/>
            <w:vMerge w:val="continue"/>
          </w:tcPr>
          <w:p>
            <w:pPr>
              <w:spacing w:after="0"/>
              <w:rPr>
                <w:sz w:val="19"/>
                <w:szCs w:val="19"/>
                <w:color w:val="auto"/>
              </w:rPr>
            </w:pPr>
          </w:p>
        </w:tc>
        <w:tc>
          <w:tcPr>
            <w:tcW w:w="8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1,588.4</w:t>
            </w:r>
          </w:p>
        </w:tc>
        <w:tc>
          <w:tcPr>
            <w:tcW w:w="320" w:type="dxa"/>
            <w:vAlign w:val="bottom"/>
            <w:gridSpan w:val="2"/>
          </w:tcPr>
          <w:p>
            <w:pPr>
              <w:jc w:val="center"/>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1,773.7</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478.7</w:t>
            </w:r>
          </w:p>
        </w:tc>
        <w:tc>
          <w:tcPr>
            <w:tcW w:w="100" w:type="dxa"/>
            <w:vAlign w:val="bottom"/>
          </w:tcPr>
          <w:p>
            <w:pPr>
              <w:spacing w:after="0"/>
              <w:rPr>
                <w:sz w:val="19"/>
                <w:szCs w:val="19"/>
                <w:color w:val="auto"/>
              </w:rPr>
            </w:pPr>
          </w:p>
        </w:tc>
        <w:tc>
          <w:tcPr>
            <w:tcW w:w="580" w:type="dxa"/>
            <w:vAlign w:val="bottom"/>
          </w:tcPr>
          <w:p>
            <w:pPr>
              <w:ind w:left="2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(1,575.6)</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2,265.2</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2"/>
        </w:trPr>
        <w:tc>
          <w:tcPr>
            <w:tcW w:w="3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20" w:type="dxa"/>
            <w:vAlign w:val="bottom"/>
            <w:gridSpan w:val="2"/>
          </w:tcPr>
          <w:p>
            <w:pPr>
              <w:jc w:val="center"/>
              <w:spacing w:after="0"/>
              <w:rPr>
                <w:sz w:val="20"/>
                <w:szCs w:val="20"/>
                <w:color w:val="auto"/>
              </w:rPr>
            </w:pPr>
            <w:r>
              <w:rPr>
                <w:rFonts w:ascii="Arial" w:cs="Arial" w:eastAsia="Arial" w:hAnsi="Arial"/>
                <w:sz w:val="18"/>
                <w:szCs w:val="18"/>
                <w:color w:val="auto"/>
                <w:w w:val="89"/>
              </w:rPr>
              <w:t>27</w:t>
            </w: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7" w:name="page28"/>
    <w:bookmarkEnd w:id="27"/>
    <w:p>
      <w:pPr>
        <w:spacing w:after="0"/>
        <w:rPr>
          <w:rFonts w:ascii="Arial" w:cs="Arial" w:eastAsia="Arial" w:hAnsi="Arial"/>
          <w:sz w:val="18"/>
          <w:szCs w:val="18"/>
          <w:color w:val="FFFFFF"/>
        </w:rPr>
      </w:pPr>
      <w:hyperlink w:anchor="page1">
        <w:r>
          <w:rPr>
            <w:rFonts w:ascii="Arial" w:cs="Arial" w:eastAsia="Arial" w:hAnsi="Arial"/>
            <w:sz w:val="18"/>
            <w:szCs w:val="18"/>
            <w:color w:val="FFFF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December 28, 2013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vMerge w:val="restart"/>
          </w:tcPr>
          <w:p>
            <w:pPr>
              <w:jc w:val="right"/>
              <w:ind w:right="211"/>
              <w:spacing w:after="0"/>
              <w:rPr>
                <w:sz w:val="20"/>
                <w:szCs w:val="20"/>
                <w:color w:val="auto"/>
              </w:rPr>
            </w:pPr>
            <w:r>
              <w:rPr>
                <w:rFonts w:ascii="Arial" w:cs="Arial" w:eastAsia="Arial" w:hAnsi="Arial"/>
                <w:sz w:val="14"/>
                <w:szCs w:val="14"/>
                <w:b w:val="1"/>
                <w:bCs w:val="1"/>
                <w:color w:val="auto"/>
              </w:rPr>
              <w:t>Parent</w:t>
            </w:r>
          </w:p>
        </w:tc>
        <w:tc>
          <w:tcPr>
            <w:tcW w:w="12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ind w:left="80"/>
              <w:spacing w:after="0"/>
              <w:rPr>
                <w:sz w:val="20"/>
                <w:szCs w:val="20"/>
                <w:color w:val="auto"/>
              </w:rPr>
            </w:pPr>
            <w:r>
              <w:rPr>
                <w:rFonts w:ascii="Arial" w:cs="Arial" w:eastAsia="Arial" w:hAnsi="Arial"/>
                <w:sz w:val="14"/>
                <w:szCs w:val="14"/>
                <w:b w:val="1"/>
                <w:bCs w:val="1"/>
                <w:color w:val="auto"/>
              </w:rPr>
              <w:t>Subsidiary</w:t>
            </w:r>
          </w:p>
        </w:tc>
        <w:tc>
          <w:tcPr>
            <w:tcW w:w="160" w:type="dxa"/>
            <w:vAlign w:val="bottom"/>
          </w:tcPr>
          <w:p>
            <w:pPr>
              <w:spacing w:after="0"/>
              <w:rPr>
                <w:sz w:val="14"/>
                <w:szCs w:val="14"/>
                <w:color w:val="auto"/>
              </w:rPr>
            </w:pPr>
          </w:p>
        </w:tc>
        <w:tc>
          <w:tcPr>
            <w:tcW w:w="1060" w:type="dxa"/>
            <w:vAlign w:val="bottom"/>
            <w:gridSpan w:val="2"/>
          </w:tcPr>
          <w:p>
            <w:pPr>
              <w:ind w:left="240"/>
              <w:spacing w:after="0"/>
              <w:rPr>
                <w:sz w:val="20"/>
                <w:szCs w:val="20"/>
                <w:color w:val="auto"/>
              </w:rPr>
            </w:pPr>
            <w:r>
              <w:rPr>
                <w:rFonts w:ascii="Arial" w:cs="Arial" w:eastAsia="Arial" w:hAnsi="Arial"/>
                <w:sz w:val="14"/>
                <w:szCs w:val="14"/>
                <w:b w:val="1"/>
                <w:bCs w:val="1"/>
                <w:color w:val="auto"/>
              </w:rPr>
              <w:t>Non-</w:t>
            </w:r>
          </w:p>
        </w:tc>
        <w:tc>
          <w:tcPr>
            <w:tcW w:w="18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2"/>
              </w:rPr>
              <w:t>Eliminations/Consolidations</w:t>
            </w:r>
          </w:p>
        </w:tc>
        <w:tc>
          <w:tcPr>
            <w:tcW w:w="10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92"/>
        </w:trPr>
        <w:tc>
          <w:tcPr>
            <w:tcW w:w="48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Guarantors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w w:val="98"/>
              </w:rPr>
              <w:t>Guarantors</w:t>
            </w:r>
          </w:p>
        </w:tc>
        <w:tc>
          <w:tcPr>
            <w:tcW w:w="100" w:type="dxa"/>
            <w:vAlign w:val="bottom"/>
            <w:tcBorders>
              <w:bottom w:val="single" w:sz="8" w:color="CCEEFF"/>
            </w:tcBorders>
          </w:tcPr>
          <w:p>
            <w:pPr>
              <w:spacing w:after="0"/>
              <w:rPr>
                <w:sz w:val="16"/>
                <w:szCs w:val="16"/>
                <w:color w:val="auto"/>
              </w:rPr>
            </w:pPr>
          </w:p>
        </w:tc>
        <w:tc>
          <w:tcPr>
            <w:tcW w:w="180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142.9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46.7</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189.6</w:t>
            </w:r>
          </w:p>
        </w:tc>
        <w:tc>
          <w:tcPr>
            <w:tcW w:w="0" w:type="dxa"/>
            <w:vAlign w:val="bottom"/>
          </w:tcPr>
          <w:p>
            <w:pPr>
              <w:spacing w:after="0"/>
              <w:rPr>
                <w:sz w:val="1"/>
                <w:szCs w:val="1"/>
                <w:color w:val="auto"/>
              </w:rPr>
            </w:pPr>
          </w:p>
        </w:tc>
      </w:tr>
      <w:tr>
        <w:trPr>
          <w:trHeight w:val="243"/>
        </w:trPr>
        <w:tc>
          <w:tcPr>
            <w:tcW w:w="484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20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118.1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37.6</w:t>
            </w: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155.7</w:t>
            </w:r>
          </w:p>
        </w:tc>
        <w:tc>
          <w:tcPr>
            <w:tcW w:w="0" w:type="dxa"/>
            <w:vAlign w:val="bottom"/>
          </w:tcPr>
          <w:p>
            <w:pPr>
              <w:spacing w:after="0"/>
              <w:rPr>
                <w:sz w:val="1"/>
                <w:szCs w:val="1"/>
                <w:color w:val="auto"/>
              </w:rPr>
            </w:pPr>
          </w:p>
        </w:tc>
      </w:tr>
      <w:tr>
        <w:trPr>
          <w:trHeight w:val="27"/>
        </w:trPr>
        <w:tc>
          <w:tcPr>
            <w:tcW w:w="48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9.1</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33.9</w:t>
            </w:r>
          </w:p>
        </w:tc>
        <w:tc>
          <w:tcPr>
            <w:tcW w:w="0" w:type="dxa"/>
            <w:vAlign w:val="bottom"/>
          </w:tcPr>
          <w:p>
            <w:pPr>
              <w:spacing w:after="0"/>
              <w:rPr>
                <w:sz w:val="1"/>
                <w:szCs w:val="1"/>
                <w:color w:val="auto"/>
              </w:rPr>
            </w:pPr>
          </w:p>
        </w:tc>
      </w:tr>
      <w:tr>
        <w:trPr>
          <w:trHeight w:val="243"/>
        </w:trPr>
        <w:tc>
          <w:tcPr>
            <w:tcW w:w="484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Selling, general and administrative</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97.5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26.8</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124.3</w:t>
            </w:r>
          </w:p>
        </w:tc>
        <w:tc>
          <w:tcPr>
            <w:tcW w:w="0" w:type="dxa"/>
            <w:vAlign w:val="bottom"/>
          </w:tcPr>
          <w:p>
            <w:pPr>
              <w:spacing w:after="0"/>
              <w:rPr>
                <w:sz w:val="1"/>
                <w:szCs w:val="1"/>
                <w:color w:val="auto"/>
              </w:rPr>
            </w:pPr>
          </w:p>
        </w:tc>
      </w:tr>
      <w:tr>
        <w:trPr>
          <w:trHeight w:val="243"/>
        </w:trPr>
        <w:tc>
          <w:tcPr>
            <w:tcW w:w="4840" w:type="dxa"/>
            <w:vAlign w:val="bottom"/>
          </w:tcPr>
          <w:p>
            <w:pPr>
              <w:ind w:left="380"/>
              <w:spacing w:after="0"/>
              <w:rPr>
                <w:sz w:val="20"/>
                <w:szCs w:val="20"/>
                <w:color w:val="auto"/>
              </w:rPr>
            </w:pPr>
            <w:r>
              <w:rPr>
                <w:rFonts w:ascii="Arial" w:cs="Arial" w:eastAsia="Arial" w:hAnsi="Arial"/>
                <w:sz w:val="18"/>
                <w:szCs w:val="18"/>
                <w:color w:val="auto"/>
              </w:rPr>
              <w:t>Impairment, restructuring and other</w:t>
            </w:r>
          </w:p>
        </w:tc>
        <w:tc>
          <w:tcPr>
            <w:tcW w:w="20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7"/>
        </w:trPr>
        <w:tc>
          <w:tcPr>
            <w:tcW w:w="4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income, net</w:t>
            </w: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7"/>
        </w:trPr>
        <w:tc>
          <w:tcPr>
            <w:tcW w:w="4840" w:type="dxa"/>
            <w:vAlign w:val="bottom"/>
          </w:tcPr>
          <w:p>
            <w:pPr>
              <w:ind w:left="40"/>
              <w:spacing w:after="0"/>
              <w:rPr>
                <w:sz w:val="20"/>
                <w:szCs w:val="20"/>
                <w:color w:val="auto"/>
              </w:rPr>
            </w:pPr>
            <w:r>
              <w:rPr>
                <w:rFonts w:ascii="Arial" w:cs="Arial" w:eastAsia="Arial" w:hAnsi="Arial"/>
                <w:sz w:val="18"/>
                <w:szCs w:val="18"/>
                <w:color w:val="auto"/>
              </w:rPr>
              <w:t>Loss from operations</w:t>
            </w:r>
          </w:p>
        </w:tc>
        <w:tc>
          <w:tcPr>
            <w:tcW w:w="20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(71.7)</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(18.0)</w:t>
            </w:r>
          </w:p>
        </w:tc>
        <w:tc>
          <w:tcPr>
            <w:tcW w:w="100" w:type="dxa"/>
            <w:vAlign w:val="bottom"/>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(89.7)</w:t>
            </w:r>
          </w:p>
        </w:tc>
        <w:tc>
          <w:tcPr>
            <w:tcW w:w="0" w:type="dxa"/>
            <w:vAlign w:val="bottom"/>
          </w:tcPr>
          <w:p>
            <w:pPr>
              <w:spacing w:after="0"/>
              <w:rPr>
                <w:sz w:val="1"/>
                <w:szCs w:val="1"/>
                <w:color w:val="auto"/>
              </w:rPr>
            </w:pPr>
          </w:p>
        </w:tc>
      </w:tr>
      <w:tr>
        <w:trPr>
          <w:trHeight w:val="27"/>
        </w:trPr>
        <w:tc>
          <w:tcPr>
            <w:tcW w:w="4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income in subsidiaries</w:t>
            </w: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840" w:type="dxa"/>
            <w:vAlign w:val="bottom"/>
          </w:tcPr>
          <w:p>
            <w:pPr>
              <w:ind w:left="40"/>
              <w:spacing w:after="0"/>
              <w:rPr>
                <w:sz w:val="20"/>
                <w:szCs w:val="20"/>
                <w:color w:val="auto"/>
              </w:rPr>
            </w:pPr>
            <w:r>
              <w:rPr>
                <w:rFonts w:ascii="Arial" w:cs="Arial" w:eastAsia="Arial" w:hAnsi="Arial"/>
                <w:sz w:val="18"/>
                <w:szCs w:val="18"/>
                <w:color w:val="auto"/>
              </w:rPr>
              <w:t>Other non-operating income</w:t>
            </w: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2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13.6</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37"/>
        </w:trPr>
        <w:tc>
          <w:tcPr>
            <w:tcW w:w="4840" w:type="dxa"/>
            <w:vAlign w:val="bottom"/>
          </w:tcPr>
          <w:p>
            <w:pPr>
              <w:ind w:left="40"/>
              <w:spacing w:after="0"/>
              <w:rPr>
                <w:sz w:val="20"/>
                <w:szCs w:val="20"/>
                <w:color w:val="auto"/>
              </w:rPr>
            </w:pPr>
            <w:r>
              <w:rPr>
                <w:rFonts w:ascii="Arial" w:cs="Arial" w:eastAsia="Arial" w:hAnsi="Arial"/>
                <w:sz w:val="18"/>
                <w:szCs w:val="18"/>
                <w:color w:val="auto"/>
              </w:rPr>
              <w:t>Loss from continuing operations before income taxes</w:t>
            </w:r>
          </w:p>
        </w:tc>
        <w:tc>
          <w:tcPr>
            <w:tcW w:w="20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(65.9)</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(84.2)</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58.9</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(103.6)</w:t>
            </w:r>
          </w:p>
        </w:tc>
        <w:tc>
          <w:tcPr>
            <w:tcW w:w="0" w:type="dxa"/>
            <w:vAlign w:val="bottom"/>
          </w:tcPr>
          <w:p>
            <w:pPr>
              <w:spacing w:after="0"/>
              <w:rPr>
                <w:sz w:val="1"/>
                <w:szCs w:val="1"/>
                <w:color w:val="auto"/>
              </w:rPr>
            </w:pPr>
          </w:p>
        </w:tc>
      </w:tr>
      <w:tr>
        <w:trPr>
          <w:trHeight w:val="27"/>
        </w:trPr>
        <w:tc>
          <w:tcPr>
            <w:tcW w:w="4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benefit from continuing operations</w:t>
            </w:r>
          </w:p>
        </w:tc>
        <w:tc>
          <w:tcPr>
            <w:tcW w:w="2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(37.9)</w:t>
            </w:r>
          </w:p>
        </w:tc>
        <w:tc>
          <w:tcPr>
            <w:tcW w:w="0" w:type="dxa"/>
            <w:vAlign w:val="bottom"/>
          </w:tcPr>
          <w:p>
            <w:pPr>
              <w:spacing w:after="0"/>
              <w:rPr>
                <w:sz w:val="1"/>
                <w:szCs w:val="1"/>
                <w:color w:val="auto"/>
              </w:rPr>
            </w:pPr>
          </w:p>
        </w:tc>
      </w:tr>
      <w:tr>
        <w:trPr>
          <w:trHeight w:val="237"/>
        </w:trPr>
        <w:tc>
          <w:tcPr>
            <w:tcW w:w="4840" w:type="dxa"/>
            <w:vAlign w:val="bottom"/>
          </w:tcPr>
          <w:p>
            <w:pPr>
              <w:ind w:left="40"/>
              <w:spacing w:after="0"/>
              <w:rPr>
                <w:sz w:val="20"/>
                <w:szCs w:val="20"/>
                <w:color w:val="auto"/>
              </w:rPr>
            </w:pPr>
            <w:r>
              <w:rPr>
                <w:rFonts w:ascii="Arial" w:cs="Arial" w:eastAsia="Arial" w:hAnsi="Arial"/>
                <w:sz w:val="18"/>
                <w:szCs w:val="18"/>
                <w:color w:val="auto"/>
              </w:rPr>
              <w:t>Loss from continuing operations</w:t>
            </w:r>
          </w:p>
        </w:tc>
        <w:tc>
          <w:tcPr>
            <w:tcW w:w="20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(65.6)</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(51.1)</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58.9</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(65.7)</w:t>
            </w:r>
          </w:p>
        </w:tc>
        <w:tc>
          <w:tcPr>
            <w:tcW w:w="0" w:type="dxa"/>
            <w:vAlign w:val="bottom"/>
          </w:tcPr>
          <w:p>
            <w:pPr>
              <w:spacing w:after="0"/>
              <w:rPr>
                <w:sz w:val="1"/>
                <w:szCs w:val="1"/>
                <w:color w:val="auto"/>
              </w:rPr>
            </w:pPr>
          </w:p>
        </w:tc>
      </w:tr>
      <w:tr>
        <w:trPr>
          <w:trHeight w:val="27"/>
        </w:trPr>
        <w:tc>
          <w:tcPr>
            <w:tcW w:w="4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from discontinued operations, net of tax</w:t>
            </w: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37"/>
        </w:trPr>
        <w:tc>
          <w:tcPr>
            <w:tcW w:w="4840" w:type="dxa"/>
            <w:vAlign w:val="bottom"/>
          </w:tcPr>
          <w:p>
            <w:pPr>
              <w:ind w:left="40"/>
              <w:spacing w:after="0"/>
              <w:rPr>
                <w:sz w:val="20"/>
                <w:szCs w:val="20"/>
                <w:color w:val="auto"/>
              </w:rPr>
            </w:pPr>
            <w:r>
              <w:rPr>
                <w:rFonts w:ascii="Arial" w:cs="Arial" w:eastAsia="Arial" w:hAnsi="Arial"/>
                <w:sz w:val="18"/>
                <w:szCs w:val="18"/>
                <w:color w:val="auto"/>
              </w:rPr>
              <w:t>Net loss</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(65.6)</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(51.2)</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20"/>
                <w:szCs w:val="20"/>
                <w:color w:val="auto"/>
              </w:rPr>
            </w:pPr>
          </w:p>
        </w:tc>
        <w:tc>
          <w:tcPr>
            <w:tcW w:w="7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58.9</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(65.6)</w:t>
            </w:r>
          </w:p>
        </w:tc>
        <w:tc>
          <w:tcPr>
            <w:tcW w:w="0" w:type="dxa"/>
            <w:vAlign w:val="bottom"/>
          </w:tcPr>
          <w:p>
            <w:pPr>
              <w:spacing w:after="0"/>
              <w:rPr>
                <w:sz w:val="1"/>
                <w:szCs w:val="1"/>
                <w:color w:val="auto"/>
              </w:rPr>
            </w:pPr>
          </w:p>
        </w:tc>
      </w:tr>
      <w:tr>
        <w:trPr>
          <w:trHeight w:val="67"/>
        </w:trPr>
        <w:tc>
          <w:tcPr>
            <w:tcW w:w="484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484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Net income attributable to noncontrolling interest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8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Net loss attributable to controlling interest</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840" w:type="dxa"/>
            <w:vAlign w:val="bottom"/>
            <w:vMerge w:val="continue"/>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(65.6)</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(51.2)</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19"/>
                <w:szCs w:val="19"/>
                <w:color w:val="auto"/>
              </w:rPr>
            </w:pPr>
          </w:p>
        </w:tc>
        <w:tc>
          <w:tcPr>
            <w:tcW w:w="700" w:type="dxa"/>
            <w:vAlign w:val="bottom"/>
          </w:tcPr>
          <w:p>
            <w:pPr>
              <w:ind w:left="4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58.9</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(65.6)</w:t>
            </w:r>
          </w:p>
        </w:tc>
        <w:tc>
          <w:tcPr>
            <w:tcW w:w="0" w:type="dxa"/>
            <w:vAlign w:val="bottom"/>
          </w:tcPr>
          <w:p>
            <w:pPr>
              <w:spacing w:after="0"/>
              <w:rPr>
                <w:sz w:val="1"/>
                <w:szCs w:val="1"/>
                <w:color w:val="auto"/>
              </w:rPr>
            </w:pPr>
          </w:p>
        </w:tc>
      </w:tr>
      <w:tr>
        <w:trPr>
          <w:trHeight w:val="27"/>
        </w:trPr>
        <w:tc>
          <w:tcPr>
            <w:tcW w:w="48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2"/>
        </w:trPr>
        <w:tc>
          <w:tcPr>
            <w:tcW w:w="4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8" w:name="page29"/>
    <w:bookmarkEnd w:id="28"/>
    <w:p>
      <w:pPr>
        <w:spacing w:after="0"/>
        <w:rPr>
          <w:rFonts w:ascii="Arial" w:cs="Arial" w:eastAsia="Arial" w:hAnsi="Arial"/>
          <w:sz w:val="18"/>
          <w:szCs w:val="18"/>
          <w:color w:val="FFFFFF"/>
        </w:rPr>
      </w:pPr>
      <w:hyperlink w:anchor="page1">
        <w:r>
          <w:rPr>
            <w:rFonts w:ascii="Arial" w:cs="Arial" w:eastAsia="Arial" w:hAnsi="Arial"/>
            <w:sz w:val="18"/>
            <w:szCs w:val="18"/>
            <w:color w:val="FFFF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December 28, 2013</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(Unaudited)</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Parent</w:t>
            </w:r>
          </w:p>
        </w:tc>
        <w:tc>
          <w:tcPr>
            <w:tcW w:w="14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Subsidiary</w:t>
            </w:r>
          </w:p>
        </w:tc>
        <w:tc>
          <w:tcPr>
            <w:tcW w:w="160" w:type="dxa"/>
            <w:vAlign w:val="bottom"/>
          </w:tcPr>
          <w:p>
            <w:pPr>
              <w:spacing w:after="0"/>
              <w:rPr>
                <w:sz w:val="14"/>
                <w:szCs w:val="14"/>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Non-</w:t>
            </w:r>
          </w:p>
        </w:tc>
        <w:tc>
          <w:tcPr>
            <w:tcW w:w="19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w w:val="97"/>
              </w:rPr>
              <w:t>Eliminations/Consolidations</w:t>
            </w:r>
          </w:p>
        </w:tc>
        <w:tc>
          <w:tcPr>
            <w:tcW w:w="140" w:type="dxa"/>
            <w:vAlign w:val="bottom"/>
          </w:tcPr>
          <w:p>
            <w:pPr>
              <w:spacing w:after="0"/>
              <w:rPr>
                <w:sz w:val="14"/>
                <w:szCs w:val="14"/>
                <w:color w:val="auto"/>
              </w:rPr>
            </w:pPr>
          </w:p>
        </w:tc>
        <w:tc>
          <w:tcPr>
            <w:tcW w:w="980" w:type="dxa"/>
            <w:vAlign w:val="bottom"/>
            <w:vMerge w:val="restart"/>
          </w:tcPr>
          <w:p>
            <w:pPr>
              <w:jc w:val="right"/>
              <w:ind w:right="73"/>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92"/>
        </w:trPr>
        <w:tc>
          <w:tcPr>
            <w:tcW w:w="4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Guarantors</w:t>
            </w:r>
          </w:p>
        </w:tc>
        <w:tc>
          <w:tcPr>
            <w:tcW w:w="160" w:type="dxa"/>
            <w:vAlign w:val="bottom"/>
          </w:tcPr>
          <w:p>
            <w:pPr>
              <w:spacing w:after="0"/>
              <w:rPr>
                <w:sz w:val="16"/>
                <w:szCs w:val="16"/>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Guarantors</w:t>
            </w:r>
          </w:p>
        </w:tc>
        <w:tc>
          <w:tcPr>
            <w:tcW w:w="190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7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72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58.9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(65.6)</w:t>
            </w:r>
          </w:p>
        </w:tc>
        <w:tc>
          <w:tcPr>
            <w:tcW w:w="0" w:type="dxa"/>
            <w:vAlign w:val="bottom"/>
          </w:tcPr>
          <w:p>
            <w:pPr>
              <w:spacing w:after="0"/>
              <w:rPr>
                <w:sz w:val="1"/>
                <w:szCs w:val="1"/>
                <w:color w:val="auto"/>
              </w:rPr>
            </w:pPr>
          </w:p>
        </w:tc>
      </w:tr>
      <w:tr>
        <w:trPr>
          <w:trHeight w:val="243"/>
        </w:trPr>
        <w:tc>
          <w:tcPr>
            <w:tcW w:w="4740" w:type="dxa"/>
            <w:vAlign w:val="bottom"/>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foreign currency translation adjustment</w:t>
            </w: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43"/>
        </w:trPr>
        <w:tc>
          <w:tcPr>
            <w:tcW w:w="4740" w:type="dxa"/>
            <w:vAlign w:val="bottom"/>
          </w:tcPr>
          <w:p>
            <w:pPr>
              <w:ind w:left="500"/>
              <w:spacing w:after="0"/>
              <w:rPr>
                <w:sz w:val="20"/>
                <w:szCs w:val="20"/>
                <w:color w:val="auto"/>
              </w:rPr>
            </w:pPr>
            <w:r>
              <w:rPr>
                <w:rFonts w:ascii="Arial" w:cs="Arial" w:eastAsia="Arial" w:hAnsi="Arial"/>
                <w:sz w:val="18"/>
                <w:szCs w:val="18"/>
                <w:color w:val="auto"/>
              </w:rPr>
              <w:t>Net change in derivatives</w:t>
            </w:r>
          </w:p>
        </w:tc>
        <w:tc>
          <w:tcPr>
            <w:tcW w:w="22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21"/>
                <w:szCs w:val="21"/>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7"/>
        </w:trPr>
        <w:tc>
          <w:tcPr>
            <w:tcW w:w="4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w w:val="93"/>
              </w:rPr>
              <w:t>Net change in pension and other post retirement benefits</w:t>
            </w:r>
          </w:p>
        </w:tc>
        <w:tc>
          <w:tcPr>
            <w:tcW w:w="2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37"/>
        </w:trPr>
        <w:tc>
          <w:tcPr>
            <w:tcW w:w="4740" w:type="dxa"/>
            <w:vAlign w:val="bottom"/>
          </w:tcPr>
          <w:p>
            <w:pPr>
              <w:ind w:left="40"/>
              <w:spacing w:after="0"/>
              <w:rPr>
                <w:sz w:val="20"/>
                <w:szCs w:val="20"/>
                <w:color w:val="auto"/>
              </w:rPr>
            </w:pPr>
            <w:r>
              <w:rPr>
                <w:rFonts w:ascii="Arial" w:cs="Arial" w:eastAsia="Arial" w:hAnsi="Arial"/>
                <w:sz w:val="18"/>
                <w:szCs w:val="18"/>
                <w:color w:val="auto"/>
              </w:rPr>
              <w:t>Total other comprehensive income (loss)</w:t>
            </w:r>
          </w:p>
        </w:tc>
        <w:tc>
          <w:tcPr>
            <w:tcW w:w="2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
        </w:trPr>
        <w:tc>
          <w:tcPr>
            <w:tcW w:w="47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loss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(64.5)</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58.9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(63.0)</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2"/>
        </w:trPr>
        <w:tc>
          <w:tcPr>
            <w:tcW w:w="4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9" w:name="page30"/>
    <w:bookmarkEnd w:id="29"/>
    <w:p>
      <w:pPr>
        <w:spacing w:after="0"/>
        <w:rPr>
          <w:rFonts w:ascii="Arial" w:cs="Arial" w:eastAsia="Arial" w:hAnsi="Arial"/>
          <w:sz w:val="18"/>
          <w:szCs w:val="18"/>
          <w:color w:val="FFFFFF"/>
        </w:rPr>
      </w:pPr>
      <w:hyperlink w:anchor="page1">
        <w:r>
          <w:rPr>
            <w:rFonts w:ascii="Arial" w:cs="Arial" w:eastAsia="Arial" w:hAnsi="Arial"/>
            <w:sz w:val="18"/>
            <w:szCs w:val="18"/>
            <w:color w:val="FFFF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December 28, 2013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Parent</w:t>
            </w:r>
          </w:p>
        </w:tc>
        <w:tc>
          <w:tcPr>
            <w:tcW w:w="160" w:type="dxa"/>
            <w:vAlign w:val="bottom"/>
          </w:tcPr>
          <w:p>
            <w:pPr>
              <w:spacing w:after="0"/>
              <w:rPr>
                <w:sz w:val="14"/>
                <w:szCs w:val="14"/>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Subsidiary</w:t>
            </w:r>
          </w:p>
        </w:tc>
        <w:tc>
          <w:tcPr>
            <w:tcW w:w="140" w:type="dxa"/>
            <w:vAlign w:val="bottom"/>
          </w:tcPr>
          <w:p>
            <w:pPr>
              <w:spacing w:after="0"/>
              <w:rPr>
                <w:sz w:val="14"/>
                <w:szCs w:val="14"/>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Non-</w:t>
            </w:r>
          </w:p>
        </w:tc>
        <w:tc>
          <w:tcPr>
            <w:tcW w:w="19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w w:val="97"/>
              </w:rPr>
              <w:t>Eliminations/Consolidations</w:t>
            </w:r>
          </w:p>
        </w:tc>
        <w:tc>
          <w:tcPr>
            <w:tcW w:w="140" w:type="dxa"/>
            <w:vAlign w:val="bottom"/>
          </w:tcPr>
          <w:p>
            <w:pPr>
              <w:spacing w:after="0"/>
              <w:rPr>
                <w:sz w:val="14"/>
                <w:szCs w:val="14"/>
                <w:color w:val="auto"/>
              </w:rPr>
            </w:pPr>
          </w:p>
        </w:tc>
        <w:tc>
          <w:tcPr>
            <w:tcW w:w="98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92"/>
        </w:trPr>
        <w:tc>
          <w:tcPr>
            <w:tcW w:w="5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Guarantors</w:t>
            </w:r>
          </w:p>
        </w:tc>
        <w:tc>
          <w:tcPr>
            <w:tcW w:w="140" w:type="dxa"/>
            <w:vAlign w:val="bottom"/>
          </w:tcPr>
          <w:p>
            <w:pPr>
              <w:spacing w:after="0"/>
              <w:rPr>
                <w:sz w:val="16"/>
                <w:szCs w:val="16"/>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Guarantors</w:t>
            </w:r>
          </w:p>
        </w:tc>
        <w:tc>
          <w:tcPr>
            <w:tcW w:w="190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50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(USED IN) OPERATING</w:t>
            </w:r>
          </w:p>
        </w:tc>
        <w:tc>
          <w:tcPr>
            <w:tcW w:w="16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5080" w:type="dxa"/>
            <w:vAlign w:val="bottom"/>
            <w:shd w:val="clear" w:color="auto" w:fill="CCEEFF"/>
          </w:tcPr>
          <w:p>
            <w:pPr>
              <w:ind w:left="40"/>
              <w:spacing w:after="0" w:line="257" w:lineRule="exact"/>
              <w:rPr>
                <w:sz w:val="20"/>
                <w:szCs w:val="20"/>
                <w:color w:val="auto"/>
              </w:rPr>
            </w:pPr>
            <w:r>
              <w:rPr>
                <w:rFonts w:ascii="Arial" w:cs="Arial" w:eastAsia="Arial" w:hAnsi="Arial"/>
                <w:sz w:val="18"/>
                <w:szCs w:val="18"/>
                <w:color w:val="auto"/>
              </w:rPr>
              <w:t xml:space="preserve">ACTIVITIES </w:t>
            </w:r>
            <w:r>
              <w:rPr>
                <w:rFonts w:ascii="Arial" w:cs="Arial" w:eastAsia="Arial" w:hAnsi="Arial"/>
                <w:sz w:val="25"/>
                <w:szCs w:val="25"/>
                <w:color w:val="auto"/>
                <w:vertAlign w:val="superscript"/>
              </w:rPr>
              <w:t>(a)</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26.7</w:t>
            </w: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(128.4)</w:t>
            </w: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w:t>
            </w:r>
          </w:p>
        </w:tc>
        <w:tc>
          <w:tcPr>
            <w:tcW w:w="100" w:type="dxa"/>
            <w:vAlign w:val="bottom"/>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(35.8)</w:t>
            </w: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(180.2)</w:t>
            </w:r>
          </w:p>
        </w:tc>
        <w:tc>
          <w:tcPr>
            <w:tcW w:w="0" w:type="dxa"/>
            <w:vAlign w:val="bottom"/>
          </w:tcPr>
          <w:p>
            <w:pPr>
              <w:spacing w:after="0"/>
              <w:rPr>
                <w:sz w:val="1"/>
                <w:szCs w:val="1"/>
                <w:color w:val="auto"/>
              </w:rPr>
            </w:pPr>
          </w:p>
        </w:tc>
      </w:tr>
      <w:tr>
        <w:trPr>
          <w:trHeight w:val="291"/>
        </w:trPr>
        <w:tc>
          <w:tcPr>
            <w:tcW w:w="5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INVESTING ACTIVITIES</w:t>
            </w: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80" w:type="dxa"/>
            <w:vAlign w:val="bottom"/>
          </w:tcPr>
          <w:p>
            <w:pPr>
              <w:ind w:left="380"/>
              <w:spacing w:after="0"/>
              <w:rPr>
                <w:sz w:val="20"/>
                <w:szCs w:val="20"/>
                <w:color w:val="auto"/>
              </w:rPr>
            </w:pPr>
            <w:r>
              <w:rPr>
                <w:rFonts w:ascii="Arial" w:cs="Arial" w:eastAsia="Arial" w:hAnsi="Arial"/>
                <w:sz w:val="18"/>
                <w:szCs w:val="18"/>
                <w:color w:val="auto"/>
              </w:rPr>
              <w:t>Investments in property, plant and equipment</w:t>
            </w:r>
          </w:p>
        </w:tc>
        <w:tc>
          <w:tcPr>
            <w:tcW w:w="160" w:type="dxa"/>
            <w:vAlign w:val="bottom"/>
          </w:tcPr>
          <w:p>
            <w:pPr>
              <w:spacing w:after="0"/>
              <w:rPr>
                <w:sz w:val="21"/>
                <w:szCs w:val="21"/>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(41.5)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(43.4)</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Investment in acquired business, net of cash acquired</w:t>
            </w:r>
          </w:p>
        </w:tc>
        <w:tc>
          <w:tcPr>
            <w:tcW w:w="16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37"/>
        </w:trPr>
        <w:tc>
          <w:tcPr>
            <w:tcW w:w="5080" w:type="dxa"/>
            <w:vAlign w:val="bottom"/>
          </w:tcPr>
          <w:p>
            <w:pPr>
              <w:ind w:left="720"/>
              <w:spacing w:after="0"/>
              <w:rPr>
                <w:sz w:val="20"/>
                <w:szCs w:val="20"/>
                <w:color w:val="auto"/>
              </w:rPr>
            </w:pPr>
            <w:r>
              <w:rPr>
                <w:rFonts w:ascii="Arial" w:cs="Arial" w:eastAsia="Arial" w:hAnsi="Arial"/>
                <w:sz w:val="18"/>
                <w:szCs w:val="18"/>
                <w:color w:val="auto"/>
              </w:rPr>
              <w:t>Net cash used in investing activities</w:t>
            </w:r>
          </w:p>
        </w:tc>
        <w:tc>
          <w:tcPr>
            <w:tcW w:w="16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(101.5)</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(103.4)</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50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FINANCING ACTIVITIES</w:t>
            </w:r>
          </w:p>
        </w:tc>
        <w:tc>
          <w:tcPr>
            <w:tcW w:w="1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Borrowings under revolving and bank lines of credit</w:t>
            </w:r>
          </w:p>
        </w:tc>
        <w:tc>
          <w:tcPr>
            <w:tcW w:w="1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389.5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118.8</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508.3</w:t>
            </w:r>
          </w:p>
        </w:tc>
        <w:tc>
          <w:tcPr>
            <w:tcW w:w="0" w:type="dxa"/>
            <w:vAlign w:val="bottom"/>
          </w:tcPr>
          <w:p>
            <w:pPr>
              <w:spacing w:after="0"/>
              <w:rPr>
                <w:sz w:val="1"/>
                <w:szCs w:val="1"/>
                <w:color w:val="auto"/>
              </w:rPr>
            </w:pPr>
          </w:p>
        </w:tc>
      </w:tr>
      <w:tr>
        <w:trPr>
          <w:trHeight w:val="243"/>
        </w:trPr>
        <w:tc>
          <w:tcPr>
            <w:tcW w:w="5080" w:type="dxa"/>
            <w:vAlign w:val="bottom"/>
          </w:tcPr>
          <w:p>
            <w:pPr>
              <w:ind w:left="380"/>
              <w:spacing w:after="0"/>
              <w:rPr>
                <w:sz w:val="20"/>
                <w:szCs w:val="20"/>
                <w:color w:val="auto"/>
              </w:rPr>
            </w:pPr>
            <w:r>
              <w:rPr>
                <w:rFonts w:ascii="Arial" w:cs="Arial" w:eastAsia="Arial" w:hAnsi="Arial"/>
                <w:sz w:val="18"/>
                <w:szCs w:val="18"/>
                <w:color w:val="auto"/>
              </w:rPr>
              <w:t>Repayments under revolving and bank lines of credit</w:t>
            </w:r>
          </w:p>
        </w:tc>
        <w:tc>
          <w:tcPr>
            <w:tcW w:w="160" w:type="dxa"/>
            <w:vAlign w:val="bottom"/>
          </w:tcPr>
          <w:p>
            <w:pPr>
              <w:spacing w:after="0"/>
              <w:rPr>
                <w:sz w:val="21"/>
                <w:szCs w:val="21"/>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(96.0)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(101.1)</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(197.1)</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Financing and issuance fees</w:t>
            </w: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43"/>
        </w:trPr>
        <w:tc>
          <w:tcPr>
            <w:tcW w:w="5080" w:type="dxa"/>
            <w:vAlign w:val="bottom"/>
          </w:tcPr>
          <w:p>
            <w:pPr>
              <w:ind w:left="380"/>
              <w:spacing w:after="0"/>
              <w:rPr>
                <w:sz w:val="20"/>
                <w:szCs w:val="20"/>
                <w:color w:val="auto"/>
              </w:rPr>
            </w:pPr>
            <w:r>
              <w:rPr>
                <w:rFonts w:ascii="Arial" w:cs="Arial" w:eastAsia="Arial" w:hAnsi="Arial"/>
                <w:sz w:val="18"/>
                <w:szCs w:val="18"/>
                <w:color w:val="auto"/>
              </w:rPr>
              <w:t>Dividends paid</w:t>
            </w:r>
          </w:p>
        </w:tc>
        <w:tc>
          <w:tcPr>
            <w:tcW w:w="1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(27.3)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(35.8)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21"/>
                <w:szCs w:val="21"/>
                <w:color w:val="auto"/>
              </w:rPr>
            </w:pP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35.8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Purchase of common shares</w:t>
            </w: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43"/>
        </w:trPr>
        <w:tc>
          <w:tcPr>
            <w:tcW w:w="5080" w:type="dxa"/>
            <w:vAlign w:val="bottom"/>
          </w:tcPr>
          <w:p>
            <w:pPr>
              <w:ind w:left="380"/>
              <w:spacing w:after="0"/>
              <w:rPr>
                <w:sz w:val="20"/>
                <w:szCs w:val="20"/>
                <w:color w:val="auto"/>
              </w:rPr>
            </w:pPr>
            <w:r>
              <w:rPr>
                <w:rFonts w:ascii="Arial" w:cs="Arial" w:eastAsia="Arial" w:hAnsi="Arial"/>
                <w:sz w:val="18"/>
                <w:szCs w:val="18"/>
                <w:color w:val="auto"/>
                <w:w w:val="95"/>
              </w:rPr>
              <w:t>Excess tax benefits from share-based payment arrangements</w:t>
            </w:r>
          </w:p>
        </w:tc>
        <w:tc>
          <w:tcPr>
            <w:tcW w:w="160" w:type="dxa"/>
            <w:vAlign w:val="bottom"/>
          </w:tcPr>
          <w:p>
            <w:pPr>
              <w:spacing w:after="0"/>
              <w:rPr>
                <w:sz w:val="21"/>
                <w:szCs w:val="21"/>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21"/>
                <w:szCs w:val="21"/>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received from the exercise of stock options</w:t>
            </w: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43"/>
        </w:trPr>
        <w:tc>
          <w:tcPr>
            <w:tcW w:w="5080" w:type="dxa"/>
            <w:vAlign w:val="bottom"/>
          </w:tcPr>
          <w:p>
            <w:pPr>
              <w:ind w:left="380"/>
              <w:spacing w:after="0"/>
              <w:rPr>
                <w:sz w:val="20"/>
                <w:szCs w:val="20"/>
                <w:color w:val="auto"/>
              </w:rPr>
            </w:pPr>
            <w:r>
              <w:rPr>
                <w:rFonts w:ascii="Arial" w:cs="Arial" w:eastAsia="Arial" w:hAnsi="Arial"/>
                <w:sz w:val="18"/>
                <w:szCs w:val="18"/>
                <w:color w:val="auto"/>
              </w:rPr>
              <w:t>Intercompany financing</w:t>
            </w:r>
          </w:p>
        </w:tc>
        <w:tc>
          <w:tcPr>
            <w:tcW w:w="16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(31.9)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21.8</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0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0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Net cash (used in) provided by financing activities</w:t>
            </w:r>
          </w:p>
        </w:tc>
        <w:tc>
          <w:tcPr>
            <w:tcW w:w="16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228.6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39.5</w:t>
            </w:r>
          </w:p>
        </w:tc>
        <w:tc>
          <w:tcPr>
            <w:tcW w:w="1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35.8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277.2</w:t>
            </w:r>
          </w:p>
        </w:tc>
        <w:tc>
          <w:tcPr>
            <w:tcW w:w="0" w:type="dxa"/>
            <w:vAlign w:val="bottom"/>
          </w:tcPr>
          <w:p>
            <w:pPr>
              <w:spacing w:after="0"/>
              <w:rPr>
                <w:sz w:val="1"/>
                <w:szCs w:val="1"/>
                <w:color w:val="auto"/>
              </w:rPr>
            </w:pPr>
          </w:p>
        </w:tc>
      </w:tr>
      <w:tr>
        <w:trPr>
          <w:trHeight w:val="237"/>
        </w:trPr>
        <w:tc>
          <w:tcPr>
            <w:tcW w:w="5080" w:type="dxa"/>
            <w:vAlign w:val="bottom"/>
          </w:tcPr>
          <w:p>
            <w:pPr>
              <w:ind w:left="40"/>
              <w:spacing w:after="0"/>
              <w:rPr>
                <w:sz w:val="20"/>
                <w:szCs w:val="20"/>
                <w:color w:val="auto"/>
              </w:rPr>
            </w:pPr>
            <w:r>
              <w:rPr>
                <w:rFonts w:ascii="Arial" w:cs="Arial" w:eastAsia="Arial" w:hAnsi="Arial"/>
                <w:sz w:val="18"/>
                <w:szCs w:val="18"/>
                <w:color w:val="auto"/>
              </w:rPr>
              <w:t>Effect of exchange rate changes on cash</w:t>
            </w:r>
          </w:p>
        </w:tc>
        <w:tc>
          <w:tcPr>
            <w:tcW w:w="16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50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decrease in cash and cash equivalents</w:t>
            </w:r>
          </w:p>
        </w:tc>
        <w:tc>
          <w:tcPr>
            <w:tcW w:w="1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Cash and cash equivalents, beginning of period</w:t>
            </w:r>
          </w:p>
        </w:tc>
        <w:tc>
          <w:tcPr>
            <w:tcW w:w="160" w:type="dxa"/>
            <w:vAlign w:val="bottom"/>
          </w:tcPr>
          <w:p>
            <w:pPr>
              <w:spacing w:after="0"/>
              <w:rPr>
                <w:sz w:val="21"/>
                <w:szCs w:val="21"/>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127.2</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129.8</w:t>
            </w:r>
          </w:p>
        </w:tc>
        <w:tc>
          <w:tcPr>
            <w:tcW w:w="0" w:type="dxa"/>
            <w:vAlign w:val="bottom"/>
          </w:tcPr>
          <w:p>
            <w:pPr>
              <w:spacing w:after="0"/>
              <w:rPr>
                <w:sz w:val="1"/>
                <w:szCs w:val="1"/>
                <w:color w:val="auto"/>
              </w:rPr>
            </w:pPr>
          </w:p>
        </w:tc>
      </w:tr>
      <w:tr>
        <w:trPr>
          <w:trHeight w:val="27"/>
        </w:trPr>
        <w:tc>
          <w:tcPr>
            <w:tcW w:w="50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end of period</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123.3</w:t>
            </w:r>
          </w:p>
        </w:tc>
        <w:tc>
          <w:tcPr>
            <w:tcW w:w="1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124.6</w:t>
            </w:r>
          </w:p>
        </w:tc>
        <w:tc>
          <w:tcPr>
            <w:tcW w:w="0" w:type="dxa"/>
            <w:vAlign w:val="bottom"/>
          </w:tcPr>
          <w:p>
            <w:pPr>
              <w:spacing w:after="0"/>
              <w:rPr>
                <w:sz w:val="1"/>
                <w:szCs w:val="1"/>
                <w:color w:val="auto"/>
              </w:rPr>
            </w:pP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ind w:left="660" w:hanging="652"/>
        <w:spacing w:after="0" w:line="275" w:lineRule="auto"/>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Cash received by the Parent from its subsidiaries in the form of dividends in the amount of $35.8 million represent return on investments and are included in cash flows from operating activities.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5" w:right="239" w:bottom="1440" w:gutter="0" w:footer="0" w:header="0"/>
        </w:sectPr>
      </w:pPr>
    </w:p>
    <w:bookmarkStart w:id="30" w:name="page31"/>
    <w:bookmarkEnd w:id="30"/>
    <w:p>
      <w:pPr>
        <w:spacing w:after="0"/>
        <w:rPr>
          <w:rFonts w:ascii="Arial" w:cs="Arial" w:eastAsia="Arial" w:hAnsi="Arial"/>
          <w:sz w:val="18"/>
          <w:szCs w:val="18"/>
          <w:color w:val="FFFFFF"/>
        </w:rPr>
      </w:pPr>
      <w:hyperlink w:anchor="page1">
        <w:r>
          <w:rPr>
            <w:rFonts w:ascii="Arial" w:cs="Arial" w:eastAsia="Arial" w:hAnsi="Arial"/>
            <w:sz w:val="18"/>
            <w:szCs w:val="18"/>
            <w:color w:val="FFFF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28, 2013</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(Unaudited)</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vMerge w:val="restart"/>
          </w:tcPr>
          <w:p>
            <w:pPr>
              <w:jc w:val="right"/>
              <w:ind w:right="311"/>
              <w:spacing w:after="0"/>
              <w:rPr>
                <w:sz w:val="20"/>
                <w:szCs w:val="20"/>
                <w:color w:val="auto"/>
              </w:rPr>
            </w:pPr>
            <w:r>
              <w:rPr>
                <w:rFonts w:ascii="Arial" w:cs="Arial" w:eastAsia="Arial" w:hAnsi="Arial"/>
                <w:sz w:val="14"/>
                <w:szCs w:val="14"/>
                <w:b w:val="1"/>
                <w:bCs w:val="1"/>
                <w:color w:val="auto"/>
              </w:rPr>
              <w:t>Parent</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gridSpan w:val="2"/>
          </w:tcPr>
          <w:p>
            <w:pPr>
              <w:ind w:left="60"/>
              <w:spacing w:after="0"/>
              <w:rPr>
                <w:sz w:val="20"/>
                <w:szCs w:val="20"/>
                <w:color w:val="auto"/>
              </w:rPr>
            </w:pPr>
            <w:r>
              <w:rPr>
                <w:rFonts w:ascii="Arial" w:cs="Arial" w:eastAsia="Arial" w:hAnsi="Arial"/>
                <w:sz w:val="14"/>
                <w:szCs w:val="14"/>
                <w:b w:val="1"/>
                <w:bCs w:val="1"/>
                <w:color w:val="auto"/>
              </w:rPr>
              <w:t>Subsidiary</w:t>
            </w:r>
          </w:p>
        </w:tc>
        <w:tc>
          <w:tcPr>
            <w:tcW w:w="180" w:type="dxa"/>
            <w:vAlign w:val="bottom"/>
          </w:tcPr>
          <w:p>
            <w:pPr>
              <w:spacing w:after="0"/>
              <w:rPr>
                <w:sz w:val="14"/>
                <w:szCs w:val="14"/>
                <w:color w:val="auto"/>
              </w:rPr>
            </w:pPr>
          </w:p>
        </w:tc>
        <w:tc>
          <w:tcPr>
            <w:tcW w:w="1160" w:type="dxa"/>
            <w:vAlign w:val="bottom"/>
            <w:gridSpan w:val="2"/>
          </w:tcPr>
          <w:p>
            <w:pPr>
              <w:ind w:left="280"/>
              <w:spacing w:after="0"/>
              <w:rPr>
                <w:sz w:val="20"/>
                <w:szCs w:val="20"/>
                <w:color w:val="auto"/>
              </w:rPr>
            </w:pPr>
            <w:r>
              <w:rPr>
                <w:rFonts w:ascii="Arial" w:cs="Arial" w:eastAsia="Arial" w:hAnsi="Arial"/>
                <w:sz w:val="14"/>
                <w:szCs w:val="14"/>
                <w:b w:val="1"/>
                <w:bCs w:val="1"/>
                <w:color w:val="auto"/>
              </w:rPr>
              <w:t>Non-</w:t>
            </w:r>
          </w:p>
        </w:tc>
        <w:tc>
          <w:tcPr>
            <w:tcW w:w="17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2"/>
              </w:rPr>
              <w:t>Eliminations/Consolidations</w:t>
            </w:r>
          </w:p>
        </w:tc>
        <w:tc>
          <w:tcPr>
            <w:tcW w:w="12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92"/>
        </w:trPr>
        <w:tc>
          <w:tcPr>
            <w:tcW w:w="36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w w:val="98"/>
              </w:rPr>
              <w:t>Guarantors</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Guarantors</w:t>
            </w:r>
          </w:p>
        </w:tc>
        <w:tc>
          <w:tcPr>
            <w:tcW w:w="100" w:type="dxa"/>
            <w:vAlign w:val="bottom"/>
          </w:tcPr>
          <w:p>
            <w:pPr>
              <w:spacing w:after="0"/>
              <w:rPr>
                <w:sz w:val="16"/>
                <w:szCs w:val="16"/>
                <w:color w:val="auto"/>
              </w:rPr>
            </w:pPr>
          </w:p>
        </w:tc>
        <w:tc>
          <w:tcPr>
            <w:tcW w:w="1780" w:type="dxa"/>
            <w:vAlign w:val="bottom"/>
            <w:tcBorders>
              <w:bottom w:val="single" w:sz="8" w:color="auto"/>
            </w:tcBorders>
            <w:gridSpan w:val="2"/>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6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300" w:type="dxa"/>
            <w:vAlign w:val="bottom"/>
            <w:gridSpan w:val="4"/>
          </w:tcPr>
          <w:p>
            <w:pPr>
              <w:jc w:val="center"/>
              <w:spacing w:after="0"/>
              <w:rPr>
                <w:sz w:val="20"/>
                <w:szCs w:val="20"/>
                <w:color w:val="auto"/>
              </w:rPr>
            </w:pPr>
            <w:r>
              <w:rPr>
                <w:rFonts w:ascii="Arial" w:cs="Arial" w:eastAsia="Arial" w:hAnsi="Arial"/>
                <w:sz w:val="18"/>
                <w:szCs w:val="18"/>
                <w:b w:val="1"/>
                <w:bCs w:val="1"/>
                <w:color w:val="auto"/>
                <w:w w:val="91"/>
              </w:rPr>
              <w:t>ASSETS</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
        </w:trPr>
        <w:tc>
          <w:tcPr>
            <w:tcW w:w="3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6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80" w:type="dxa"/>
            <w:vAlign w:val="bottom"/>
          </w:tcPr>
          <w:p>
            <w:pPr>
              <w:ind w:left="380"/>
              <w:spacing w:after="0"/>
              <w:rPr>
                <w:sz w:val="20"/>
                <w:szCs w:val="20"/>
                <w:color w:val="auto"/>
              </w:rPr>
            </w:pPr>
            <w:r>
              <w:rPr>
                <w:rFonts w:ascii="Arial" w:cs="Arial" w:eastAsia="Arial" w:hAnsi="Arial"/>
                <w:sz w:val="18"/>
                <w:szCs w:val="18"/>
                <w:color w:val="auto"/>
              </w:rPr>
              <w:t>Cash and cash equivalents</w:t>
            </w:r>
          </w:p>
        </w:tc>
        <w:tc>
          <w:tcPr>
            <w:tcW w:w="8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center"/>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123.3</w:t>
            </w:r>
          </w:p>
        </w:tc>
        <w:tc>
          <w:tcPr>
            <w:tcW w:w="100" w:type="dxa"/>
            <w:vAlign w:val="bottom"/>
          </w:tcPr>
          <w:p>
            <w:pPr>
              <w:spacing w:after="0"/>
              <w:rPr>
                <w:sz w:val="21"/>
                <w:szCs w:val="21"/>
                <w:color w:val="auto"/>
              </w:rPr>
            </w:pPr>
          </w:p>
        </w:tc>
        <w:tc>
          <w:tcPr>
            <w:tcW w:w="580" w:type="dxa"/>
            <w:vAlign w:val="bottom"/>
          </w:tcPr>
          <w:p>
            <w:pPr>
              <w:ind w:left="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124.6</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receivable, net</w:t>
            </w:r>
          </w:p>
        </w:tc>
        <w:tc>
          <w:tcPr>
            <w:tcW w:w="6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73.7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84.5</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158.2</w:t>
            </w:r>
          </w:p>
        </w:tc>
        <w:tc>
          <w:tcPr>
            <w:tcW w:w="0" w:type="dxa"/>
            <w:vAlign w:val="bottom"/>
          </w:tcPr>
          <w:p>
            <w:pPr>
              <w:spacing w:after="0"/>
              <w:rPr>
                <w:sz w:val="1"/>
                <w:szCs w:val="1"/>
                <w:color w:val="auto"/>
              </w:rPr>
            </w:pPr>
          </w:p>
        </w:tc>
      </w:tr>
      <w:tr>
        <w:trPr>
          <w:trHeight w:val="243"/>
        </w:trPr>
        <w:tc>
          <w:tcPr>
            <w:tcW w:w="3680" w:type="dxa"/>
            <w:vAlign w:val="bottom"/>
          </w:tcPr>
          <w:p>
            <w:pPr>
              <w:ind w:left="380"/>
              <w:spacing w:after="0"/>
              <w:rPr>
                <w:sz w:val="20"/>
                <w:szCs w:val="20"/>
                <w:color w:val="auto"/>
              </w:rPr>
            </w:pPr>
            <w:r>
              <w:rPr>
                <w:rFonts w:ascii="Arial" w:cs="Arial" w:eastAsia="Arial" w:hAnsi="Arial"/>
                <w:sz w:val="18"/>
                <w:szCs w:val="18"/>
                <w:color w:val="auto"/>
              </w:rPr>
              <w:t>Accounts receivable pledged</w:t>
            </w:r>
          </w:p>
        </w:tc>
        <w:tc>
          <w:tcPr>
            <w:tcW w:w="6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1"/>
                <w:szCs w:val="21"/>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Inventories</w:t>
            </w:r>
          </w:p>
        </w:tc>
        <w:tc>
          <w:tcPr>
            <w:tcW w:w="6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492.6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113.1</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605.7</w:t>
            </w:r>
          </w:p>
        </w:tc>
        <w:tc>
          <w:tcPr>
            <w:tcW w:w="0" w:type="dxa"/>
            <w:vAlign w:val="bottom"/>
          </w:tcPr>
          <w:p>
            <w:pPr>
              <w:spacing w:after="0"/>
              <w:rPr>
                <w:sz w:val="1"/>
                <w:szCs w:val="1"/>
                <w:color w:val="auto"/>
              </w:rPr>
            </w:pPr>
          </w:p>
        </w:tc>
      </w:tr>
      <w:tr>
        <w:trPr>
          <w:trHeight w:val="243"/>
        </w:trPr>
        <w:tc>
          <w:tcPr>
            <w:tcW w:w="3680" w:type="dxa"/>
            <w:vAlign w:val="bottom"/>
          </w:tcPr>
          <w:p>
            <w:pPr>
              <w:ind w:left="380"/>
              <w:spacing w:after="0"/>
              <w:rPr>
                <w:sz w:val="20"/>
                <w:szCs w:val="20"/>
                <w:color w:val="auto"/>
              </w:rPr>
            </w:pPr>
            <w:r>
              <w:rPr>
                <w:rFonts w:ascii="Arial" w:cs="Arial" w:eastAsia="Arial" w:hAnsi="Arial"/>
                <w:sz w:val="18"/>
                <w:szCs w:val="18"/>
                <w:color w:val="auto"/>
              </w:rPr>
              <w:t>Prepaid and other current assets</w:t>
            </w:r>
          </w:p>
        </w:tc>
        <w:tc>
          <w:tcPr>
            <w:tcW w:w="6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78.1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39.8</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117.9</w:t>
            </w:r>
          </w:p>
        </w:tc>
        <w:tc>
          <w:tcPr>
            <w:tcW w:w="0" w:type="dxa"/>
            <w:vAlign w:val="bottom"/>
          </w:tcPr>
          <w:p>
            <w:pPr>
              <w:spacing w:after="0"/>
              <w:rPr>
                <w:sz w:val="1"/>
                <w:szCs w:val="1"/>
                <w:color w:val="auto"/>
              </w:rPr>
            </w:pPr>
          </w:p>
        </w:tc>
      </w:tr>
      <w:tr>
        <w:trPr>
          <w:trHeight w:val="27"/>
        </w:trPr>
        <w:tc>
          <w:tcPr>
            <w:tcW w:w="368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current assets</w:t>
            </w:r>
          </w:p>
        </w:tc>
        <w:tc>
          <w:tcPr>
            <w:tcW w:w="6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655.0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360.7</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1,015.7</w:t>
            </w:r>
          </w:p>
        </w:tc>
        <w:tc>
          <w:tcPr>
            <w:tcW w:w="0" w:type="dxa"/>
            <w:vAlign w:val="bottom"/>
          </w:tcPr>
          <w:p>
            <w:pPr>
              <w:spacing w:after="0"/>
              <w:rPr>
                <w:sz w:val="1"/>
                <w:szCs w:val="1"/>
                <w:color w:val="auto"/>
              </w:rPr>
            </w:pPr>
          </w:p>
        </w:tc>
      </w:tr>
      <w:tr>
        <w:trPr>
          <w:trHeight w:val="243"/>
        </w:trPr>
        <w:tc>
          <w:tcPr>
            <w:tcW w:w="3680" w:type="dxa"/>
            <w:vAlign w:val="bottom"/>
          </w:tcPr>
          <w:p>
            <w:pPr>
              <w:ind w:left="40"/>
              <w:spacing w:after="0"/>
              <w:rPr>
                <w:sz w:val="20"/>
                <w:szCs w:val="20"/>
                <w:color w:val="auto"/>
              </w:rPr>
            </w:pPr>
            <w:r>
              <w:rPr>
                <w:rFonts w:ascii="Arial" w:cs="Arial" w:eastAsia="Arial" w:hAnsi="Arial"/>
                <w:sz w:val="18"/>
                <w:szCs w:val="18"/>
                <w:color w:val="auto"/>
              </w:rPr>
              <w:t>Property, plant and equipment, net</w:t>
            </w:r>
          </w:p>
        </w:tc>
        <w:tc>
          <w:tcPr>
            <w:tcW w:w="6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404.0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43.5</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447.5</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6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334.4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335.0</w:t>
            </w:r>
          </w:p>
        </w:tc>
        <w:tc>
          <w:tcPr>
            <w:tcW w:w="0" w:type="dxa"/>
            <w:vAlign w:val="bottom"/>
          </w:tcPr>
          <w:p>
            <w:pPr>
              <w:spacing w:after="0"/>
              <w:rPr>
                <w:sz w:val="1"/>
                <w:szCs w:val="1"/>
                <w:color w:val="auto"/>
              </w:rPr>
            </w:pPr>
          </w:p>
        </w:tc>
      </w:tr>
      <w:tr>
        <w:trPr>
          <w:trHeight w:val="243"/>
        </w:trPr>
        <w:tc>
          <w:tcPr>
            <w:tcW w:w="3680" w:type="dxa"/>
            <w:vAlign w:val="bottom"/>
          </w:tcPr>
          <w:p>
            <w:pPr>
              <w:ind w:left="40"/>
              <w:spacing w:after="0"/>
              <w:rPr>
                <w:sz w:val="20"/>
                <w:szCs w:val="20"/>
                <w:color w:val="auto"/>
              </w:rPr>
            </w:pPr>
            <w:r>
              <w:rPr>
                <w:rFonts w:ascii="Arial" w:cs="Arial" w:eastAsia="Arial" w:hAnsi="Arial"/>
                <w:sz w:val="18"/>
                <w:szCs w:val="18"/>
                <w:color w:val="auto"/>
              </w:rPr>
              <w:t>Intangible assets, net</w:t>
            </w:r>
          </w:p>
        </w:tc>
        <w:tc>
          <w:tcPr>
            <w:tcW w:w="6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281.1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38.9</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320.0</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6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29.1</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41.2</w:t>
            </w:r>
          </w:p>
        </w:tc>
        <w:tc>
          <w:tcPr>
            <w:tcW w:w="0" w:type="dxa"/>
            <w:vAlign w:val="bottom"/>
          </w:tcPr>
          <w:p>
            <w:pPr>
              <w:spacing w:after="0"/>
              <w:rPr>
                <w:sz w:val="1"/>
                <w:szCs w:val="1"/>
                <w:color w:val="auto"/>
              </w:rPr>
            </w:pPr>
          </w:p>
        </w:tc>
      </w:tr>
      <w:tr>
        <w:trPr>
          <w:trHeight w:val="243"/>
        </w:trPr>
        <w:tc>
          <w:tcPr>
            <w:tcW w:w="3680" w:type="dxa"/>
            <w:vAlign w:val="bottom"/>
          </w:tcPr>
          <w:p>
            <w:pPr>
              <w:ind w:left="40"/>
              <w:spacing w:after="0"/>
              <w:rPr>
                <w:sz w:val="20"/>
                <w:szCs w:val="20"/>
                <w:color w:val="auto"/>
              </w:rPr>
            </w:pPr>
            <w:r>
              <w:rPr>
                <w:rFonts w:ascii="Arial" w:cs="Arial" w:eastAsia="Arial" w:hAnsi="Arial"/>
                <w:sz w:val="18"/>
                <w:szCs w:val="18"/>
                <w:color w:val="auto"/>
              </w:rPr>
              <w:t>Equity investment in subsidiaries</w:t>
            </w:r>
          </w:p>
        </w:tc>
        <w:tc>
          <w:tcPr>
            <w:tcW w:w="6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399.0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(399.0)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Intercompany assets</w:t>
            </w:r>
          </w:p>
        </w:tc>
        <w:tc>
          <w:tcPr>
            <w:tcW w:w="6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1,066.1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(1,066.1)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3680" w:type="dxa"/>
            <w:vAlign w:val="bottom"/>
          </w:tcPr>
          <w:p>
            <w:pPr>
              <w:ind w:left="720"/>
              <w:spacing w:after="0"/>
              <w:rPr>
                <w:sz w:val="20"/>
                <w:szCs w:val="20"/>
                <w:color w:val="auto"/>
              </w:rPr>
            </w:pPr>
            <w:r>
              <w:rPr>
                <w:rFonts w:ascii="Arial" w:cs="Arial" w:eastAsia="Arial" w:hAnsi="Arial"/>
                <w:sz w:val="18"/>
                <w:szCs w:val="18"/>
                <w:color w:val="auto"/>
              </w:rPr>
              <w:t>Total assets</w:t>
            </w:r>
          </w:p>
        </w:tc>
        <w:tc>
          <w:tcPr>
            <w:tcW w:w="6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1,497.5</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1,688.5</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472.8</w:t>
            </w:r>
          </w:p>
        </w:tc>
        <w:tc>
          <w:tcPr>
            <w:tcW w:w="100" w:type="dxa"/>
            <w:vAlign w:val="bottom"/>
          </w:tcPr>
          <w:p>
            <w:pPr>
              <w:spacing w:after="0"/>
              <w:rPr>
                <w:sz w:val="20"/>
                <w:szCs w:val="20"/>
                <w:color w:val="auto"/>
              </w:rPr>
            </w:pPr>
          </w:p>
        </w:tc>
        <w:tc>
          <w:tcPr>
            <w:tcW w:w="5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(1,499.4)</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2,159.4</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3680" w:type="dxa"/>
            <w:vAlign w:val="bottom"/>
          </w:tcPr>
          <w:p>
            <w:pPr>
              <w:spacing w:after="0"/>
              <w:rPr>
                <w:sz w:val="24"/>
                <w:szCs w:val="24"/>
                <w:color w:val="auto"/>
              </w:rPr>
            </w:pPr>
          </w:p>
        </w:tc>
        <w:tc>
          <w:tcPr>
            <w:tcW w:w="4620" w:type="dxa"/>
            <w:vAlign w:val="bottom"/>
            <w:gridSpan w:val="10"/>
          </w:tcPr>
          <w:p>
            <w:pPr>
              <w:jc w:val="center"/>
              <w:ind w:right="560"/>
              <w:spacing w:after="0"/>
              <w:rPr>
                <w:sz w:val="20"/>
                <w:szCs w:val="20"/>
                <w:color w:val="auto"/>
              </w:rPr>
            </w:pPr>
            <w:r>
              <w:rPr>
                <w:rFonts w:ascii="Arial" w:cs="Arial" w:eastAsia="Arial" w:hAnsi="Arial"/>
                <w:sz w:val="18"/>
                <w:szCs w:val="18"/>
                <w:b w:val="1"/>
                <w:bCs w:val="1"/>
                <w:color w:val="auto"/>
              </w:rPr>
              <w:t>LIABILITIES AND SHAREHOLDERS’ EQUITY</w:t>
            </w:r>
          </w:p>
        </w:tc>
        <w:tc>
          <w:tcPr>
            <w:tcW w:w="5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6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80" w:type="dxa"/>
            <w:vAlign w:val="bottom"/>
          </w:tcPr>
          <w:p>
            <w:pPr>
              <w:ind w:left="380"/>
              <w:spacing w:after="0"/>
              <w:rPr>
                <w:sz w:val="20"/>
                <w:szCs w:val="20"/>
                <w:color w:val="auto"/>
              </w:rPr>
            </w:pPr>
            <w:r>
              <w:rPr>
                <w:rFonts w:ascii="Arial" w:cs="Arial" w:eastAsia="Arial" w:hAnsi="Arial"/>
                <w:sz w:val="18"/>
                <w:szCs w:val="18"/>
                <w:color w:val="auto"/>
              </w:rPr>
              <w:t>Current portion of debt</w:t>
            </w:r>
          </w:p>
        </w:tc>
        <w:tc>
          <w:tcPr>
            <w:tcW w:w="8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200.0</w:t>
            </w:r>
          </w:p>
        </w:tc>
        <w:tc>
          <w:tcPr>
            <w:tcW w:w="320" w:type="dxa"/>
            <w:vAlign w:val="bottom"/>
            <w:gridSpan w:val="2"/>
          </w:tcPr>
          <w:p>
            <w:pPr>
              <w:jc w:val="center"/>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20.4</w:t>
            </w:r>
          </w:p>
        </w:tc>
        <w:tc>
          <w:tcPr>
            <w:tcW w:w="100" w:type="dxa"/>
            <w:vAlign w:val="bottom"/>
          </w:tcPr>
          <w:p>
            <w:pPr>
              <w:spacing w:after="0"/>
              <w:rPr>
                <w:sz w:val="21"/>
                <w:szCs w:val="21"/>
                <w:color w:val="auto"/>
              </w:rPr>
            </w:pPr>
          </w:p>
        </w:tc>
        <w:tc>
          <w:tcPr>
            <w:tcW w:w="580" w:type="dxa"/>
            <w:vAlign w:val="bottom"/>
          </w:tcPr>
          <w:p>
            <w:pPr>
              <w:ind w:left="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229.7</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w:t>
            </w:r>
          </w:p>
        </w:tc>
        <w:tc>
          <w:tcPr>
            <w:tcW w:w="6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166.4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64.4</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230.8</w:t>
            </w:r>
          </w:p>
        </w:tc>
        <w:tc>
          <w:tcPr>
            <w:tcW w:w="0" w:type="dxa"/>
            <w:vAlign w:val="bottom"/>
          </w:tcPr>
          <w:p>
            <w:pPr>
              <w:spacing w:after="0"/>
              <w:rPr>
                <w:sz w:val="1"/>
                <w:szCs w:val="1"/>
                <w:color w:val="auto"/>
              </w:rPr>
            </w:pPr>
          </w:p>
        </w:tc>
      </w:tr>
      <w:tr>
        <w:trPr>
          <w:trHeight w:val="243"/>
        </w:trPr>
        <w:tc>
          <w:tcPr>
            <w:tcW w:w="3680" w:type="dxa"/>
            <w:vAlign w:val="bottom"/>
          </w:tcPr>
          <w:p>
            <w:pPr>
              <w:ind w:left="380"/>
              <w:spacing w:after="0"/>
              <w:rPr>
                <w:sz w:val="20"/>
                <w:szCs w:val="20"/>
                <w:color w:val="auto"/>
              </w:rPr>
            </w:pPr>
            <w:r>
              <w:rPr>
                <w:rFonts w:ascii="Arial" w:cs="Arial" w:eastAsia="Arial" w:hAnsi="Arial"/>
                <w:sz w:val="18"/>
                <w:szCs w:val="18"/>
                <w:color w:val="auto"/>
              </w:rPr>
              <w:t>Other current liabilities</w:t>
            </w:r>
          </w:p>
        </w:tc>
        <w:tc>
          <w:tcPr>
            <w:tcW w:w="6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16.7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103.7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68.0</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188.4</w:t>
            </w:r>
          </w:p>
        </w:tc>
        <w:tc>
          <w:tcPr>
            <w:tcW w:w="0" w:type="dxa"/>
            <w:vAlign w:val="bottom"/>
          </w:tcPr>
          <w:p>
            <w:pPr>
              <w:spacing w:after="0"/>
              <w:rPr>
                <w:sz w:val="1"/>
                <w:szCs w:val="1"/>
                <w:color w:val="auto"/>
              </w:rPr>
            </w:pPr>
          </w:p>
        </w:tc>
      </w:tr>
      <w:tr>
        <w:trPr>
          <w:trHeight w:val="27"/>
        </w:trPr>
        <w:tc>
          <w:tcPr>
            <w:tcW w:w="368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current liabilities</w:t>
            </w:r>
          </w:p>
        </w:tc>
        <w:tc>
          <w:tcPr>
            <w:tcW w:w="6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216.7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279.4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152.8</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648.9</w:t>
            </w:r>
          </w:p>
        </w:tc>
        <w:tc>
          <w:tcPr>
            <w:tcW w:w="0" w:type="dxa"/>
            <w:vAlign w:val="bottom"/>
          </w:tcPr>
          <w:p>
            <w:pPr>
              <w:spacing w:after="0"/>
              <w:rPr>
                <w:sz w:val="1"/>
                <w:szCs w:val="1"/>
                <w:color w:val="auto"/>
              </w:rPr>
            </w:pPr>
          </w:p>
        </w:tc>
      </w:tr>
      <w:tr>
        <w:trPr>
          <w:trHeight w:val="243"/>
        </w:trPr>
        <w:tc>
          <w:tcPr>
            <w:tcW w:w="3680" w:type="dxa"/>
            <w:vAlign w:val="bottom"/>
          </w:tcPr>
          <w:p>
            <w:pPr>
              <w:ind w:left="40"/>
              <w:spacing w:after="0"/>
              <w:rPr>
                <w:sz w:val="20"/>
                <w:szCs w:val="20"/>
                <w:color w:val="auto"/>
              </w:rPr>
            </w:pPr>
            <w:r>
              <w:rPr>
                <w:rFonts w:ascii="Arial" w:cs="Arial" w:eastAsia="Arial" w:hAnsi="Arial"/>
                <w:sz w:val="18"/>
                <w:szCs w:val="18"/>
                <w:color w:val="auto"/>
              </w:rPr>
              <w:t>Long-term debt</w:t>
            </w:r>
          </w:p>
        </w:tc>
        <w:tc>
          <w:tcPr>
            <w:tcW w:w="6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647.4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439.4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(447.4)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652.3</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liabilities</w:t>
            </w:r>
          </w:p>
        </w:tc>
        <w:tc>
          <w:tcPr>
            <w:tcW w:w="6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213.1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46.0</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236.9</w:t>
            </w:r>
          </w:p>
        </w:tc>
        <w:tc>
          <w:tcPr>
            <w:tcW w:w="0" w:type="dxa"/>
            <w:vAlign w:val="bottom"/>
          </w:tcPr>
          <w:p>
            <w:pPr>
              <w:spacing w:after="0"/>
              <w:rPr>
                <w:sz w:val="1"/>
                <w:szCs w:val="1"/>
                <w:color w:val="auto"/>
              </w:rPr>
            </w:pPr>
          </w:p>
        </w:tc>
      </w:tr>
      <w:tr>
        <w:trPr>
          <w:trHeight w:val="243"/>
        </w:trPr>
        <w:tc>
          <w:tcPr>
            <w:tcW w:w="3680" w:type="dxa"/>
            <w:vAlign w:val="bottom"/>
          </w:tcPr>
          <w:p>
            <w:pPr>
              <w:ind w:left="40"/>
              <w:spacing w:after="0"/>
              <w:rPr>
                <w:sz w:val="20"/>
                <w:szCs w:val="20"/>
                <w:color w:val="auto"/>
              </w:rPr>
            </w:pPr>
            <w:r>
              <w:rPr>
                <w:rFonts w:ascii="Arial" w:cs="Arial" w:eastAsia="Arial" w:hAnsi="Arial"/>
                <w:sz w:val="18"/>
                <w:szCs w:val="18"/>
                <w:color w:val="auto"/>
              </w:rPr>
              <w:t>Equity investment in subsidiaries</w:t>
            </w:r>
          </w:p>
        </w:tc>
        <w:tc>
          <w:tcPr>
            <w:tcW w:w="6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170.3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(170.3)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Intercompany liabilities</w:t>
            </w:r>
          </w:p>
        </w:tc>
        <w:tc>
          <w:tcPr>
            <w:tcW w:w="6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451.3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167.4</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(618.7)</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3680" w:type="dxa"/>
            <w:vAlign w:val="bottom"/>
          </w:tcPr>
          <w:p>
            <w:pPr>
              <w:ind w:left="720"/>
              <w:spacing w:after="0"/>
              <w:rPr>
                <w:sz w:val="20"/>
                <w:szCs w:val="20"/>
                <w:color w:val="auto"/>
              </w:rPr>
            </w:pPr>
            <w:r>
              <w:rPr>
                <w:rFonts w:ascii="Arial" w:cs="Arial" w:eastAsia="Arial" w:hAnsi="Arial"/>
                <w:sz w:val="18"/>
                <w:szCs w:val="18"/>
                <w:color w:val="auto"/>
              </w:rPr>
              <w:t>Total liabilities</w:t>
            </w:r>
          </w:p>
        </w:tc>
        <w:tc>
          <w:tcPr>
            <w:tcW w:w="6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876.2</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1,553.5</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379.1</w:t>
            </w:r>
          </w:p>
        </w:tc>
        <w:tc>
          <w:tcPr>
            <w:tcW w:w="10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(1,270.7)</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1,538.1</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8"/>
              </w:rPr>
              <w:t>Total shareholders' equity - controlling interest</w:t>
            </w:r>
          </w:p>
        </w:tc>
        <w:tc>
          <w:tcPr>
            <w:tcW w:w="6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621.3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135.0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93.7</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621.3</w:t>
            </w:r>
          </w:p>
        </w:tc>
        <w:tc>
          <w:tcPr>
            <w:tcW w:w="0" w:type="dxa"/>
            <w:vAlign w:val="bottom"/>
          </w:tcPr>
          <w:p>
            <w:pPr>
              <w:spacing w:after="0"/>
              <w:rPr>
                <w:sz w:val="1"/>
                <w:szCs w:val="1"/>
                <w:color w:val="auto"/>
              </w:rPr>
            </w:pPr>
          </w:p>
        </w:tc>
      </w:tr>
      <w:tr>
        <w:trPr>
          <w:trHeight w:val="243"/>
        </w:trPr>
        <w:tc>
          <w:tcPr>
            <w:tcW w:w="3680" w:type="dxa"/>
            <w:vAlign w:val="bottom"/>
          </w:tcPr>
          <w:p>
            <w:pPr>
              <w:ind w:left="40"/>
              <w:spacing w:after="0"/>
              <w:rPr>
                <w:sz w:val="20"/>
                <w:szCs w:val="20"/>
                <w:color w:val="auto"/>
              </w:rPr>
            </w:pPr>
            <w:r>
              <w:rPr>
                <w:rFonts w:ascii="Arial" w:cs="Arial" w:eastAsia="Arial" w:hAnsi="Arial"/>
                <w:sz w:val="18"/>
                <w:szCs w:val="18"/>
                <w:color w:val="auto"/>
              </w:rPr>
              <w:t>Noncontrolling interest</w:t>
            </w:r>
          </w:p>
        </w:tc>
        <w:tc>
          <w:tcPr>
            <w:tcW w:w="6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1"/>
                <w:szCs w:val="21"/>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68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6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equity</w:t>
            </w:r>
          </w:p>
        </w:tc>
        <w:tc>
          <w:tcPr>
            <w:tcW w:w="6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621.3</w:t>
            </w:r>
          </w:p>
        </w:tc>
        <w:tc>
          <w:tcPr>
            <w:tcW w:w="32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135.0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93.7</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(228.7)</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621.3</w:t>
            </w:r>
          </w:p>
        </w:tc>
        <w:tc>
          <w:tcPr>
            <w:tcW w:w="0" w:type="dxa"/>
            <w:vAlign w:val="bottom"/>
          </w:tcPr>
          <w:p>
            <w:pPr>
              <w:spacing w:after="0"/>
              <w:rPr>
                <w:sz w:val="1"/>
                <w:szCs w:val="1"/>
                <w:color w:val="auto"/>
              </w:rPr>
            </w:pPr>
          </w:p>
        </w:tc>
      </w:tr>
      <w:tr>
        <w:trPr>
          <w:trHeight w:val="237"/>
        </w:trPr>
        <w:tc>
          <w:tcPr>
            <w:tcW w:w="3680" w:type="dxa"/>
            <w:vAlign w:val="bottom"/>
          </w:tcPr>
          <w:p>
            <w:pPr>
              <w:ind w:left="720"/>
              <w:spacing w:after="0"/>
              <w:rPr>
                <w:sz w:val="20"/>
                <w:szCs w:val="20"/>
                <w:color w:val="auto"/>
              </w:rPr>
            </w:pPr>
            <w:r>
              <w:rPr>
                <w:rFonts w:ascii="Arial" w:cs="Arial" w:eastAsia="Arial" w:hAnsi="Arial"/>
                <w:sz w:val="18"/>
                <w:szCs w:val="18"/>
                <w:color w:val="auto"/>
                <w:w w:val="93"/>
              </w:rPr>
              <w:t>Total liabilities and shareholders’ equity</w:t>
            </w:r>
          </w:p>
        </w:tc>
        <w:tc>
          <w:tcPr>
            <w:tcW w:w="6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1,497.5</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1,688.5</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472.8</w:t>
            </w:r>
          </w:p>
        </w:tc>
        <w:tc>
          <w:tcPr>
            <w:tcW w:w="100" w:type="dxa"/>
            <w:vAlign w:val="bottom"/>
          </w:tcPr>
          <w:p>
            <w:pPr>
              <w:spacing w:after="0"/>
              <w:rPr>
                <w:sz w:val="20"/>
                <w:szCs w:val="20"/>
                <w:color w:val="auto"/>
              </w:rPr>
            </w:pPr>
          </w:p>
        </w:tc>
        <w:tc>
          <w:tcPr>
            <w:tcW w:w="5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(1,499.4)</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2,159.4</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2"/>
        </w:trPr>
        <w:tc>
          <w:tcPr>
            <w:tcW w:w="3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20" w:type="dxa"/>
            <w:vAlign w:val="bottom"/>
            <w:gridSpan w:val="2"/>
          </w:tcPr>
          <w:p>
            <w:pPr>
              <w:jc w:val="center"/>
              <w:spacing w:after="0"/>
              <w:rPr>
                <w:sz w:val="20"/>
                <w:szCs w:val="20"/>
                <w:color w:val="auto"/>
              </w:rPr>
            </w:pPr>
            <w:r>
              <w:rPr>
                <w:rFonts w:ascii="Arial" w:cs="Arial" w:eastAsia="Arial" w:hAnsi="Arial"/>
                <w:sz w:val="18"/>
                <w:szCs w:val="18"/>
                <w:color w:val="auto"/>
                <w:w w:val="89"/>
              </w:rPr>
              <w:t>31</w:t>
            </w: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31" w:name="page32"/>
    <w:bookmarkEnd w:id="31"/>
    <w:p>
      <w:pPr>
        <w:spacing w:after="0"/>
        <w:rPr>
          <w:rFonts w:ascii="Arial" w:cs="Arial" w:eastAsia="Arial" w:hAnsi="Arial"/>
          <w:sz w:val="18"/>
          <w:szCs w:val="18"/>
          <w:color w:val="FFFFFF"/>
        </w:rPr>
      </w:pPr>
      <w:hyperlink w:anchor="page1">
        <w:r>
          <w:rPr>
            <w:rFonts w:ascii="Arial" w:cs="Arial" w:eastAsia="Arial" w:hAnsi="Arial"/>
            <w:sz w:val="18"/>
            <w:szCs w:val="18"/>
            <w:color w:val="FFFF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September 30, 2014</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(Unaudited)</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vMerge w:val="restart"/>
          </w:tcPr>
          <w:p>
            <w:pPr>
              <w:jc w:val="right"/>
              <w:ind w:right="311"/>
              <w:spacing w:after="0"/>
              <w:rPr>
                <w:sz w:val="20"/>
                <w:szCs w:val="20"/>
                <w:color w:val="auto"/>
              </w:rPr>
            </w:pPr>
            <w:r>
              <w:rPr>
                <w:rFonts w:ascii="Arial" w:cs="Arial" w:eastAsia="Arial" w:hAnsi="Arial"/>
                <w:sz w:val="14"/>
                <w:szCs w:val="14"/>
                <w:b w:val="1"/>
                <w:bCs w:val="1"/>
                <w:color w:val="auto"/>
              </w:rPr>
              <w:t>Parent</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gridSpan w:val="2"/>
          </w:tcPr>
          <w:p>
            <w:pPr>
              <w:ind w:left="60"/>
              <w:spacing w:after="0"/>
              <w:rPr>
                <w:sz w:val="20"/>
                <w:szCs w:val="20"/>
                <w:color w:val="auto"/>
              </w:rPr>
            </w:pPr>
            <w:r>
              <w:rPr>
                <w:rFonts w:ascii="Arial" w:cs="Arial" w:eastAsia="Arial" w:hAnsi="Arial"/>
                <w:sz w:val="14"/>
                <w:szCs w:val="14"/>
                <w:b w:val="1"/>
                <w:bCs w:val="1"/>
                <w:color w:val="auto"/>
              </w:rPr>
              <w:t>Subsidiary</w:t>
            </w:r>
          </w:p>
        </w:tc>
        <w:tc>
          <w:tcPr>
            <w:tcW w:w="180" w:type="dxa"/>
            <w:vAlign w:val="bottom"/>
          </w:tcPr>
          <w:p>
            <w:pPr>
              <w:spacing w:after="0"/>
              <w:rPr>
                <w:sz w:val="14"/>
                <w:szCs w:val="14"/>
                <w:color w:val="auto"/>
              </w:rPr>
            </w:pPr>
          </w:p>
        </w:tc>
        <w:tc>
          <w:tcPr>
            <w:tcW w:w="1160" w:type="dxa"/>
            <w:vAlign w:val="bottom"/>
            <w:gridSpan w:val="2"/>
          </w:tcPr>
          <w:p>
            <w:pPr>
              <w:ind w:left="280"/>
              <w:spacing w:after="0"/>
              <w:rPr>
                <w:sz w:val="20"/>
                <w:szCs w:val="20"/>
                <w:color w:val="auto"/>
              </w:rPr>
            </w:pPr>
            <w:r>
              <w:rPr>
                <w:rFonts w:ascii="Arial" w:cs="Arial" w:eastAsia="Arial" w:hAnsi="Arial"/>
                <w:sz w:val="14"/>
                <w:szCs w:val="14"/>
                <w:b w:val="1"/>
                <w:bCs w:val="1"/>
                <w:color w:val="auto"/>
              </w:rPr>
              <w:t>Non-</w:t>
            </w:r>
          </w:p>
        </w:tc>
        <w:tc>
          <w:tcPr>
            <w:tcW w:w="17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2"/>
              </w:rPr>
              <w:t>Eliminations/Consolidations</w:t>
            </w:r>
          </w:p>
        </w:tc>
        <w:tc>
          <w:tcPr>
            <w:tcW w:w="12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92"/>
        </w:trPr>
        <w:tc>
          <w:tcPr>
            <w:tcW w:w="36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w w:val="98"/>
              </w:rPr>
              <w:t>Guarantors</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Guarantors</w:t>
            </w:r>
          </w:p>
        </w:tc>
        <w:tc>
          <w:tcPr>
            <w:tcW w:w="100" w:type="dxa"/>
            <w:vAlign w:val="bottom"/>
          </w:tcPr>
          <w:p>
            <w:pPr>
              <w:spacing w:after="0"/>
              <w:rPr>
                <w:sz w:val="16"/>
                <w:szCs w:val="16"/>
                <w:color w:val="auto"/>
              </w:rPr>
            </w:pPr>
          </w:p>
        </w:tc>
        <w:tc>
          <w:tcPr>
            <w:tcW w:w="1780" w:type="dxa"/>
            <w:vAlign w:val="bottom"/>
            <w:tcBorders>
              <w:bottom w:val="single" w:sz="8" w:color="auto"/>
            </w:tcBorders>
            <w:gridSpan w:val="2"/>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6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300" w:type="dxa"/>
            <w:vAlign w:val="bottom"/>
            <w:gridSpan w:val="4"/>
          </w:tcPr>
          <w:p>
            <w:pPr>
              <w:jc w:val="center"/>
              <w:spacing w:after="0"/>
              <w:rPr>
                <w:sz w:val="20"/>
                <w:szCs w:val="20"/>
                <w:color w:val="auto"/>
              </w:rPr>
            </w:pPr>
            <w:r>
              <w:rPr>
                <w:rFonts w:ascii="Arial" w:cs="Arial" w:eastAsia="Arial" w:hAnsi="Arial"/>
                <w:sz w:val="18"/>
                <w:szCs w:val="18"/>
                <w:b w:val="1"/>
                <w:bCs w:val="1"/>
                <w:color w:val="auto"/>
                <w:w w:val="91"/>
              </w:rPr>
              <w:t>ASSETS</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
        </w:trPr>
        <w:tc>
          <w:tcPr>
            <w:tcW w:w="3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6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80" w:type="dxa"/>
            <w:vAlign w:val="bottom"/>
          </w:tcPr>
          <w:p>
            <w:pPr>
              <w:ind w:left="380"/>
              <w:spacing w:after="0"/>
              <w:rPr>
                <w:sz w:val="20"/>
                <w:szCs w:val="20"/>
                <w:color w:val="auto"/>
              </w:rPr>
            </w:pPr>
            <w:r>
              <w:rPr>
                <w:rFonts w:ascii="Arial" w:cs="Arial" w:eastAsia="Arial" w:hAnsi="Arial"/>
                <w:sz w:val="18"/>
                <w:szCs w:val="18"/>
                <w:color w:val="auto"/>
              </w:rPr>
              <w:t>Cash and cash equivalents</w:t>
            </w:r>
          </w:p>
        </w:tc>
        <w:tc>
          <w:tcPr>
            <w:tcW w:w="8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center"/>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23.1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66.2</w:t>
            </w:r>
          </w:p>
        </w:tc>
        <w:tc>
          <w:tcPr>
            <w:tcW w:w="100" w:type="dxa"/>
            <w:vAlign w:val="bottom"/>
          </w:tcPr>
          <w:p>
            <w:pPr>
              <w:spacing w:after="0"/>
              <w:rPr>
                <w:sz w:val="21"/>
                <w:szCs w:val="21"/>
                <w:color w:val="auto"/>
              </w:rPr>
            </w:pPr>
          </w:p>
        </w:tc>
        <w:tc>
          <w:tcPr>
            <w:tcW w:w="580" w:type="dxa"/>
            <w:vAlign w:val="bottom"/>
          </w:tcPr>
          <w:p>
            <w:pPr>
              <w:ind w:left="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89.3</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receivable, net</w:t>
            </w:r>
          </w:p>
        </w:tc>
        <w:tc>
          <w:tcPr>
            <w:tcW w:w="6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124.6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99.4</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224.0</w:t>
            </w:r>
          </w:p>
        </w:tc>
        <w:tc>
          <w:tcPr>
            <w:tcW w:w="0" w:type="dxa"/>
            <w:vAlign w:val="bottom"/>
          </w:tcPr>
          <w:p>
            <w:pPr>
              <w:spacing w:after="0"/>
              <w:rPr>
                <w:sz w:val="1"/>
                <w:szCs w:val="1"/>
                <w:color w:val="auto"/>
              </w:rPr>
            </w:pPr>
          </w:p>
        </w:tc>
      </w:tr>
      <w:tr>
        <w:trPr>
          <w:trHeight w:val="243"/>
        </w:trPr>
        <w:tc>
          <w:tcPr>
            <w:tcW w:w="3680" w:type="dxa"/>
            <w:vAlign w:val="bottom"/>
          </w:tcPr>
          <w:p>
            <w:pPr>
              <w:ind w:left="380"/>
              <w:spacing w:after="0"/>
              <w:rPr>
                <w:sz w:val="20"/>
                <w:szCs w:val="20"/>
                <w:color w:val="auto"/>
              </w:rPr>
            </w:pPr>
            <w:r>
              <w:rPr>
                <w:rFonts w:ascii="Arial" w:cs="Arial" w:eastAsia="Arial" w:hAnsi="Arial"/>
                <w:sz w:val="18"/>
                <w:szCs w:val="18"/>
                <w:color w:val="auto"/>
              </w:rPr>
              <w:t>Accounts receivable pledged</w:t>
            </w:r>
          </w:p>
        </w:tc>
        <w:tc>
          <w:tcPr>
            <w:tcW w:w="6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113.7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1"/>
                <w:szCs w:val="21"/>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113.7</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Inventories</w:t>
            </w:r>
          </w:p>
        </w:tc>
        <w:tc>
          <w:tcPr>
            <w:tcW w:w="6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282.1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103.0</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385.1</w:t>
            </w:r>
          </w:p>
        </w:tc>
        <w:tc>
          <w:tcPr>
            <w:tcW w:w="0" w:type="dxa"/>
            <w:vAlign w:val="bottom"/>
          </w:tcPr>
          <w:p>
            <w:pPr>
              <w:spacing w:after="0"/>
              <w:rPr>
                <w:sz w:val="1"/>
                <w:szCs w:val="1"/>
                <w:color w:val="auto"/>
              </w:rPr>
            </w:pPr>
          </w:p>
        </w:tc>
      </w:tr>
      <w:tr>
        <w:trPr>
          <w:trHeight w:val="243"/>
        </w:trPr>
        <w:tc>
          <w:tcPr>
            <w:tcW w:w="3680" w:type="dxa"/>
            <w:vAlign w:val="bottom"/>
          </w:tcPr>
          <w:p>
            <w:pPr>
              <w:ind w:left="380"/>
              <w:spacing w:after="0"/>
              <w:rPr>
                <w:sz w:val="20"/>
                <w:szCs w:val="20"/>
                <w:color w:val="auto"/>
              </w:rPr>
            </w:pPr>
            <w:r>
              <w:rPr>
                <w:rFonts w:ascii="Arial" w:cs="Arial" w:eastAsia="Arial" w:hAnsi="Arial"/>
                <w:sz w:val="18"/>
                <w:szCs w:val="18"/>
                <w:color w:val="auto"/>
              </w:rPr>
              <w:t>Prepaid and other current assets</w:t>
            </w:r>
          </w:p>
        </w:tc>
        <w:tc>
          <w:tcPr>
            <w:tcW w:w="6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85.0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37.9</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122.9</w:t>
            </w:r>
          </w:p>
        </w:tc>
        <w:tc>
          <w:tcPr>
            <w:tcW w:w="0" w:type="dxa"/>
            <w:vAlign w:val="bottom"/>
          </w:tcPr>
          <w:p>
            <w:pPr>
              <w:spacing w:after="0"/>
              <w:rPr>
                <w:sz w:val="1"/>
                <w:szCs w:val="1"/>
                <w:color w:val="auto"/>
              </w:rPr>
            </w:pPr>
          </w:p>
        </w:tc>
      </w:tr>
      <w:tr>
        <w:trPr>
          <w:trHeight w:val="27"/>
        </w:trPr>
        <w:tc>
          <w:tcPr>
            <w:tcW w:w="368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current assets</w:t>
            </w:r>
          </w:p>
        </w:tc>
        <w:tc>
          <w:tcPr>
            <w:tcW w:w="6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628.5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306.5</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935.0</w:t>
            </w:r>
          </w:p>
        </w:tc>
        <w:tc>
          <w:tcPr>
            <w:tcW w:w="0" w:type="dxa"/>
            <w:vAlign w:val="bottom"/>
          </w:tcPr>
          <w:p>
            <w:pPr>
              <w:spacing w:after="0"/>
              <w:rPr>
                <w:sz w:val="1"/>
                <w:szCs w:val="1"/>
                <w:color w:val="auto"/>
              </w:rPr>
            </w:pPr>
          </w:p>
        </w:tc>
      </w:tr>
      <w:tr>
        <w:trPr>
          <w:trHeight w:val="243"/>
        </w:trPr>
        <w:tc>
          <w:tcPr>
            <w:tcW w:w="3680" w:type="dxa"/>
            <w:vAlign w:val="bottom"/>
          </w:tcPr>
          <w:p>
            <w:pPr>
              <w:ind w:left="40"/>
              <w:spacing w:after="0"/>
              <w:rPr>
                <w:sz w:val="20"/>
                <w:szCs w:val="20"/>
                <w:color w:val="auto"/>
              </w:rPr>
            </w:pPr>
            <w:r>
              <w:rPr>
                <w:rFonts w:ascii="Arial" w:cs="Arial" w:eastAsia="Arial" w:hAnsi="Arial"/>
                <w:sz w:val="18"/>
                <w:szCs w:val="18"/>
                <w:color w:val="auto"/>
              </w:rPr>
              <w:t>Property, plant and equipment, net</w:t>
            </w:r>
          </w:p>
        </w:tc>
        <w:tc>
          <w:tcPr>
            <w:tcW w:w="6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369.5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67.5</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437.0</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6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344.3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6.6</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350.9</w:t>
            </w:r>
          </w:p>
        </w:tc>
        <w:tc>
          <w:tcPr>
            <w:tcW w:w="0" w:type="dxa"/>
            <w:vAlign w:val="bottom"/>
          </w:tcPr>
          <w:p>
            <w:pPr>
              <w:spacing w:after="0"/>
              <w:rPr>
                <w:sz w:val="1"/>
                <w:szCs w:val="1"/>
                <w:color w:val="auto"/>
              </w:rPr>
            </w:pPr>
          </w:p>
        </w:tc>
      </w:tr>
      <w:tr>
        <w:trPr>
          <w:trHeight w:val="243"/>
        </w:trPr>
        <w:tc>
          <w:tcPr>
            <w:tcW w:w="3680" w:type="dxa"/>
            <w:vAlign w:val="bottom"/>
          </w:tcPr>
          <w:p>
            <w:pPr>
              <w:ind w:left="40"/>
              <w:spacing w:after="0"/>
              <w:rPr>
                <w:sz w:val="20"/>
                <w:szCs w:val="20"/>
                <w:color w:val="auto"/>
              </w:rPr>
            </w:pPr>
            <w:r>
              <w:rPr>
                <w:rFonts w:ascii="Arial" w:cs="Arial" w:eastAsia="Arial" w:hAnsi="Arial"/>
                <w:sz w:val="18"/>
                <w:szCs w:val="18"/>
                <w:color w:val="auto"/>
              </w:rPr>
              <w:t>Intangible assets, net</w:t>
            </w:r>
          </w:p>
        </w:tc>
        <w:tc>
          <w:tcPr>
            <w:tcW w:w="6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256.8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45.9</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302.7</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6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28.5</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32.7</w:t>
            </w:r>
          </w:p>
        </w:tc>
        <w:tc>
          <w:tcPr>
            <w:tcW w:w="0" w:type="dxa"/>
            <w:vAlign w:val="bottom"/>
          </w:tcPr>
          <w:p>
            <w:pPr>
              <w:spacing w:after="0"/>
              <w:rPr>
                <w:sz w:val="1"/>
                <w:szCs w:val="1"/>
                <w:color w:val="auto"/>
              </w:rPr>
            </w:pPr>
          </w:p>
        </w:tc>
      </w:tr>
      <w:tr>
        <w:trPr>
          <w:trHeight w:val="243"/>
        </w:trPr>
        <w:tc>
          <w:tcPr>
            <w:tcW w:w="3680" w:type="dxa"/>
            <w:vAlign w:val="bottom"/>
          </w:tcPr>
          <w:p>
            <w:pPr>
              <w:ind w:left="40"/>
              <w:spacing w:after="0"/>
              <w:rPr>
                <w:sz w:val="20"/>
                <w:szCs w:val="20"/>
                <w:color w:val="auto"/>
              </w:rPr>
            </w:pPr>
            <w:r>
              <w:rPr>
                <w:rFonts w:ascii="Arial" w:cs="Arial" w:eastAsia="Arial" w:hAnsi="Arial"/>
                <w:sz w:val="18"/>
                <w:szCs w:val="18"/>
                <w:color w:val="auto"/>
              </w:rPr>
              <w:t>Equity investment in subsidiaries</w:t>
            </w:r>
          </w:p>
        </w:tc>
        <w:tc>
          <w:tcPr>
            <w:tcW w:w="6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368.3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(368.3)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Intercompany assets</w:t>
            </w:r>
          </w:p>
        </w:tc>
        <w:tc>
          <w:tcPr>
            <w:tcW w:w="6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878.8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(878.8)</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3680" w:type="dxa"/>
            <w:vAlign w:val="bottom"/>
          </w:tcPr>
          <w:p>
            <w:pPr>
              <w:ind w:left="720"/>
              <w:spacing w:after="0"/>
              <w:rPr>
                <w:sz w:val="20"/>
                <w:szCs w:val="20"/>
                <w:color w:val="auto"/>
              </w:rPr>
            </w:pPr>
            <w:r>
              <w:rPr>
                <w:rFonts w:ascii="Arial" w:cs="Arial" w:eastAsia="Arial" w:hAnsi="Arial"/>
                <w:sz w:val="18"/>
                <w:szCs w:val="18"/>
                <w:color w:val="auto"/>
              </w:rPr>
              <w:t>Total assets</w:t>
            </w:r>
          </w:p>
        </w:tc>
        <w:tc>
          <w:tcPr>
            <w:tcW w:w="6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1,270.9</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1,613.8</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455.0</w:t>
            </w:r>
          </w:p>
        </w:tc>
        <w:tc>
          <w:tcPr>
            <w:tcW w:w="100" w:type="dxa"/>
            <w:vAlign w:val="bottom"/>
          </w:tcPr>
          <w:p>
            <w:pPr>
              <w:spacing w:after="0"/>
              <w:rPr>
                <w:sz w:val="20"/>
                <w:szCs w:val="20"/>
                <w:color w:val="auto"/>
              </w:rPr>
            </w:pPr>
          </w:p>
        </w:tc>
        <w:tc>
          <w:tcPr>
            <w:tcW w:w="5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(1,281.4)</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2,058.3</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320" w:type="dxa"/>
            <w:vAlign w:val="bottom"/>
            <w:gridSpan w:val="3"/>
          </w:tcPr>
          <w:p>
            <w:pPr>
              <w:spacing w:after="0"/>
              <w:rPr>
                <w:sz w:val="2"/>
                <w:szCs w:val="2"/>
                <w:color w:val="auto"/>
              </w:rPr>
            </w:pPr>
          </w:p>
        </w:tc>
        <w:tc>
          <w:tcPr>
            <w:tcW w:w="1240" w:type="dxa"/>
            <w:vAlign w:val="bottom"/>
            <w:gridSpan w:val="2"/>
          </w:tcPr>
          <w:p>
            <w:pPr>
              <w:spacing w:after="0"/>
              <w:rPr>
                <w:sz w:val="2"/>
                <w:szCs w:val="2"/>
                <w:color w:val="auto"/>
              </w:rPr>
            </w:pPr>
          </w:p>
        </w:tc>
        <w:tc>
          <w:tcPr>
            <w:tcW w:w="134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3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680" w:type="dxa"/>
            <w:vAlign w:val="bottom"/>
            <w:tcBorders>
              <w:bottom w:val="single" w:sz="8" w:color="CCEEFF"/>
            </w:tcBorders>
            <w:shd w:val="clear" w:color="auto" w:fill="CCEEFF"/>
          </w:tcPr>
          <w:p>
            <w:pPr>
              <w:spacing w:after="0"/>
              <w:rPr>
                <w:sz w:val="21"/>
                <w:szCs w:val="21"/>
                <w:color w:val="auto"/>
              </w:rPr>
            </w:pPr>
          </w:p>
        </w:tc>
        <w:tc>
          <w:tcPr>
            <w:tcW w:w="4620" w:type="dxa"/>
            <w:vAlign w:val="bottom"/>
            <w:tcBorders>
              <w:bottom w:val="single" w:sz="8" w:color="CCEEFF"/>
            </w:tcBorders>
            <w:gridSpan w:val="10"/>
            <w:shd w:val="clear" w:color="auto" w:fill="CCEEFF"/>
          </w:tcPr>
          <w:p>
            <w:pPr>
              <w:jc w:val="center"/>
              <w:ind w:right="560"/>
              <w:spacing w:after="0"/>
              <w:rPr>
                <w:sz w:val="20"/>
                <w:szCs w:val="20"/>
                <w:color w:val="auto"/>
              </w:rPr>
            </w:pPr>
            <w:r>
              <w:rPr>
                <w:rFonts w:ascii="Arial" w:cs="Arial" w:eastAsia="Arial" w:hAnsi="Arial"/>
                <w:sz w:val="18"/>
                <w:szCs w:val="18"/>
                <w:b w:val="1"/>
                <w:bCs w:val="1"/>
                <w:color w:val="auto"/>
              </w:rPr>
              <w:t>LIABILITIES AND SHAREHOLDERS’ EQUITY</w:t>
            </w:r>
          </w:p>
        </w:tc>
        <w:tc>
          <w:tcPr>
            <w:tcW w:w="5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8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6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Current portion of debt</w:t>
            </w:r>
          </w:p>
        </w:tc>
        <w:tc>
          <w:tcPr>
            <w:tcW w:w="88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85.8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91.9</w:t>
            </w:r>
          </w:p>
        </w:tc>
        <w:tc>
          <w:tcPr>
            <w:tcW w:w="0" w:type="dxa"/>
            <w:vAlign w:val="bottom"/>
          </w:tcPr>
          <w:p>
            <w:pPr>
              <w:spacing w:after="0"/>
              <w:rPr>
                <w:sz w:val="1"/>
                <w:szCs w:val="1"/>
                <w:color w:val="auto"/>
              </w:rPr>
            </w:pPr>
          </w:p>
        </w:tc>
      </w:tr>
      <w:tr>
        <w:trPr>
          <w:trHeight w:val="243"/>
        </w:trPr>
        <w:tc>
          <w:tcPr>
            <w:tcW w:w="3680" w:type="dxa"/>
            <w:vAlign w:val="bottom"/>
          </w:tcPr>
          <w:p>
            <w:pPr>
              <w:ind w:left="380"/>
              <w:spacing w:after="0"/>
              <w:rPr>
                <w:sz w:val="20"/>
                <w:szCs w:val="20"/>
                <w:color w:val="auto"/>
              </w:rPr>
            </w:pPr>
            <w:r>
              <w:rPr>
                <w:rFonts w:ascii="Arial" w:cs="Arial" w:eastAsia="Arial" w:hAnsi="Arial"/>
                <w:sz w:val="18"/>
                <w:szCs w:val="18"/>
                <w:color w:val="auto"/>
              </w:rPr>
              <w:t>Accounts payable</w:t>
            </w:r>
          </w:p>
        </w:tc>
        <w:tc>
          <w:tcPr>
            <w:tcW w:w="6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134.3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59.0</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193.3</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current liabilities</w:t>
            </w:r>
          </w:p>
        </w:tc>
        <w:tc>
          <w:tcPr>
            <w:tcW w:w="6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161.8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81.0</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259.5</w:t>
            </w:r>
          </w:p>
        </w:tc>
        <w:tc>
          <w:tcPr>
            <w:tcW w:w="0" w:type="dxa"/>
            <w:vAlign w:val="bottom"/>
          </w:tcPr>
          <w:p>
            <w:pPr>
              <w:spacing w:after="0"/>
              <w:rPr>
                <w:sz w:val="1"/>
                <w:szCs w:val="1"/>
                <w:color w:val="auto"/>
              </w:rPr>
            </w:pPr>
          </w:p>
        </w:tc>
      </w:tr>
      <w:tr>
        <w:trPr>
          <w:trHeight w:val="237"/>
        </w:trPr>
        <w:tc>
          <w:tcPr>
            <w:tcW w:w="3680" w:type="dxa"/>
            <w:vAlign w:val="bottom"/>
          </w:tcPr>
          <w:p>
            <w:pPr>
              <w:ind w:left="720"/>
              <w:spacing w:after="0"/>
              <w:rPr>
                <w:sz w:val="20"/>
                <w:szCs w:val="20"/>
                <w:color w:val="auto"/>
              </w:rPr>
            </w:pPr>
            <w:r>
              <w:rPr>
                <w:rFonts w:ascii="Arial" w:cs="Arial" w:eastAsia="Arial" w:hAnsi="Arial"/>
                <w:sz w:val="18"/>
                <w:szCs w:val="18"/>
                <w:color w:val="auto"/>
              </w:rPr>
              <w:t>Total current liabilities</w:t>
            </w:r>
          </w:p>
        </w:tc>
        <w:tc>
          <w:tcPr>
            <w:tcW w:w="6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16.7</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381.9</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146.1</w:t>
            </w:r>
          </w:p>
        </w:tc>
        <w:tc>
          <w:tcPr>
            <w:tcW w:w="10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544.7</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6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681.8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480.0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12.4</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(481.8)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692.4</w:t>
            </w:r>
          </w:p>
        </w:tc>
        <w:tc>
          <w:tcPr>
            <w:tcW w:w="0" w:type="dxa"/>
            <w:vAlign w:val="bottom"/>
          </w:tcPr>
          <w:p>
            <w:pPr>
              <w:spacing w:after="0"/>
              <w:rPr>
                <w:sz w:val="1"/>
                <w:szCs w:val="1"/>
                <w:color w:val="auto"/>
              </w:rPr>
            </w:pPr>
          </w:p>
        </w:tc>
      </w:tr>
      <w:tr>
        <w:trPr>
          <w:trHeight w:val="243"/>
        </w:trPr>
        <w:tc>
          <w:tcPr>
            <w:tcW w:w="3680" w:type="dxa"/>
            <w:vAlign w:val="bottom"/>
          </w:tcPr>
          <w:p>
            <w:pPr>
              <w:ind w:left="40"/>
              <w:spacing w:after="0"/>
              <w:rPr>
                <w:sz w:val="20"/>
                <w:szCs w:val="20"/>
                <w:color w:val="auto"/>
              </w:rPr>
            </w:pPr>
            <w:r>
              <w:rPr>
                <w:rFonts w:ascii="Arial" w:cs="Arial" w:eastAsia="Arial" w:hAnsi="Arial"/>
                <w:sz w:val="18"/>
                <w:szCs w:val="18"/>
                <w:color w:val="auto"/>
              </w:rPr>
              <w:t>Other liabilities</w:t>
            </w:r>
          </w:p>
        </w:tc>
        <w:tc>
          <w:tcPr>
            <w:tcW w:w="6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235.7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47.4</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(34.2)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254.0</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investment in subsidiaries</w:t>
            </w:r>
          </w:p>
        </w:tc>
        <w:tc>
          <w:tcPr>
            <w:tcW w:w="6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106.5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680" w:type="dxa"/>
            <w:vAlign w:val="bottom"/>
          </w:tcPr>
          <w:p>
            <w:pPr>
              <w:ind w:left="40"/>
              <w:spacing w:after="0"/>
              <w:rPr>
                <w:sz w:val="20"/>
                <w:szCs w:val="20"/>
                <w:color w:val="auto"/>
              </w:rPr>
            </w:pPr>
            <w:r>
              <w:rPr>
                <w:rFonts w:ascii="Arial" w:cs="Arial" w:eastAsia="Arial" w:hAnsi="Arial"/>
                <w:sz w:val="18"/>
                <w:szCs w:val="18"/>
                <w:color w:val="auto"/>
              </w:rPr>
              <w:t>Intercompany liabilities</w:t>
            </w:r>
          </w:p>
        </w:tc>
        <w:tc>
          <w:tcPr>
            <w:tcW w:w="6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303.5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93.5</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(397.0)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68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liabilities</w:t>
            </w:r>
          </w:p>
        </w:tc>
        <w:tc>
          <w:tcPr>
            <w:tcW w:w="6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703.6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1,507.6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299.4</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(1,019.5)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1,491.1</w:t>
            </w:r>
          </w:p>
        </w:tc>
        <w:tc>
          <w:tcPr>
            <w:tcW w:w="0" w:type="dxa"/>
            <w:vAlign w:val="bottom"/>
          </w:tcPr>
          <w:p>
            <w:pPr>
              <w:spacing w:after="0"/>
              <w:rPr>
                <w:sz w:val="1"/>
                <w:szCs w:val="1"/>
                <w:color w:val="auto"/>
              </w:rPr>
            </w:pPr>
          </w:p>
        </w:tc>
      </w:tr>
      <w:tr>
        <w:trPr>
          <w:trHeight w:val="243"/>
        </w:trPr>
        <w:tc>
          <w:tcPr>
            <w:tcW w:w="3680" w:type="dxa"/>
            <w:vAlign w:val="bottom"/>
          </w:tcPr>
          <w:p>
            <w:pPr>
              <w:ind w:left="40"/>
              <w:spacing w:after="0"/>
              <w:rPr>
                <w:sz w:val="20"/>
                <w:szCs w:val="20"/>
                <w:color w:val="auto"/>
              </w:rPr>
            </w:pPr>
            <w:r>
              <w:rPr>
                <w:rFonts w:ascii="Arial" w:cs="Arial" w:eastAsia="Arial" w:hAnsi="Arial"/>
                <w:sz w:val="18"/>
                <w:szCs w:val="18"/>
                <w:color w:val="auto"/>
                <w:w w:val="98"/>
              </w:rPr>
              <w:t>Total shareholders' equity - controlling interest</w:t>
            </w:r>
          </w:p>
        </w:tc>
        <w:tc>
          <w:tcPr>
            <w:tcW w:w="6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553.8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92.7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155.6</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(248.4)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553.7</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Noncontrolling interest</w:t>
            </w:r>
          </w:p>
        </w:tc>
        <w:tc>
          <w:tcPr>
            <w:tcW w:w="6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37"/>
        </w:trPr>
        <w:tc>
          <w:tcPr>
            <w:tcW w:w="3680" w:type="dxa"/>
            <w:vAlign w:val="bottom"/>
          </w:tcPr>
          <w:p>
            <w:pPr>
              <w:ind w:left="720"/>
              <w:spacing w:after="0"/>
              <w:rPr>
                <w:sz w:val="20"/>
                <w:szCs w:val="20"/>
                <w:color w:val="auto"/>
              </w:rPr>
            </w:pPr>
            <w:r>
              <w:rPr>
                <w:rFonts w:ascii="Arial" w:cs="Arial" w:eastAsia="Arial" w:hAnsi="Arial"/>
                <w:sz w:val="18"/>
                <w:szCs w:val="18"/>
                <w:color w:val="auto"/>
              </w:rPr>
              <w:t>Total equity</w:t>
            </w:r>
          </w:p>
        </w:tc>
        <w:tc>
          <w:tcPr>
            <w:tcW w:w="6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567.3</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106.2</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155.6</w:t>
            </w:r>
          </w:p>
        </w:tc>
        <w:tc>
          <w:tcPr>
            <w:tcW w:w="100" w:type="dxa"/>
            <w:vAlign w:val="bottom"/>
          </w:tcPr>
          <w:p>
            <w:pPr>
              <w:spacing w:after="0"/>
              <w:rPr>
                <w:sz w:val="20"/>
                <w:szCs w:val="20"/>
                <w:color w:val="auto"/>
              </w:rPr>
            </w:pPr>
          </w:p>
        </w:tc>
        <w:tc>
          <w:tcPr>
            <w:tcW w:w="5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(261.9)</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567.2</w:t>
            </w:r>
          </w:p>
        </w:tc>
        <w:tc>
          <w:tcPr>
            <w:tcW w:w="0" w:type="dxa"/>
            <w:vAlign w:val="bottom"/>
          </w:tcPr>
          <w:p>
            <w:pPr>
              <w:spacing w:after="0"/>
              <w:rPr>
                <w:sz w:val="1"/>
                <w:szCs w:val="1"/>
                <w:color w:val="auto"/>
              </w:rPr>
            </w:pPr>
          </w:p>
        </w:tc>
      </w:tr>
      <w:tr>
        <w:trPr>
          <w:trHeight w:val="27"/>
        </w:trPr>
        <w:tc>
          <w:tcPr>
            <w:tcW w:w="368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6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w w:val="93"/>
              </w:rPr>
              <w:t>Total liabilities and shareholders’ equity</w:t>
            </w:r>
          </w:p>
        </w:tc>
        <w:tc>
          <w:tcPr>
            <w:tcW w:w="88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1,270.9</w:t>
            </w:r>
          </w:p>
        </w:tc>
        <w:tc>
          <w:tcPr>
            <w:tcW w:w="32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1,613.8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455.0</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(1,281.4)</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2,058.3</w:t>
            </w:r>
          </w:p>
        </w:tc>
        <w:tc>
          <w:tcPr>
            <w:tcW w:w="0" w:type="dxa"/>
            <w:vAlign w:val="bottom"/>
          </w:tcPr>
          <w:p>
            <w:pPr>
              <w:spacing w:after="0"/>
              <w:rPr>
                <w:sz w:val="1"/>
                <w:szCs w:val="1"/>
                <w:color w:val="auto"/>
              </w:rPr>
            </w:pPr>
          </w:p>
        </w:tc>
      </w:tr>
      <w:tr>
        <w:trPr>
          <w:trHeight w:val="20"/>
        </w:trPr>
        <w:tc>
          <w:tcPr>
            <w:tcW w:w="36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3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20" w:type="dxa"/>
            <w:vAlign w:val="bottom"/>
            <w:gridSpan w:val="2"/>
          </w:tcPr>
          <w:p>
            <w:pPr>
              <w:jc w:val="center"/>
              <w:spacing w:after="0"/>
              <w:rPr>
                <w:sz w:val="20"/>
                <w:szCs w:val="20"/>
                <w:color w:val="auto"/>
              </w:rPr>
            </w:pPr>
            <w:r>
              <w:rPr>
                <w:rFonts w:ascii="Arial" w:cs="Arial" w:eastAsia="Arial" w:hAnsi="Arial"/>
                <w:sz w:val="18"/>
                <w:szCs w:val="18"/>
                <w:color w:val="auto"/>
                <w:w w:val="89"/>
              </w:rPr>
              <w:t>32</w:t>
            </w: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32" w:name="page33"/>
    <w:bookmarkEnd w:id="32"/>
    <w:p>
      <w:pPr>
        <w:spacing w:after="0"/>
        <w:rPr>
          <w:rFonts w:ascii="Arial" w:cs="Arial" w:eastAsia="Arial" w:hAnsi="Arial"/>
          <w:sz w:val="18"/>
          <w:szCs w:val="18"/>
          <w:color w:val="FFFFFF"/>
        </w:rPr>
      </w:pPr>
      <w:hyperlink w:anchor="page1">
        <w:r>
          <w:rPr>
            <w:rFonts w:ascii="Arial" w:cs="Arial" w:eastAsia="Arial" w:hAnsi="Arial"/>
            <w:sz w:val="18"/>
            <w:szCs w:val="18"/>
            <w:color w:val="FFFFFF"/>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48"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purpose of this discussion is to provide an understanding of the financial condition and results of operations of The Scotts Miracle-Gro Company (“Scotts Miracle-Gro”) and its subsidiaries (collectively, together with Scotts Miracle-Gro, the “Company,” “we” or “us”) by focusing on changes in certain key measures from year-to-year. Management’s Discussion and Analysis is divided into the following sections:</w:t>
      </w:r>
    </w:p>
    <w:p>
      <w:pPr>
        <w:spacing w:after="0" w:line="73" w:lineRule="exact"/>
        <w:rPr>
          <w:sz w:val="20"/>
          <w:szCs w:val="20"/>
          <w:color w:val="auto"/>
        </w:rPr>
      </w:pPr>
    </w:p>
    <w:p>
      <w:pPr>
        <w:ind w:left="820" w:hanging="326"/>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Executive summary</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Results of operations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Segment results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Liquidity and capital resources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Regulatory matters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Critical accounting policies and estimates</w:t>
      </w:r>
    </w:p>
    <w:p>
      <w:pPr>
        <w:spacing w:after="0" w:line="144" w:lineRule="exact"/>
        <w:rPr>
          <w:sz w:val="20"/>
          <w:szCs w:val="20"/>
          <w:color w:val="auto"/>
        </w:rPr>
      </w:pPr>
    </w:p>
    <w:p>
      <w:pPr>
        <w:jc w:val="both"/>
        <w:ind w:right="20" w:firstLine="432"/>
        <w:spacing w:after="0" w:line="308" w:lineRule="auto"/>
        <w:rPr>
          <w:sz w:val="20"/>
          <w:szCs w:val="20"/>
          <w:color w:val="auto"/>
        </w:rPr>
      </w:pPr>
      <w:r>
        <w:rPr>
          <w:rFonts w:ascii="Arial" w:cs="Arial" w:eastAsia="Arial" w:hAnsi="Arial"/>
          <w:sz w:val="17"/>
          <w:szCs w:val="17"/>
          <w:color w:val="auto"/>
        </w:rPr>
        <w:t>This discussion and analysis should be read in conjunction with “Management’s Discussion and Analysis of Financial Condition and Results of Operations” included in Scotts Miracle-Gro’s Annual Report on Form 10-K for the fiscal year ended September 30, 2014 (the “2014 Annual Report”).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148" w:lineRule="exact"/>
        <w:rPr>
          <w:sz w:val="20"/>
          <w:szCs w:val="20"/>
          <w:color w:val="auto"/>
        </w:rPr>
      </w:pPr>
    </w:p>
    <w:p>
      <w:pPr>
        <w:jc w:val="both"/>
        <w:ind w:firstLine="432"/>
        <w:spacing w:after="0" w:line="224" w:lineRule="auto"/>
        <w:rPr>
          <w:sz w:val="20"/>
          <w:szCs w:val="20"/>
          <w:color w:val="auto"/>
        </w:rPr>
      </w:pPr>
      <w:r>
        <w:rPr>
          <w:rFonts w:ascii="Arial" w:cs="Arial" w:eastAsia="Arial" w:hAnsi="Arial"/>
          <w:sz w:val="18"/>
          <w:szCs w:val="18"/>
          <w:color w:val="auto"/>
        </w:rPr>
        <w:t>We are a leading manufacturer and marketer of consumer branded products for lawn and garden care in North America and Europe. We are Monsanto’s exclusive agent for the marketing and distribution of consumer Roundup</w:t>
      </w:r>
      <w:r>
        <w:rPr>
          <w:rFonts w:ascii="Arial" w:cs="Arial" w:eastAsia="Arial" w:hAnsi="Arial"/>
          <w:sz w:val="25"/>
          <w:szCs w:val="25"/>
          <w:color w:val="auto"/>
          <w:vertAlign w:val="superscript"/>
        </w:rPr>
        <w:t>®</w:t>
      </w:r>
      <w:r>
        <w:rPr>
          <w:rFonts w:ascii="Arial" w:cs="Arial" w:eastAsia="Arial" w:hAnsi="Arial"/>
          <w:sz w:val="18"/>
          <w:szCs w:val="18"/>
          <w:color w:val="auto"/>
        </w:rPr>
        <w:t xml:space="preserve"> non-selective herbicide products within the United States and other contractually specified countries. We have a presence in similar consumer branded products in Australia, the Far East and Latin America. We also operate Scotts LawnService</w:t>
      </w:r>
      <w:r>
        <w:rPr>
          <w:rFonts w:ascii="Arial" w:cs="Arial" w:eastAsia="Arial" w:hAnsi="Arial"/>
          <w:sz w:val="25"/>
          <w:szCs w:val="25"/>
          <w:color w:val="auto"/>
          <w:vertAlign w:val="superscript"/>
        </w:rPr>
        <w:t>®</w:t>
      </w:r>
      <w:r>
        <w:rPr>
          <w:rFonts w:ascii="Arial" w:cs="Arial" w:eastAsia="Arial" w:hAnsi="Arial"/>
          <w:sz w:val="18"/>
          <w:szCs w:val="18"/>
          <w:color w:val="auto"/>
        </w:rPr>
        <w:t>, the second largest lawn care service business in the United States. Our operations are divided into two reportable segments: Global Consumer and Scotts LawnService</w:t>
      </w:r>
      <w:r>
        <w:rPr>
          <w:rFonts w:ascii="Arial" w:cs="Arial" w:eastAsia="Arial" w:hAnsi="Arial"/>
          <w:sz w:val="25"/>
          <w:szCs w:val="25"/>
          <w:color w:val="auto"/>
          <w:vertAlign w:val="superscript"/>
        </w:rPr>
        <w:t>®</w:t>
      </w:r>
      <w:r>
        <w:rPr>
          <w:rFonts w:ascii="Arial" w:cs="Arial" w:eastAsia="Arial" w:hAnsi="Arial"/>
          <w:sz w:val="18"/>
          <w:szCs w:val="18"/>
          <w:color w:val="auto"/>
        </w:rPr>
        <w:t>.</w:t>
      </w:r>
    </w:p>
    <w:p>
      <w:pPr>
        <w:spacing w:after="0" w:line="51"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As a leading consumer branded lawn and garden company, our product development and marketing efforts are largely focused on providing innovative and differentiated products and on continually increasing brand and product awareness to inspire consumers and to create retail demand. We have successfully applied this model for a number of years by focusing on research and development and investing approximately 5 - 6% of our annual net sales in advertising to support and promote our products and brands. We continually explore new and innovative ways to communicate with consumers. We believe that we receive a significant return on these expenditures and anticipate a similar commitment to research and development, advertising and marketing investments in the future, with the continuing objective of driving category growth and profitably increasing market share.</w:t>
      </w:r>
    </w:p>
    <w:p>
      <w:pPr>
        <w:spacing w:after="0" w:line="97"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Due to the seasonal nature of the lawn and garden business, significant portions of our products ship to our retail customers during our second and third fiscal quarters, as noted in the chart below. Our annual sales are further concentrated in the second and third fiscal quarters by retailers who rely on our ability to deliver products closer to when consumers buy our products, thereby reducing retailers’ pre-season inventories.</w:t>
      </w:r>
    </w:p>
    <w:p>
      <w:pPr>
        <w:spacing w:after="0" w:line="265" w:lineRule="exact"/>
        <w:rPr>
          <w:sz w:val="20"/>
          <w:szCs w:val="20"/>
          <w:color w:val="auto"/>
        </w:rPr>
      </w:pPr>
    </w:p>
    <w:p>
      <w:pPr>
        <w:jc w:val="center"/>
        <w:ind w:left="6900"/>
        <w:spacing w:after="0"/>
        <w:rPr>
          <w:sz w:val="20"/>
          <w:szCs w:val="20"/>
          <w:color w:val="auto"/>
        </w:rPr>
      </w:pPr>
      <w:r>
        <w:rPr>
          <w:rFonts w:ascii="Arial" w:cs="Arial" w:eastAsia="Arial" w:hAnsi="Arial"/>
          <w:sz w:val="14"/>
          <w:szCs w:val="14"/>
          <w:b w:val="1"/>
          <w:bCs w:val="1"/>
          <w:color w:val="auto"/>
        </w:rPr>
        <w:t>Percent of Net Sales from</w:t>
      </w:r>
    </w:p>
    <w:p>
      <w:pPr>
        <w:spacing w:after="0" w:line="4" w:lineRule="exact"/>
        <w:rPr>
          <w:sz w:val="20"/>
          <w:szCs w:val="20"/>
          <w:color w:val="auto"/>
        </w:rPr>
      </w:pPr>
    </w:p>
    <w:p>
      <w:pPr>
        <w:jc w:val="center"/>
        <w:ind w:left="6900"/>
        <w:spacing w:after="0"/>
        <w:rPr>
          <w:sz w:val="20"/>
          <w:szCs w:val="20"/>
          <w:color w:val="auto"/>
        </w:rPr>
      </w:pPr>
      <w:r>
        <w:rPr>
          <w:rFonts w:ascii="Arial" w:cs="Arial" w:eastAsia="Arial" w:hAnsi="Arial"/>
          <w:sz w:val="14"/>
          <w:szCs w:val="14"/>
          <w:b w:val="1"/>
          <w:bCs w:val="1"/>
          <w:color w:val="auto"/>
        </w:rPr>
        <w:t>Continuing Operations by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4387215</wp:posOffset>
            </wp:positionH>
            <wp:positionV relativeFrom="paragraph">
              <wp:posOffset>13335</wp:posOffset>
            </wp:positionV>
            <wp:extent cx="28473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47340"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00" w:type="dxa"/>
            <w:vAlign w:val="bottom"/>
            <w:gridSpan w:val="2"/>
          </w:tcPr>
          <w:p>
            <w:pPr>
              <w:ind w:left="7480"/>
              <w:spacing w:after="0"/>
              <w:rPr>
                <w:sz w:val="20"/>
                <w:szCs w:val="20"/>
                <w:color w:val="auto"/>
              </w:rPr>
            </w:pPr>
            <w:r>
              <w:rPr>
                <w:rFonts w:ascii="Arial" w:cs="Arial" w:eastAsia="Arial" w:hAnsi="Arial"/>
                <w:sz w:val="14"/>
                <w:szCs w:val="14"/>
                <w:b w:val="1"/>
                <w:bCs w:val="1"/>
                <w:color w:val="auto"/>
                <w:w w:val="96"/>
              </w:rPr>
              <w:t>2014</w:t>
            </w: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Pr>
          <w:p>
            <w:pPr>
              <w:jc w:val="right"/>
              <w:ind w:right="494"/>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6"/>
                <w:szCs w:val="16"/>
                <w:color w:val="auto"/>
              </w:rPr>
            </w:pPr>
          </w:p>
        </w:tc>
        <w:tc>
          <w:tcPr>
            <w:tcW w:w="1440" w:type="dxa"/>
            <w:vAlign w:val="bottom"/>
          </w:tcPr>
          <w:p>
            <w:pPr>
              <w:jc w:val="right"/>
              <w:ind w:right="494"/>
              <w:spacing w:after="0"/>
              <w:rPr>
                <w:sz w:val="20"/>
                <w:szCs w:val="20"/>
                <w:color w:val="auto"/>
              </w:rPr>
            </w:pPr>
            <w:r>
              <w:rPr>
                <w:rFonts w:ascii="Arial" w:cs="Arial" w:eastAsia="Arial" w:hAnsi="Arial"/>
                <w:sz w:val="14"/>
                <w:szCs w:val="14"/>
                <w:b w:val="1"/>
                <w:bCs w:val="1"/>
                <w:color w:val="auto"/>
              </w:rPr>
              <w:t>2012</w:t>
            </w:r>
          </w:p>
        </w:tc>
      </w:tr>
      <w:tr>
        <w:trPr>
          <w:trHeight w:val="250"/>
        </w:trPr>
        <w:tc>
          <w:tcPr>
            <w:tcW w:w="69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First Quarter</w:t>
            </w: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5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w:t>
            </w:r>
          </w:p>
        </w:tc>
      </w:tr>
      <w:tr>
        <w:trPr>
          <w:trHeight w:val="243"/>
        </w:trPr>
        <w:tc>
          <w:tcPr>
            <w:tcW w:w="7800" w:type="dxa"/>
            <w:vAlign w:val="bottom"/>
            <w:gridSpan w:val="2"/>
          </w:tcPr>
          <w:p>
            <w:pPr>
              <w:ind w:left="40"/>
              <w:spacing w:after="0"/>
              <w:rPr>
                <w:sz w:val="20"/>
                <w:szCs w:val="20"/>
                <w:color w:val="auto"/>
              </w:rPr>
            </w:pPr>
            <w:r>
              <w:rPr>
                <w:rFonts w:ascii="Arial" w:cs="Arial" w:eastAsia="Arial" w:hAnsi="Arial"/>
                <w:sz w:val="18"/>
                <w:szCs w:val="18"/>
                <w:color w:val="auto"/>
              </w:rPr>
              <w:t>Second Quarter</w:t>
            </w:r>
          </w:p>
        </w:tc>
        <w:tc>
          <w:tcPr>
            <w:tcW w:w="520" w:type="dxa"/>
            <w:vAlign w:val="bottom"/>
          </w:tcPr>
          <w:p>
            <w:pPr>
              <w:jc w:val="right"/>
              <w:spacing w:after="0"/>
              <w:rPr>
                <w:sz w:val="20"/>
                <w:szCs w:val="20"/>
                <w:color w:val="auto"/>
              </w:rPr>
            </w:pPr>
            <w:r>
              <w:rPr>
                <w:rFonts w:ascii="Arial" w:cs="Arial" w:eastAsia="Arial" w:hAnsi="Arial"/>
                <w:sz w:val="18"/>
                <w:szCs w:val="18"/>
                <w:color w:val="auto"/>
                <w:w w:val="90"/>
              </w:rPr>
              <w:t>38.0%</w:t>
            </w: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36.4%</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41.7%</w:t>
            </w:r>
          </w:p>
        </w:tc>
      </w:tr>
      <w:tr>
        <w:trPr>
          <w:trHeight w:val="27"/>
        </w:trPr>
        <w:tc>
          <w:tcPr>
            <w:tcW w:w="69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Third Quarter</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39.3%</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41.0%</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37.5%</w:t>
            </w:r>
          </w:p>
        </w:tc>
      </w:tr>
      <w:tr>
        <w:trPr>
          <w:trHeight w:val="243"/>
        </w:trPr>
        <w:tc>
          <w:tcPr>
            <w:tcW w:w="7800" w:type="dxa"/>
            <w:vAlign w:val="bottom"/>
            <w:gridSpan w:val="2"/>
          </w:tcPr>
          <w:p>
            <w:pPr>
              <w:ind w:left="40"/>
              <w:spacing w:after="0"/>
              <w:rPr>
                <w:sz w:val="20"/>
                <w:szCs w:val="20"/>
                <w:color w:val="auto"/>
              </w:rPr>
            </w:pPr>
            <w:r>
              <w:rPr>
                <w:rFonts w:ascii="Arial" w:cs="Arial" w:eastAsia="Arial" w:hAnsi="Arial"/>
                <w:sz w:val="18"/>
                <w:szCs w:val="18"/>
                <w:color w:val="auto"/>
              </w:rPr>
              <w:t>Fourth Quarter</w:t>
            </w:r>
          </w:p>
        </w:tc>
        <w:tc>
          <w:tcPr>
            <w:tcW w:w="520" w:type="dxa"/>
            <w:vAlign w:val="bottom"/>
          </w:tcPr>
          <w:p>
            <w:pPr>
              <w:jc w:val="right"/>
              <w:spacing w:after="0"/>
              <w:rPr>
                <w:sz w:val="20"/>
                <w:szCs w:val="20"/>
                <w:color w:val="auto"/>
              </w:rPr>
            </w:pPr>
            <w:r>
              <w:rPr>
                <w:rFonts w:ascii="Arial" w:cs="Arial" w:eastAsia="Arial" w:hAnsi="Arial"/>
                <w:sz w:val="18"/>
                <w:szCs w:val="18"/>
                <w:color w:val="auto"/>
                <w:w w:val="90"/>
              </w:rPr>
              <w:t>16.0%</w:t>
            </w: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15.6%</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14.1%</w:t>
            </w: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Shares Repurchases and Dividends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On August 11, 2014, we announced that the Scotts Miracle-Gro Board of Directors approved:</w:t>
      </w:r>
    </w:p>
    <w:p>
      <w:pPr>
        <w:spacing w:after="0" w:line="225"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special one-time cash dividend of $2.00 per Common Share that was paid on September 17, 2014;</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 increase in our quarterly cash dividend from $0.4375 to $0.45 per Common Share; and</w:t>
      </w:r>
    </w:p>
    <w:p>
      <w:pPr>
        <w:spacing w:after="0" w:line="9" w:lineRule="exact"/>
        <w:rPr>
          <w:rFonts w:ascii="Arial" w:cs="Arial" w:eastAsia="Arial" w:hAnsi="Arial"/>
          <w:sz w:val="18"/>
          <w:szCs w:val="18"/>
          <w:color w:val="auto"/>
        </w:rPr>
      </w:pPr>
    </w:p>
    <w:p>
      <w:pPr>
        <w:ind w:left="660" w:hanging="328"/>
        <w:spacing w:after="0" w:line="261"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new share repurchase authorization effective November 1, 2014, which will expire on September 30, 2019, to repurchase up to $500 million of our Common Shares. This replaces the previous authorization which expired on September 30, 2014.</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Arial" w:cs="Arial" w:eastAsia="Arial" w:hAnsi="Arial"/>
          <w:sz w:val="18"/>
          <w:szCs w:val="18"/>
          <w:color w:val="FFFFFF"/>
        </w:rPr>
      </w:pPr>
      <w:hyperlink w:anchor="page1">
        <w:r>
          <w:rPr>
            <w:rFonts w:ascii="Arial" w:cs="Arial" w:eastAsia="Arial" w:hAnsi="Arial"/>
            <w:sz w:val="18"/>
            <w:szCs w:val="18"/>
            <w:color w:val="FFFFFF"/>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decision to increase the amount of cash we intend to return to our shareholders reflects our continued confidence in the business.</w:t>
      </w:r>
    </w:p>
    <w:p>
      <w:pPr>
        <w:spacing w:after="0" w:line="144"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As of December 27, 2014, the Company can make additional restricted payments (as defined in the credit facility), including increased or one-time dividend payments and Common Share repurchases, provided that if after giving effect to any such restricted payment, the leverage ratio is not greater than 3.00. Otherwise, the Company may only make restricted payments in an aggregate amount for each fiscal year not to exceed the amount set forth in the credit facility for such fiscal year ($150.0 million for 2015 and $175.0 million for 2016 and in each fiscal year thereafter).</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48"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We classified our wild bird food business as discontinued operations, for all periods presented, beginning in our second quarter of fiscal 2014. As a result, and unless specifically stated otherwise, all discussions regarding results for the three months ended December 27, 2014 and December 28, 2013, reflect results from our continuing operations.</w:t>
      </w:r>
    </w:p>
    <w:p>
      <w:pPr>
        <w:spacing w:after="0" w:line="10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sets forth the components of income and expense as a percentage of net sales: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80" w:type="dxa"/>
            <w:vAlign w:val="bottom"/>
          </w:tcPr>
          <w:p>
            <w:pPr>
              <w:spacing w:after="0"/>
              <w:rPr>
                <w:sz w:val="16"/>
                <w:szCs w:val="16"/>
                <w:color w:val="auto"/>
              </w:rPr>
            </w:pPr>
          </w:p>
        </w:tc>
        <w:tc>
          <w:tcPr>
            <w:tcW w:w="3620" w:type="dxa"/>
            <w:vAlign w:val="bottom"/>
            <w:tcBorders>
              <w:bottom w:val="single" w:sz="8" w:color="auto"/>
            </w:tcBorders>
            <w:gridSpan w:val="3"/>
          </w:tcPr>
          <w:p>
            <w:pPr>
              <w:jc w:val="right"/>
              <w:ind w:right="851"/>
              <w:spacing w:after="0"/>
              <w:rPr>
                <w:sz w:val="20"/>
                <w:szCs w:val="20"/>
                <w:color w:val="auto"/>
              </w:rPr>
            </w:pPr>
            <w:r>
              <w:rPr>
                <w:rFonts w:ascii="Arial" w:cs="Arial" w:eastAsia="Arial" w:hAnsi="Arial"/>
                <w:sz w:val="14"/>
                <w:szCs w:val="14"/>
                <w:b w:val="1"/>
                <w:bCs w:val="1"/>
                <w:color w:val="auto"/>
              </w:rPr>
              <w:t>THREE MONTHS ENDED</w:t>
            </w:r>
          </w:p>
        </w:tc>
      </w:tr>
      <w:tr>
        <w:trPr>
          <w:trHeight w:val="264"/>
        </w:trPr>
        <w:tc>
          <w:tcPr>
            <w:tcW w:w="7780" w:type="dxa"/>
            <w:vAlign w:val="bottom"/>
          </w:tcPr>
          <w:p>
            <w:pPr>
              <w:spacing w:after="0"/>
              <w:rPr>
                <w:sz w:val="22"/>
                <w:szCs w:val="22"/>
                <w:color w:val="auto"/>
              </w:rPr>
            </w:pPr>
          </w:p>
        </w:tc>
        <w:tc>
          <w:tcPr>
            <w:tcW w:w="1800" w:type="dxa"/>
            <w:vAlign w:val="bottom"/>
            <w:gridSpan w:val="2"/>
          </w:tcPr>
          <w:p>
            <w:pPr>
              <w:ind w:left="160"/>
              <w:spacing w:after="0"/>
              <w:rPr>
                <w:sz w:val="20"/>
                <w:szCs w:val="20"/>
                <w:color w:val="auto"/>
              </w:rPr>
            </w:pPr>
            <w:r>
              <w:rPr>
                <w:rFonts w:ascii="Arial" w:cs="Arial" w:eastAsia="Arial" w:hAnsi="Arial"/>
                <w:sz w:val="14"/>
                <w:szCs w:val="14"/>
                <w:b w:val="1"/>
                <w:bCs w:val="1"/>
                <w:color w:val="auto"/>
              </w:rPr>
              <w:t>DECEMBER 27, 2014</w:t>
            </w:r>
          </w:p>
        </w:tc>
        <w:tc>
          <w:tcPr>
            <w:tcW w:w="1820" w:type="dxa"/>
            <w:vAlign w:val="bottom"/>
          </w:tcPr>
          <w:p>
            <w:pPr>
              <w:jc w:val="right"/>
              <w:ind w:right="131"/>
              <w:spacing w:after="0"/>
              <w:rPr>
                <w:sz w:val="20"/>
                <w:szCs w:val="20"/>
                <w:color w:val="auto"/>
              </w:rPr>
            </w:pPr>
            <w:r>
              <w:rPr>
                <w:rFonts w:ascii="Arial" w:cs="Arial" w:eastAsia="Arial" w:hAnsi="Arial"/>
                <w:sz w:val="14"/>
                <w:szCs w:val="14"/>
                <w:b w:val="1"/>
                <w:bCs w:val="1"/>
                <w:color w:val="auto"/>
              </w:rPr>
              <w:t>DECEMBER 28, 2013</w:t>
            </w:r>
          </w:p>
        </w:tc>
      </w:tr>
      <w:tr>
        <w:trPr>
          <w:trHeight w:val="250"/>
        </w:trPr>
        <w:tc>
          <w:tcPr>
            <w:tcW w:w="77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17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1700" w:type="dxa"/>
            <w:vAlign w:val="bottom"/>
          </w:tcPr>
          <w:p>
            <w:pPr>
              <w:jc w:val="right"/>
              <w:ind w:right="152"/>
              <w:spacing w:after="0"/>
              <w:rPr>
                <w:sz w:val="20"/>
                <w:szCs w:val="20"/>
                <w:color w:val="auto"/>
              </w:rPr>
            </w:pPr>
            <w:r>
              <w:rPr>
                <w:rFonts w:ascii="Arial" w:cs="Arial" w:eastAsia="Arial" w:hAnsi="Arial"/>
                <w:sz w:val="18"/>
                <w:szCs w:val="18"/>
                <w:color w:val="auto"/>
              </w:rPr>
              <w:t>86.4</w:t>
            </w:r>
          </w:p>
        </w:tc>
        <w:tc>
          <w:tcPr>
            <w:tcW w:w="100" w:type="dxa"/>
            <w:vAlign w:val="bottom"/>
          </w:tcPr>
          <w:p>
            <w:pPr>
              <w:spacing w:after="0"/>
              <w:rPr>
                <w:sz w:val="21"/>
                <w:szCs w:val="21"/>
                <w:color w:val="auto"/>
              </w:rPr>
            </w:pPr>
          </w:p>
        </w:tc>
        <w:tc>
          <w:tcPr>
            <w:tcW w:w="1820" w:type="dxa"/>
            <w:vAlign w:val="bottom"/>
          </w:tcPr>
          <w:p>
            <w:pPr>
              <w:jc w:val="right"/>
              <w:ind w:right="151"/>
              <w:spacing w:after="0"/>
              <w:rPr>
                <w:sz w:val="20"/>
                <w:szCs w:val="20"/>
                <w:color w:val="auto"/>
              </w:rPr>
            </w:pPr>
            <w:r>
              <w:rPr>
                <w:rFonts w:ascii="Arial" w:cs="Arial" w:eastAsia="Arial" w:hAnsi="Arial"/>
                <w:sz w:val="18"/>
                <w:szCs w:val="18"/>
                <w:color w:val="auto"/>
              </w:rPr>
              <w:t>82.2</w:t>
            </w:r>
          </w:p>
        </w:tc>
      </w:tr>
      <w:tr>
        <w:trPr>
          <w:trHeight w:val="27"/>
        </w:trPr>
        <w:tc>
          <w:tcPr>
            <w:tcW w:w="778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44"/>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Gross profit</w:t>
            </w:r>
          </w:p>
        </w:tc>
        <w:tc>
          <w:tcPr>
            <w:tcW w:w="170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13.6</w:t>
            </w:r>
          </w:p>
        </w:tc>
        <w:tc>
          <w:tcPr>
            <w:tcW w:w="1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17.8</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1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20" w:type="dxa"/>
            <w:vAlign w:val="bottom"/>
          </w:tcPr>
          <w:p>
            <w:pPr>
              <w:spacing w:after="0"/>
              <w:rPr>
                <w:sz w:val="21"/>
                <w:szCs w:val="21"/>
                <w:color w:val="auto"/>
              </w:rPr>
            </w:pPr>
          </w:p>
        </w:tc>
      </w:tr>
      <w:tr>
        <w:trPr>
          <w:trHeight w:val="27"/>
        </w:trPr>
        <w:tc>
          <w:tcPr>
            <w:tcW w:w="77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Selling, general and administrative</w:t>
            </w:r>
          </w:p>
        </w:tc>
        <w:tc>
          <w:tcPr>
            <w:tcW w:w="170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58.7</w:t>
            </w:r>
          </w:p>
        </w:tc>
        <w:tc>
          <w:tcPr>
            <w:tcW w:w="1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65.6</w:t>
            </w:r>
          </w:p>
        </w:tc>
      </w:tr>
      <w:tr>
        <w:trPr>
          <w:trHeight w:val="243"/>
        </w:trPr>
        <w:tc>
          <w:tcPr>
            <w:tcW w:w="7780" w:type="dxa"/>
            <w:vAlign w:val="bottom"/>
          </w:tcPr>
          <w:p>
            <w:pPr>
              <w:ind w:left="380"/>
              <w:spacing w:after="0"/>
              <w:rPr>
                <w:sz w:val="20"/>
                <w:szCs w:val="20"/>
                <w:color w:val="auto"/>
              </w:rPr>
            </w:pPr>
            <w:r>
              <w:rPr>
                <w:rFonts w:ascii="Arial" w:cs="Arial" w:eastAsia="Arial" w:hAnsi="Arial"/>
                <w:sz w:val="18"/>
                <w:szCs w:val="18"/>
                <w:color w:val="auto"/>
              </w:rPr>
              <w:t>Impairment, restructuring and other</w:t>
            </w:r>
          </w:p>
        </w:tc>
        <w:tc>
          <w:tcPr>
            <w:tcW w:w="1700" w:type="dxa"/>
            <w:vAlign w:val="bottom"/>
          </w:tcPr>
          <w:p>
            <w:pPr>
              <w:jc w:val="right"/>
              <w:ind w:right="152"/>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c>
          <w:tcPr>
            <w:tcW w:w="1820" w:type="dxa"/>
            <w:vAlign w:val="bottom"/>
          </w:tcPr>
          <w:p>
            <w:pPr>
              <w:jc w:val="right"/>
              <w:ind w:right="151"/>
              <w:spacing w:after="0"/>
              <w:rPr>
                <w:sz w:val="20"/>
                <w:szCs w:val="20"/>
                <w:color w:val="auto"/>
              </w:rPr>
            </w:pPr>
            <w:r>
              <w:rPr>
                <w:rFonts w:ascii="Arial" w:cs="Arial" w:eastAsia="Arial" w:hAnsi="Arial"/>
                <w:sz w:val="18"/>
                <w:szCs w:val="18"/>
                <w:color w:val="auto"/>
              </w:rPr>
              <w:t>0.2</w:t>
            </w:r>
          </w:p>
        </w:tc>
      </w:tr>
      <w:tr>
        <w:trPr>
          <w:trHeight w:val="27"/>
        </w:trPr>
        <w:tc>
          <w:tcPr>
            <w:tcW w:w="77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7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income, net</w:t>
            </w:r>
          </w:p>
        </w:tc>
        <w:tc>
          <w:tcPr>
            <w:tcW w:w="17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(0.5)</w:t>
            </w:r>
          </w:p>
        </w:tc>
      </w:tr>
      <w:tr>
        <w:trPr>
          <w:trHeight w:val="237"/>
        </w:trPr>
        <w:tc>
          <w:tcPr>
            <w:tcW w:w="7780" w:type="dxa"/>
            <w:vAlign w:val="bottom"/>
          </w:tcPr>
          <w:p>
            <w:pPr>
              <w:ind w:left="40"/>
              <w:spacing w:after="0"/>
              <w:rPr>
                <w:sz w:val="20"/>
                <w:szCs w:val="20"/>
                <w:color w:val="auto"/>
              </w:rPr>
            </w:pPr>
            <w:r>
              <w:rPr>
                <w:rFonts w:ascii="Arial" w:cs="Arial" w:eastAsia="Arial" w:hAnsi="Arial"/>
                <w:sz w:val="18"/>
                <w:szCs w:val="18"/>
                <w:color w:val="auto"/>
              </w:rPr>
              <w:t>Loss from operations</w:t>
            </w:r>
          </w:p>
        </w:tc>
        <w:tc>
          <w:tcPr>
            <w:tcW w:w="170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color w:val="auto"/>
              </w:rPr>
              <w:t>(48.9)</w:t>
            </w:r>
          </w:p>
        </w:tc>
        <w:tc>
          <w:tcPr>
            <w:tcW w:w="100" w:type="dxa"/>
            <w:vAlign w:val="bottom"/>
          </w:tcPr>
          <w:p>
            <w:pPr>
              <w:spacing w:after="0"/>
              <w:rPr>
                <w:sz w:val="20"/>
                <w:szCs w:val="20"/>
                <w:color w:val="auto"/>
              </w:rPr>
            </w:pPr>
          </w:p>
        </w:tc>
        <w:tc>
          <w:tcPr>
            <w:tcW w:w="182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(47.5)</w:t>
            </w:r>
          </w:p>
        </w:tc>
      </w:tr>
      <w:tr>
        <w:trPr>
          <w:trHeight w:val="27"/>
        </w:trPr>
        <w:tc>
          <w:tcPr>
            <w:tcW w:w="77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7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expense</w:t>
            </w:r>
          </w:p>
        </w:tc>
        <w:tc>
          <w:tcPr>
            <w:tcW w:w="170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7.3</w:t>
            </w:r>
          </w:p>
        </w:tc>
      </w:tr>
      <w:tr>
        <w:trPr>
          <w:trHeight w:val="237"/>
        </w:trPr>
        <w:tc>
          <w:tcPr>
            <w:tcW w:w="7780" w:type="dxa"/>
            <w:vAlign w:val="bottom"/>
          </w:tcPr>
          <w:p>
            <w:pPr>
              <w:ind w:left="40"/>
              <w:spacing w:after="0"/>
              <w:rPr>
                <w:sz w:val="20"/>
                <w:szCs w:val="20"/>
                <w:color w:val="auto"/>
              </w:rPr>
            </w:pPr>
            <w:r>
              <w:rPr>
                <w:rFonts w:ascii="Arial" w:cs="Arial" w:eastAsia="Arial" w:hAnsi="Arial"/>
                <w:sz w:val="18"/>
                <w:szCs w:val="18"/>
                <w:color w:val="auto"/>
              </w:rPr>
              <w:t>Loss from continuing operations before income taxes</w:t>
            </w:r>
          </w:p>
        </w:tc>
        <w:tc>
          <w:tcPr>
            <w:tcW w:w="170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color w:val="auto"/>
              </w:rPr>
              <w:t>(53.5)</w:t>
            </w:r>
          </w:p>
        </w:tc>
        <w:tc>
          <w:tcPr>
            <w:tcW w:w="100" w:type="dxa"/>
            <w:vAlign w:val="bottom"/>
          </w:tcPr>
          <w:p>
            <w:pPr>
              <w:spacing w:after="0"/>
              <w:rPr>
                <w:sz w:val="20"/>
                <w:szCs w:val="20"/>
                <w:color w:val="auto"/>
              </w:rPr>
            </w:pPr>
          </w:p>
        </w:tc>
        <w:tc>
          <w:tcPr>
            <w:tcW w:w="182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(54.8)</w:t>
            </w:r>
          </w:p>
        </w:tc>
      </w:tr>
      <w:tr>
        <w:trPr>
          <w:trHeight w:val="27"/>
        </w:trPr>
        <w:tc>
          <w:tcPr>
            <w:tcW w:w="77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7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tax benefit from continuing operations</w:t>
            </w:r>
          </w:p>
        </w:tc>
        <w:tc>
          <w:tcPr>
            <w:tcW w:w="17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(19.3)</w:t>
            </w:r>
          </w:p>
        </w:tc>
        <w:tc>
          <w:tcPr>
            <w:tcW w:w="10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(20.0)</w:t>
            </w:r>
          </w:p>
        </w:tc>
      </w:tr>
      <w:tr>
        <w:trPr>
          <w:trHeight w:val="237"/>
        </w:trPr>
        <w:tc>
          <w:tcPr>
            <w:tcW w:w="7780" w:type="dxa"/>
            <w:vAlign w:val="bottom"/>
          </w:tcPr>
          <w:p>
            <w:pPr>
              <w:ind w:left="40"/>
              <w:spacing w:after="0"/>
              <w:rPr>
                <w:sz w:val="20"/>
                <w:szCs w:val="20"/>
                <w:color w:val="auto"/>
              </w:rPr>
            </w:pPr>
            <w:r>
              <w:rPr>
                <w:rFonts w:ascii="Arial" w:cs="Arial" w:eastAsia="Arial" w:hAnsi="Arial"/>
                <w:sz w:val="18"/>
                <w:szCs w:val="18"/>
                <w:color w:val="auto"/>
              </w:rPr>
              <w:t>Loss from continuing operations</w:t>
            </w:r>
          </w:p>
        </w:tc>
        <w:tc>
          <w:tcPr>
            <w:tcW w:w="170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color w:val="auto"/>
              </w:rPr>
              <w:t>(34.2)</w:t>
            </w:r>
          </w:p>
        </w:tc>
        <w:tc>
          <w:tcPr>
            <w:tcW w:w="100" w:type="dxa"/>
            <w:vAlign w:val="bottom"/>
          </w:tcPr>
          <w:p>
            <w:pPr>
              <w:spacing w:after="0"/>
              <w:rPr>
                <w:sz w:val="20"/>
                <w:szCs w:val="20"/>
                <w:color w:val="auto"/>
              </w:rPr>
            </w:pPr>
          </w:p>
        </w:tc>
        <w:tc>
          <w:tcPr>
            <w:tcW w:w="182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(34.8)</w:t>
            </w:r>
          </w:p>
        </w:tc>
      </w:tr>
      <w:tr>
        <w:trPr>
          <w:trHeight w:val="27"/>
        </w:trPr>
        <w:tc>
          <w:tcPr>
            <w:tcW w:w="77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7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from discontinued operations, net of tax</w:t>
            </w:r>
          </w:p>
        </w:tc>
        <w:tc>
          <w:tcPr>
            <w:tcW w:w="180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2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0.1</w:t>
            </w:r>
          </w:p>
        </w:tc>
      </w:tr>
      <w:tr>
        <w:trPr>
          <w:trHeight w:val="237"/>
        </w:trPr>
        <w:tc>
          <w:tcPr>
            <w:tcW w:w="7780" w:type="dxa"/>
            <w:vAlign w:val="bottom"/>
          </w:tcPr>
          <w:p>
            <w:pPr>
              <w:ind w:left="40"/>
              <w:spacing w:after="0"/>
              <w:rPr>
                <w:sz w:val="20"/>
                <w:szCs w:val="20"/>
                <w:color w:val="auto"/>
              </w:rPr>
            </w:pPr>
            <w:r>
              <w:rPr>
                <w:rFonts w:ascii="Arial" w:cs="Arial" w:eastAsia="Arial" w:hAnsi="Arial"/>
                <w:sz w:val="18"/>
                <w:szCs w:val="18"/>
                <w:color w:val="auto"/>
              </w:rPr>
              <w:t>Net Loss</w:t>
            </w:r>
          </w:p>
        </w:tc>
        <w:tc>
          <w:tcPr>
            <w:tcW w:w="1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(34.2)%</w:t>
            </w:r>
          </w:p>
        </w:tc>
        <w:tc>
          <w:tcPr>
            <w:tcW w:w="100" w:type="dxa"/>
            <w:vAlign w:val="bottom"/>
          </w:tcPr>
          <w:p>
            <w:pPr>
              <w:spacing w:after="0"/>
              <w:rPr>
                <w:sz w:val="20"/>
                <w:szCs w:val="20"/>
                <w:color w:val="auto"/>
              </w:rPr>
            </w:pPr>
          </w:p>
        </w:tc>
        <w:tc>
          <w:tcPr>
            <w:tcW w:w="1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(34.7)%</w:t>
            </w:r>
          </w:p>
        </w:tc>
      </w:tr>
      <w:tr>
        <w:trPr>
          <w:trHeight w:val="27"/>
        </w:trPr>
        <w:tc>
          <w:tcPr>
            <w:tcW w:w="778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0"/>
        </w:trPr>
        <w:tc>
          <w:tcPr>
            <w:tcW w:w="778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Sales</w:t>
      </w:r>
    </w:p>
    <w:p>
      <w:pPr>
        <w:spacing w:after="0" w:line="144"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Net sales for the three months ended December 27, 2014 were $216.2 million, an increase of 14.0% from net sales of $189.6 million for the three months ended December 28, 2013. The change in net sales was attributable to:</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460" w:type="dxa"/>
            <w:vAlign w:val="bottom"/>
          </w:tcPr>
          <w:p>
            <w:pPr>
              <w:spacing w:after="0"/>
              <w:rPr>
                <w:sz w:val="16"/>
                <w:szCs w:val="16"/>
                <w:color w:val="auto"/>
              </w:rPr>
            </w:pPr>
          </w:p>
        </w:tc>
        <w:tc>
          <w:tcPr>
            <w:tcW w:w="2940" w:type="dxa"/>
            <w:vAlign w:val="bottom"/>
          </w:tcPr>
          <w:p>
            <w:pPr>
              <w:jc w:val="right"/>
              <w:ind w:right="515"/>
              <w:spacing w:after="0"/>
              <w:rPr>
                <w:sz w:val="20"/>
                <w:szCs w:val="20"/>
                <w:color w:val="auto"/>
              </w:rPr>
            </w:pPr>
            <w:r>
              <w:rPr>
                <w:rFonts w:ascii="Arial" w:cs="Arial" w:eastAsia="Arial" w:hAnsi="Arial"/>
                <w:sz w:val="14"/>
                <w:szCs w:val="14"/>
                <w:b w:val="1"/>
                <w:bCs w:val="1"/>
                <w:color w:val="auto"/>
              </w:rPr>
              <w:t>THREE MONTHS ENDED</w:t>
            </w:r>
          </w:p>
        </w:tc>
      </w:tr>
      <w:tr>
        <w:trPr>
          <w:trHeight w:val="276"/>
        </w:trPr>
        <w:tc>
          <w:tcPr>
            <w:tcW w:w="8460" w:type="dxa"/>
            <w:vAlign w:val="bottom"/>
            <w:tcBorders>
              <w:bottom w:val="single" w:sz="8" w:color="CCEEFF"/>
            </w:tcBorders>
          </w:tcPr>
          <w:p>
            <w:pPr>
              <w:spacing w:after="0"/>
              <w:rPr>
                <w:sz w:val="24"/>
                <w:szCs w:val="24"/>
                <w:color w:val="auto"/>
              </w:rPr>
            </w:pPr>
          </w:p>
        </w:tc>
        <w:tc>
          <w:tcPr>
            <w:tcW w:w="2940" w:type="dxa"/>
            <w:vAlign w:val="bottom"/>
            <w:tcBorders>
              <w:bottom w:val="single" w:sz="8" w:color="auto"/>
            </w:tcBorders>
          </w:tcPr>
          <w:p>
            <w:pPr>
              <w:jc w:val="right"/>
              <w:ind w:right="695"/>
              <w:spacing w:after="0"/>
              <w:rPr>
                <w:sz w:val="20"/>
                <w:szCs w:val="20"/>
                <w:color w:val="auto"/>
              </w:rPr>
            </w:pPr>
            <w:r>
              <w:rPr>
                <w:rFonts w:ascii="Arial" w:cs="Arial" w:eastAsia="Arial" w:hAnsi="Arial"/>
                <w:sz w:val="14"/>
                <w:szCs w:val="14"/>
                <w:b w:val="1"/>
                <w:bCs w:val="1"/>
                <w:color w:val="auto"/>
              </w:rPr>
              <w:t>DECEMBER 27, 2014</w:t>
            </w: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Acquisitions</w:t>
            </w:r>
          </w:p>
        </w:tc>
        <w:tc>
          <w:tcPr>
            <w:tcW w:w="2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12.5 %</w:t>
            </w:r>
          </w:p>
        </w:tc>
      </w:tr>
      <w:tr>
        <w:trPr>
          <w:trHeight w:val="243"/>
        </w:trPr>
        <w:tc>
          <w:tcPr>
            <w:tcW w:w="8460" w:type="dxa"/>
            <w:vAlign w:val="bottom"/>
          </w:tcPr>
          <w:p>
            <w:pPr>
              <w:ind w:left="40"/>
              <w:spacing w:after="0"/>
              <w:rPr>
                <w:sz w:val="20"/>
                <w:szCs w:val="20"/>
                <w:color w:val="auto"/>
              </w:rPr>
            </w:pPr>
            <w:r>
              <w:rPr>
                <w:rFonts w:ascii="Arial" w:cs="Arial" w:eastAsia="Arial" w:hAnsi="Arial"/>
                <w:sz w:val="18"/>
                <w:szCs w:val="18"/>
                <w:color w:val="auto"/>
              </w:rPr>
              <w:t>Volume</w:t>
            </w:r>
          </w:p>
        </w:tc>
        <w:tc>
          <w:tcPr>
            <w:tcW w:w="2940" w:type="dxa"/>
            <w:vAlign w:val="bottom"/>
          </w:tcPr>
          <w:p>
            <w:pPr>
              <w:jc w:val="right"/>
              <w:ind w:right="135"/>
              <w:spacing w:after="0"/>
              <w:rPr>
                <w:sz w:val="20"/>
                <w:szCs w:val="20"/>
                <w:color w:val="auto"/>
              </w:rPr>
            </w:pPr>
            <w:r>
              <w:rPr>
                <w:rFonts w:ascii="Arial" w:cs="Arial" w:eastAsia="Arial" w:hAnsi="Arial"/>
                <w:sz w:val="18"/>
                <w:szCs w:val="18"/>
                <w:color w:val="auto"/>
              </w:rPr>
              <w:t>3.7</w:t>
            </w:r>
          </w:p>
        </w:tc>
      </w:tr>
      <w:tr>
        <w:trPr>
          <w:trHeight w:val="27"/>
        </w:trPr>
        <w:tc>
          <w:tcPr>
            <w:tcW w:w="8460" w:type="dxa"/>
            <w:vAlign w:val="bottom"/>
          </w:tcPr>
          <w:p>
            <w:pPr>
              <w:spacing w:after="0"/>
              <w:rPr>
                <w:sz w:val="2"/>
                <w:szCs w:val="2"/>
                <w:color w:val="auto"/>
              </w:rPr>
            </w:pPr>
          </w:p>
        </w:tc>
        <w:tc>
          <w:tcPr>
            <w:tcW w:w="294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Pricing</w:t>
            </w:r>
          </w:p>
        </w:tc>
        <w:tc>
          <w:tcPr>
            <w:tcW w:w="294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8"/>
                <w:szCs w:val="18"/>
                <w:color w:val="auto"/>
              </w:rPr>
              <w:t>0.3</w:t>
            </w:r>
          </w:p>
        </w:tc>
      </w:tr>
      <w:tr>
        <w:trPr>
          <w:trHeight w:val="243"/>
        </w:trPr>
        <w:tc>
          <w:tcPr>
            <w:tcW w:w="8460" w:type="dxa"/>
            <w:vAlign w:val="bottom"/>
          </w:tcPr>
          <w:p>
            <w:pPr>
              <w:ind w:left="40"/>
              <w:spacing w:after="0"/>
              <w:rPr>
                <w:sz w:val="20"/>
                <w:szCs w:val="20"/>
                <w:color w:val="auto"/>
              </w:rPr>
            </w:pPr>
            <w:r>
              <w:rPr>
                <w:rFonts w:ascii="Arial" w:cs="Arial" w:eastAsia="Arial" w:hAnsi="Arial"/>
                <w:sz w:val="18"/>
                <w:szCs w:val="18"/>
                <w:color w:val="auto"/>
              </w:rPr>
              <w:t>Foreign exchange rates</w:t>
            </w:r>
          </w:p>
        </w:tc>
        <w:tc>
          <w:tcPr>
            <w:tcW w:w="2940" w:type="dxa"/>
            <w:vAlign w:val="bottom"/>
          </w:tcPr>
          <w:p>
            <w:pPr>
              <w:jc w:val="right"/>
              <w:ind w:right="75"/>
              <w:spacing w:after="0"/>
              <w:rPr>
                <w:sz w:val="20"/>
                <w:szCs w:val="20"/>
                <w:color w:val="auto"/>
              </w:rPr>
            </w:pPr>
            <w:r>
              <w:rPr>
                <w:rFonts w:ascii="Arial" w:cs="Arial" w:eastAsia="Arial" w:hAnsi="Arial"/>
                <w:sz w:val="18"/>
                <w:szCs w:val="18"/>
                <w:color w:val="auto"/>
              </w:rPr>
              <w:t>(2.5)</w:t>
            </w:r>
          </w:p>
        </w:tc>
      </w:tr>
      <w:tr>
        <w:trPr>
          <w:trHeight w:val="27"/>
        </w:trPr>
        <w:tc>
          <w:tcPr>
            <w:tcW w:w="8460" w:type="dxa"/>
            <w:vAlign w:val="bottom"/>
            <w:tcBorders>
              <w:bottom w:val="single" w:sz="8" w:color="CCEEFF"/>
            </w:tcBorders>
          </w:tcPr>
          <w:p>
            <w:pPr>
              <w:spacing w:after="0"/>
              <w:rPr>
                <w:sz w:val="2"/>
                <w:szCs w:val="2"/>
                <w:color w:val="auto"/>
              </w:rPr>
            </w:pPr>
          </w:p>
        </w:tc>
        <w:tc>
          <w:tcPr>
            <w:tcW w:w="2940" w:type="dxa"/>
            <w:vAlign w:val="bottom"/>
            <w:tcBorders>
              <w:bottom w:val="single" w:sz="8" w:color="auto"/>
            </w:tcBorders>
          </w:tcPr>
          <w:p>
            <w:pPr>
              <w:spacing w:after="0"/>
              <w:rPr>
                <w:sz w:val="2"/>
                <w:szCs w:val="2"/>
                <w:color w:val="auto"/>
              </w:rPr>
            </w:pPr>
          </w:p>
        </w:tc>
      </w:tr>
      <w:tr>
        <w:trPr>
          <w:trHeight w:val="269"/>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in net sales</w:t>
            </w:r>
          </w:p>
        </w:tc>
        <w:tc>
          <w:tcPr>
            <w:tcW w:w="2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14.0 %</w:t>
            </w:r>
          </w:p>
        </w:tc>
      </w:tr>
      <w:tr>
        <w:trPr>
          <w:trHeight w:val="20"/>
        </w:trPr>
        <w:tc>
          <w:tcPr>
            <w:tcW w:w="8460" w:type="dxa"/>
            <w:vAlign w:val="bottom"/>
            <w:tcBorders>
              <w:top w:val="single" w:sz="8" w:color="CCEEFF"/>
            </w:tcBorders>
          </w:tcPr>
          <w:p>
            <w:pPr>
              <w:spacing w:after="0" w:line="20" w:lineRule="exact"/>
              <w:rPr>
                <w:sz w:val="1"/>
                <w:szCs w:val="1"/>
                <w:color w:val="auto"/>
              </w:rPr>
            </w:pPr>
          </w:p>
        </w:tc>
        <w:tc>
          <w:tcPr>
            <w:tcW w:w="2940" w:type="dxa"/>
            <w:vAlign w:val="bottom"/>
            <w:tcBorders>
              <w:top w:val="single" w:sz="8" w:color="auto"/>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increase in net sales for the three months ended December 27, 2014, was primarily driven by:</w:t>
      </w:r>
    </w:p>
    <w:p>
      <w:pPr>
        <w:spacing w:after="0" w:line="117" w:lineRule="exact"/>
        <w:rPr>
          <w:sz w:val="20"/>
          <w:szCs w:val="20"/>
          <w:color w:val="auto"/>
        </w:rPr>
      </w:pPr>
    </w:p>
    <w:p>
      <w:pPr>
        <w:ind w:left="980" w:hanging="324"/>
        <w:spacing w:after="0" w:line="216"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sales from acquisitions within our Global Consumer segment from AeroGrow, Fafard, and Solus and within our Scotts LawnService</w:t>
      </w:r>
      <w:r>
        <w:rPr>
          <w:rFonts w:ascii="Arial" w:cs="Arial" w:eastAsia="Arial" w:hAnsi="Arial"/>
          <w:sz w:val="25"/>
          <w:szCs w:val="25"/>
          <w:color w:val="auto"/>
          <w:vertAlign w:val="superscript"/>
        </w:rPr>
        <w:t>®</w:t>
      </w:r>
      <w:r>
        <w:rPr>
          <w:rFonts w:ascii="Arial" w:cs="Arial" w:eastAsia="Arial" w:hAnsi="Arial"/>
          <w:sz w:val="18"/>
          <w:szCs w:val="18"/>
          <w:color w:val="auto"/>
        </w:rPr>
        <w:t xml:space="preserve"> segment from Action Pest; and</w:t>
      </w:r>
    </w:p>
    <w:p>
      <w:pPr>
        <w:spacing w:after="0" w:line="9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increased volume in our Global Consumer segment, driven by timing of shipments to retailers earlier in the lawn and garden season and an increase in net sales attributable to reimbursements under our marketing agreement with Monsanto; and</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 partial offset by the unfavorable impact of foreign exchange rates as a result of the strengthening of the U.S. dollar relative to other currencies.</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5" w:right="239" w:bottom="1440" w:gutter="0" w:footer="0" w:header="0"/>
        </w:sectPr>
      </w:pPr>
    </w:p>
    <w:bookmarkStart w:id="34" w:name="page35"/>
    <w:bookmarkEnd w:id="34"/>
    <w:p>
      <w:pPr>
        <w:spacing w:after="0"/>
        <w:rPr>
          <w:rFonts w:ascii="Arial" w:cs="Arial" w:eastAsia="Arial" w:hAnsi="Arial"/>
          <w:sz w:val="18"/>
          <w:szCs w:val="18"/>
          <w:color w:val="FFFFFF"/>
        </w:rPr>
      </w:pPr>
      <w:hyperlink w:anchor="page1">
        <w:r>
          <w:rPr>
            <w:rFonts w:ascii="Arial" w:cs="Arial" w:eastAsia="Arial" w:hAnsi="Arial"/>
            <w:sz w:val="18"/>
            <w:szCs w:val="18"/>
            <w:color w:val="FFFFFF"/>
          </w:rPr>
          <w:t>Table of Contents</w:t>
        </w:r>
      </w:hyperlink>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Sales</w:t>
      </w:r>
    </w:p>
    <w:p>
      <w:pPr>
        <w:spacing w:after="0" w:line="14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shows the major components of cost of sales: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4"/>
          </w:tcPr>
          <w:p>
            <w:pPr>
              <w:jc w:val="right"/>
              <w:ind w:right="168"/>
              <w:spacing w:after="0"/>
              <w:rPr>
                <w:sz w:val="20"/>
                <w:szCs w:val="20"/>
                <w:color w:val="auto"/>
              </w:rPr>
            </w:pPr>
            <w:r>
              <w:rPr>
                <w:rFonts w:ascii="Arial" w:cs="Arial" w:eastAsia="Arial" w:hAnsi="Arial"/>
                <w:sz w:val="14"/>
                <w:szCs w:val="14"/>
                <w:b w:val="1"/>
                <w:bCs w:val="1"/>
                <w:color w:val="auto"/>
              </w:rPr>
              <w:t>THREE MONTHS ENDED</w:t>
            </w:r>
          </w:p>
        </w:tc>
        <w:tc>
          <w:tcPr>
            <w:tcW w:w="52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8120" w:type="dxa"/>
            <w:vAlign w:val="bottom"/>
          </w:tcPr>
          <w:p>
            <w:pPr>
              <w:spacing w:after="0"/>
              <w:rPr>
                <w:sz w:val="22"/>
                <w:szCs w:val="22"/>
                <w:color w:val="auto"/>
              </w:rPr>
            </w:pPr>
          </w:p>
        </w:tc>
        <w:tc>
          <w:tcPr>
            <w:tcW w:w="14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DECEMBER 27, 2014</w:t>
            </w: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rPr>
              <w:t>DECEMBER 28, 2013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8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300" w:type="dxa"/>
            <w:vAlign w:val="bottom"/>
            <w:gridSpan w:val="4"/>
          </w:tcPr>
          <w:p>
            <w:pPr>
              <w:jc w:val="right"/>
              <w:ind w:right="648"/>
              <w:spacing w:after="0"/>
              <w:rPr>
                <w:sz w:val="20"/>
                <w:szCs w:val="20"/>
                <w:color w:val="auto"/>
              </w:rPr>
            </w:pPr>
            <w:r>
              <w:rPr>
                <w:rFonts w:ascii="Arial" w:cs="Arial" w:eastAsia="Arial" w:hAnsi="Arial"/>
                <w:sz w:val="14"/>
                <w:szCs w:val="14"/>
                <w:b w:val="1"/>
                <w:bCs w:val="1"/>
                <w:color w:val="auto"/>
              </w:rPr>
              <w:t>(In millions)</w:t>
            </w:r>
          </w:p>
        </w:tc>
        <w:tc>
          <w:tcPr>
            <w:tcW w:w="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Materials</w:t>
            </w:r>
          </w:p>
        </w:tc>
        <w:tc>
          <w:tcPr>
            <w:tcW w:w="460" w:type="dxa"/>
            <w:vAlign w:val="bottom"/>
            <w:tcBorders>
              <w:bottom w:val="single" w:sz="8" w:color="CCEEFF"/>
            </w:tcBorders>
            <w:shd w:val="clear" w:color="auto" w:fill="CCEEFF"/>
          </w:tcPr>
          <w:p>
            <w:pPr>
              <w:jc w:val="right"/>
              <w:ind w:right="276"/>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91.9</w:t>
            </w:r>
          </w:p>
        </w:tc>
        <w:tc>
          <w:tcPr>
            <w:tcW w:w="1280" w:type="dxa"/>
            <w:vAlign w:val="bottom"/>
            <w:tcBorders>
              <w:bottom w:val="single" w:sz="8" w:color="CCEEFF"/>
            </w:tcBorders>
            <w:gridSpan w:val="3"/>
            <w:shd w:val="clear" w:color="auto" w:fill="CCEEFF"/>
          </w:tcPr>
          <w:p>
            <w:pPr>
              <w:jc w:val="right"/>
              <w:ind w:right="888"/>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Distribution and warehousing</w:t>
            </w: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48.7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35.6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Manufacturing labor and overhead</w:t>
            </w: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812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Roundup</w:t>
            </w:r>
            <w:r>
              <w:rPr>
                <w:rFonts w:ascii="Arial" w:cs="Arial" w:eastAsia="Arial" w:hAnsi="Arial"/>
                <w:sz w:val="25"/>
                <w:szCs w:val="25"/>
                <w:color w:val="auto"/>
                <w:vertAlign w:val="superscript"/>
              </w:rPr>
              <w:t>®</w:t>
            </w:r>
            <w:r>
              <w:rPr>
                <w:rFonts w:ascii="Arial" w:cs="Arial" w:eastAsia="Arial" w:hAnsi="Arial"/>
                <w:sz w:val="18"/>
                <w:szCs w:val="18"/>
                <w:color w:val="auto"/>
              </w:rPr>
              <w:t xml:space="preserve"> reimbursements</w:t>
            </w:r>
          </w:p>
        </w:tc>
        <w:tc>
          <w:tcPr>
            <w:tcW w:w="46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w:t>
            </w:r>
          </w:p>
        </w:tc>
        <w:tc>
          <w:tcPr>
            <w:tcW w:w="10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060" w:type="dxa"/>
            <w:vAlign w:val="bottom"/>
            <w:tcBorders>
              <w:bottom w:val="single" w:sz="8" w:color="auto"/>
            </w:tcBorders>
          </w:tcPr>
          <w:p>
            <w:pPr>
              <w:spacing w:after="0"/>
              <w:rPr>
                <w:sz w:val="23"/>
                <w:szCs w:val="23"/>
                <w:color w:val="auto"/>
              </w:rPr>
            </w:pPr>
          </w:p>
        </w:tc>
        <w:tc>
          <w:tcPr>
            <w:tcW w:w="5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15.1</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9"/>
        </w:trPr>
        <w:tc>
          <w:tcPr>
            <w:tcW w:w="8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76"/>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186.9</w:t>
            </w:r>
          </w:p>
        </w:tc>
        <w:tc>
          <w:tcPr>
            <w:tcW w:w="1280" w:type="dxa"/>
            <w:vAlign w:val="bottom"/>
            <w:tcBorders>
              <w:bottom w:val="single" w:sz="8" w:color="CCEEFF"/>
            </w:tcBorders>
            <w:gridSpan w:val="3"/>
            <w:shd w:val="clear" w:color="auto" w:fill="CCEEFF"/>
          </w:tcPr>
          <w:p>
            <w:pPr>
              <w:jc w:val="right"/>
              <w:ind w:right="888"/>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8"/>
              </w:rPr>
              <w:t>155.7</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8120" w:type="dxa"/>
            <w:vAlign w:val="bottom"/>
            <w:tcBorders>
              <w:top w:val="single" w:sz="8" w:color="CCEEFF"/>
              <w:bottom w:val="single" w:sz="8" w:color="CCEEFF"/>
            </w:tcBorders>
            <w:vMerge w:val="restart"/>
          </w:tcPr>
          <w:p>
            <w:pPr>
              <w:ind w:left="440"/>
              <w:spacing w:after="0"/>
              <w:rPr>
                <w:sz w:val="20"/>
                <w:szCs w:val="20"/>
                <w:color w:val="auto"/>
              </w:rPr>
            </w:pPr>
            <w:r>
              <w:rPr>
                <w:rFonts w:ascii="Arial" w:cs="Arial" w:eastAsia="Arial" w:hAnsi="Arial"/>
                <w:sz w:val="18"/>
                <w:szCs w:val="18"/>
                <w:color w:val="auto"/>
              </w:rPr>
              <w:t>Factors contributing to the change in cost of sales are outlined in the following table:</w:t>
            </w: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120" w:type="dxa"/>
            <w:vAlign w:val="bottom"/>
            <w:vMerge w:val="continue"/>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8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300" w:type="dxa"/>
            <w:vAlign w:val="bottom"/>
            <w:tcBorders>
              <w:bottom w:val="single" w:sz="8" w:color="auto"/>
            </w:tcBorders>
            <w:gridSpan w:val="4"/>
          </w:tcPr>
          <w:p>
            <w:pPr>
              <w:jc w:val="center"/>
              <w:ind w:left="457"/>
              <w:spacing w:after="0"/>
              <w:rPr>
                <w:sz w:val="20"/>
                <w:szCs w:val="20"/>
                <w:color w:val="auto"/>
              </w:rPr>
            </w:pPr>
            <w:r>
              <w:rPr>
                <w:rFonts w:ascii="Arial" w:cs="Arial" w:eastAsia="Arial" w:hAnsi="Arial"/>
                <w:sz w:val="14"/>
                <w:szCs w:val="14"/>
                <w:b w:val="1"/>
                <w:bCs w:val="1"/>
                <w:color w:val="auto"/>
              </w:rPr>
              <w:t>THREE MONTHS ENDED</w:t>
            </w:r>
          </w:p>
        </w:tc>
        <w:tc>
          <w:tcPr>
            <w:tcW w:w="5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300" w:type="dxa"/>
            <w:vAlign w:val="bottom"/>
            <w:tcBorders>
              <w:bottom w:val="single" w:sz="8" w:color="auto"/>
            </w:tcBorders>
            <w:gridSpan w:val="4"/>
          </w:tcPr>
          <w:p>
            <w:pPr>
              <w:jc w:val="center"/>
              <w:ind w:left="437"/>
              <w:spacing w:after="0"/>
              <w:rPr>
                <w:sz w:val="20"/>
                <w:szCs w:val="20"/>
                <w:color w:val="auto"/>
              </w:rPr>
            </w:pPr>
            <w:r>
              <w:rPr>
                <w:rFonts w:ascii="Arial" w:cs="Arial" w:eastAsia="Arial" w:hAnsi="Arial"/>
                <w:sz w:val="14"/>
                <w:szCs w:val="14"/>
                <w:b w:val="1"/>
                <w:bCs w:val="1"/>
                <w:color w:val="auto"/>
                <w:w w:val="99"/>
              </w:rPr>
              <w:t>DECEMBER 27, 2014</w:t>
            </w:r>
          </w:p>
        </w:tc>
        <w:tc>
          <w:tcPr>
            <w:tcW w:w="5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8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80" w:type="dxa"/>
            <w:vAlign w:val="bottom"/>
            <w:gridSpan w:val="3"/>
          </w:tcPr>
          <w:p>
            <w:pPr>
              <w:jc w:val="center"/>
              <w:ind w:right="408"/>
              <w:spacing w:after="0"/>
              <w:rPr>
                <w:sz w:val="20"/>
                <w:szCs w:val="20"/>
                <w:color w:val="auto"/>
              </w:rPr>
            </w:pPr>
            <w:r>
              <w:rPr>
                <w:rFonts w:ascii="Arial" w:cs="Arial" w:eastAsia="Arial" w:hAnsi="Arial"/>
                <w:sz w:val="14"/>
                <w:szCs w:val="14"/>
                <w:b w:val="1"/>
                <w:bCs w:val="1"/>
                <w:color w:val="auto"/>
                <w:w w:val="96"/>
              </w:rPr>
              <w:t>(In millions)</w:t>
            </w:r>
          </w:p>
        </w:tc>
        <w:tc>
          <w:tcPr>
            <w:tcW w:w="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Volume and product mix</w:t>
            </w:r>
          </w:p>
        </w:tc>
        <w:tc>
          <w:tcPr>
            <w:tcW w:w="4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837"/>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32.7</w:t>
            </w:r>
          </w:p>
        </w:tc>
        <w:tc>
          <w:tcPr>
            <w:tcW w:w="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8120" w:type="dxa"/>
            <w:vAlign w:val="bottom"/>
          </w:tcPr>
          <w:p>
            <w:pPr>
              <w:ind w:left="40"/>
              <w:spacing w:after="0" w:line="270" w:lineRule="exact"/>
              <w:rPr>
                <w:sz w:val="20"/>
                <w:szCs w:val="20"/>
                <w:color w:val="auto"/>
              </w:rPr>
            </w:pPr>
            <w:r>
              <w:rPr>
                <w:rFonts w:ascii="Arial" w:cs="Arial" w:eastAsia="Arial" w:hAnsi="Arial"/>
                <w:sz w:val="18"/>
                <w:szCs w:val="18"/>
                <w:color w:val="auto"/>
              </w:rPr>
              <w:t>Roundup</w:t>
            </w:r>
            <w:r>
              <w:rPr>
                <w:rFonts w:ascii="Arial" w:cs="Arial" w:eastAsia="Arial" w:hAnsi="Arial"/>
                <w:sz w:val="25"/>
                <w:szCs w:val="25"/>
                <w:color w:val="auto"/>
                <w:vertAlign w:val="superscript"/>
              </w:rPr>
              <w:t>®</w:t>
            </w:r>
            <w:r>
              <w:rPr>
                <w:rFonts w:ascii="Arial" w:cs="Arial" w:eastAsia="Arial" w:hAnsi="Arial"/>
                <w:sz w:val="18"/>
                <w:szCs w:val="18"/>
                <w:color w:val="auto"/>
              </w:rPr>
              <w:t xml:space="preserve"> reimbursements</w:t>
            </w:r>
          </w:p>
        </w:tc>
        <w:tc>
          <w:tcPr>
            <w:tcW w:w="4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exchange rates</w:t>
            </w:r>
          </w:p>
        </w:tc>
        <w:tc>
          <w:tcPr>
            <w:tcW w:w="4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8"/>
                <w:szCs w:val="18"/>
                <w:color w:val="auto"/>
              </w:rPr>
              <w:t>Change in cost of sales</w:t>
            </w:r>
          </w:p>
        </w:tc>
        <w:tc>
          <w:tcPr>
            <w:tcW w:w="460" w:type="dxa"/>
            <w:vAlign w:val="bottom"/>
          </w:tcPr>
          <w:p>
            <w:pPr>
              <w:spacing w:after="0"/>
              <w:rPr>
                <w:sz w:val="20"/>
                <w:szCs w:val="20"/>
                <w:color w:val="auto"/>
              </w:rPr>
            </w:pPr>
          </w:p>
        </w:tc>
        <w:tc>
          <w:tcPr>
            <w:tcW w:w="1020" w:type="dxa"/>
            <w:vAlign w:val="bottom"/>
            <w:tcBorders>
              <w:top w:val="single" w:sz="8" w:color="auto"/>
            </w:tcBorders>
          </w:tcPr>
          <w:p>
            <w:pPr>
              <w:jc w:val="right"/>
              <w:ind w:right="837"/>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31.2</w:t>
            </w:r>
          </w:p>
        </w:tc>
        <w:tc>
          <w:tcPr>
            <w:tcW w:w="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increase in cost of sales, for the three months ended December 27, 2014, was primarily driven by:</w:t>
      </w:r>
    </w:p>
    <w:p>
      <w:pPr>
        <w:spacing w:after="0" w:line="131" w:lineRule="exact"/>
        <w:rPr>
          <w:sz w:val="20"/>
          <w:szCs w:val="20"/>
          <w:color w:val="auto"/>
        </w:rPr>
      </w:pPr>
    </w:p>
    <w:p>
      <w:pPr>
        <w:ind w:left="980" w:hanging="324"/>
        <w:spacing w:after="0" w:line="264"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costs related to sales from acquisitions within our Global Consumer segment from AeroGrow, Fafard, and Solus and within our Scotts LawnService</w:t>
      </w:r>
      <w:r>
        <w:rPr>
          <w:rFonts w:ascii="Arial" w:cs="Arial" w:eastAsia="Arial" w:hAnsi="Arial"/>
          <w:sz w:val="25"/>
          <w:szCs w:val="25"/>
          <w:color w:val="auto"/>
          <w:vertAlign w:val="superscript"/>
        </w:rPr>
        <w:t>®</w:t>
      </w:r>
      <w:r>
        <w:rPr>
          <w:rFonts w:ascii="Arial" w:cs="Arial" w:eastAsia="Arial" w:hAnsi="Arial"/>
          <w:sz w:val="18"/>
          <w:szCs w:val="18"/>
          <w:color w:val="auto"/>
        </w:rPr>
        <w:t xml:space="preserve"> segment from Action Pest;</w:t>
      </w:r>
    </w:p>
    <w:p>
      <w:pPr>
        <w:jc w:val="both"/>
        <w:ind w:left="980" w:hanging="324"/>
        <w:spacing w:after="0" w:line="261"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higher distribution costs within our Global Consumer segment due to the recognition of negative mark-to-market adjustments of $6.8 million associated with our fuel hedges. We expect to offset the negative mark-to-market adjustments with savings from future fuel purchases within the current fiscal year;</w:t>
      </w:r>
    </w:p>
    <w:p>
      <w:pPr>
        <w:spacing w:after="0" w:line="76"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increased sales volume in our Global Consumer segment, driven by timing of shipments to retailers earlier in the lawn and garden season; and</w:t>
      </w:r>
    </w:p>
    <w:p>
      <w:pPr>
        <w:spacing w:after="0" w:line="140" w:lineRule="exact"/>
        <w:rPr>
          <w:rFonts w:ascii="Arial" w:cs="Arial" w:eastAsia="Arial" w:hAnsi="Arial"/>
          <w:sz w:val="16"/>
          <w:szCs w:val="16"/>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 increase in net sales attributable to reimbursements under our marketing agreement with Monsanto;</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partially offset by the favorable impact of foreign exchange rates as a result of a strengthening of the U.S. dollar relative to other currencies.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w:t>
      </w:r>
    </w:p>
    <w:p>
      <w:pPr>
        <w:spacing w:after="0" w:line="144"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As a percentage of net sales, our gross profit rate was 13.6% and 17.8% for the three months ended December 27, 2014 and December 28, 2013, respectively. Factors contributing to the change in gross profit rate are outlined in the following table:</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40" w:type="dxa"/>
            <w:vAlign w:val="bottom"/>
          </w:tcPr>
          <w:p>
            <w:pPr>
              <w:spacing w:after="0"/>
              <w:rPr>
                <w:sz w:val="16"/>
                <w:szCs w:val="16"/>
                <w:color w:val="auto"/>
              </w:rPr>
            </w:pPr>
          </w:p>
        </w:tc>
        <w:tc>
          <w:tcPr>
            <w:tcW w:w="296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THREE MONTHS ENDED</w:t>
            </w:r>
          </w:p>
        </w:tc>
      </w:tr>
      <w:tr>
        <w:trPr>
          <w:trHeight w:val="250"/>
        </w:trPr>
        <w:tc>
          <w:tcPr>
            <w:tcW w:w="8440" w:type="dxa"/>
            <w:vAlign w:val="bottom"/>
            <w:tcBorders>
              <w:bottom w:val="single" w:sz="8" w:color="CCEEFF"/>
            </w:tcBorders>
          </w:tcPr>
          <w:p>
            <w:pPr>
              <w:spacing w:after="0"/>
              <w:rPr>
                <w:sz w:val="21"/>
                <w:szCs w:val="21"/>
                <w:color w:val="auto"/>
              </w:rPr>
            </w:pPr>
          </w:p>
        </w:tc>
        <w:tc>
          <w:tcPr>
            <w:tcW w:w="2960" w:type="dxa"/>
            <w:vAlign w:val="bottom"/>
            <w:tcBorders>
              <w:bottom w:val="single" w:sz="8" w:color="auto"/>
            </w:tcBorders>
          </w:tcPr>
          <w:p>
            <w:pPr>
              <w:jc w:val="right"/>
              <w:ind w:right="694"/>
              <w:spacing w:after="0"/>
              <w:rPr>
                <w:sz w:val="20"/>
                <w:szCs w:val="20"/>
                <w:color w:val="auto"/>
              </w:rPr>
            </w:pPr>
            <w:r>
              <w:rPr>
                <w:rFonts w:ascii="Arial" w:cs="Arial" w:eastAsia="Arial" w:hAnsi="Arial"/>
                <w:sz w:val="14"/>
                <w:szCs w:val="14"/>
                <w:b w:val="1"/>
                <w:bCs w:val="1"/>
                <w:color w:val="auto"/>
              </w:rPr>
              <w:t>DECEMBER 27, 2014</w:t>
            </w: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Pricing</w:t>
            </w:r>
          </w:p>
        </w:tc>
        <w:tc>
          <w:tcPr>
            <w:tcW w:w="2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0.2 %</w:t>
            </w: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color w:val="auto"/>
              </w:rPr>
              <w:t>Material costs</w:t>
            </w:r>
          </w:p>
        </w:tc>
        <w:tc>
          <w:tcPr>
            <w:tcW w:w="2960" w:type="dxa"/>
            <w:vAlign w:val="bottom"/>
          </w:tcPr>
          <w:p>
            <w:pPr>
              <w:jc w:val="right"/>
              <w:ind w:right="154"/>
              <w:spacing w:after="0"/>
              <w:rPr>
                <w:sz w:val="20"/>
                <w:szCs w:val="20"/>
                <w:color w:val="auto"/>
              </w:rPr>
            </w:pPr>
            <w:r>
              <w:rPr>
                <w:rFonts w:ascii="Arial" w:cs="Arial" w:eastAsia="Arial" w:hAnsi="Arial"/>
                <w:sz w:val="18"/>
                <w:szCs w:val="18"/>
                <w:color w:val="auto"/>
              </w:rPr>
              <w:t>—</w:t>
            </w:r>
          </w:p>
        </w:tc>
      </w:tr>
      <w:tr>
        <w:trPr>
          <w:trHeight w:val="27"/>
        </w:trPr>
        <w:tc>
          <w:tcPr>
            <w:tcW w:w="8440" w:type="dxa"/>
            <w:vAlign w:val="bottom"/>
          </w:tcPr>
          <w:p>
            <w:pPr>
              <w:spacing w:after="0"/>
              <w:rPr>
                <w:sz w:val="2"/>
                <w:szCs w:val="2"/>
                <w:color w:val="auto"/>
              </w:rPr>
            </w:pPr>
          </w:p>
        </w:tc>
        <w:tc>
          <w:tcPr>
            <w:tcW w:w="296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Product mix and volume:</w:t>
            </w:r>
          </w:p>
        </w:tc>
        <w:tc>
          <w:tcPr>
            <w:tcW w:w="2960" w:type="dxa"/>
            <w:vAlign w:val="bottom"/>
            <w:tcBorders>
              <w:bottom w:val="single" w:sz="8" w:color="CCEEFF"/>
            </w:tcBorders>
            <w:shd w:val="clear" w:color="auto" w:fill="CCEEFF"/>
          </w:tcPr>
          <w:p>
            <w:pPr>
              <w:spacing w:after="0"/>
              <w:rPr>
                <w:sz w:val="21"/>
                <w:szCs w:val="21"/>
                <w:color w:val="auto"/>
              </w:rPr>
            </w:pPr>
          </w:p>
        </w:tc>
      </w:tr>
      <w:tr>
        <w:trPr>
          <w:trHeight w:val="270"/>
        </w:trPr>
        <w:tc>
          <w:tcPr>
            <w:tcW w:w="8440" w:type="dxa"/>
            <w:vAlign w:val="bottom"/>
          </w:tcPr>
          <w:p>
            <w:pPr>
              <w:ind w:left="360"/>
              <w:spacing w:after="0" w:line="270" w:lineRule="exact"/>
              <w:rPr>
                <w:sz w:val="20"/>
                <w:szCs w:val="20"/>
                <w:color w:val="auto"/>
              </w:rPr>
            </w:pPr>
            <w:r>
              <w:rPr>
                <w:rFonts w:ascii="Arial" w:cs="Arial" w:eastAsia="Arial" w:hAnsi="Arial"/>
                <w:sz w:val="18"/>
                <w:szCs w:val="18"/>
                <w:color w:val="auto"/>
              </w:rPr>
              <w:t>Roundup</w:t>
            </w:r>
            <w:r>
              <w:rPr>
                <w:rFonts w:ascii="Arial" w:cs="Arial" w:eastAsia="Arial" w:hAnsi="Arial"/>
                <w:sz w:val="25"/>
                <w:szCs w:val="25"/>
                <w:color w:val="auto"/>
                <w:vertAlign w:val="superscript"/>
              </w:rPr>
              <w:t>®</w:t>
            </w:r>
            <w:r>
              <w:rPr>
                <w:rFonts w:ascii="Arial" w:cs="Arial" w:eastAsia="Arial" w:hAnsi="Arial"/>
                <w:sz w:val="18"/>
                <w:szCs w:val="18"/>
                <w:color w:val="auto"/>
              </w:rPr>
              <w:t xml:space="preserve"> commissions and reimbursements</w:t>
            </w:r>
          </w:p>
        </w:tc>
        <w:tc>
          <w:tcPr>
            <w:tcW w:w="2960" w:type="dxa"/>
            <w:vAlign w:val="bottom"/>
          </w:tcPr>
          <w:p>
            <w:pPr>
              <w:jc w:val="right"/>
              <w:ind w:right="94"/>
              <w:spacing w:after="0"/>
              <w:rPr>
                <w:sz w:val="20"/>
                <w:szCs w:val="20"/>
                <w:color w:val="auto"/>
              </w:rPr>
            </w:pPr>
            <w:r>
              <w:rPr>
                <w:rFonts w:ascii="Arial" w:cs="Arial" w:eastAsia="Arial" w:hAnsi="Arial"/>
                <w:sz w:val="18"/>
                <w:szCs w:val="18"/>
                <w:color w:val="auto"/>
              </w:rPr>
              <w:t>(0.1)</w:t>
            </w:r>
          </w:p>
        </w:tc>
      </w:tr>
      <w:tr>
        <w:trPr>
          <w:trHeight w:val="250"/>
        </w:trPr>
        <w:tc>
          <w:tcPr>
            <w:tcW w:w="8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Acquisitions</w:t>
            </w:r>
          </w:p>
        </w:tc>
        <w:tc>
          <w:tcPr>
            <w:tcW w:w="296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0.5</w:t>
            </w:r>
          </w:p>
        </w:tc>
      </w:tr>
      <w:tr>
        <w:trPr>
          <w:trHeight w:val="243"/>
        </w:trPr>
        <w:tc>
          <w:tcPr>
            <w:tcW w:w="8440" w:type="dxa"/>
            <w:vAlign w:val="bottom"/>
          </w:tcPr>
          <w:p>
            <w:pPr>
              <w:ind w:left="380"/>
              <w:spacing w:after="0"/>
              <w:rPr>
                <w:sz w:val="20"/>
                <w:szCs w:val="20"/>
                <w:color w:val="auto"/>
              </w:rPr>
            </w:pPr>
            <w:r>
              <w:rPr>
                <w:rFonts w:ascii="Arial" w:cs="Arial" w:eastAsia="Arial" w:hAnsi="Arial"/>
                <w:sz w:val="18"/>
                <w:szCs w:val="18"/>
                <w:color w:val="auto"/>
              </w:rPr>
              <w:t>Corporate &amp; Other</w:t>
            </w:r>
          </w:p>
        </w:tc>
        <w:tc>
          <w:tcPr>
            <w:tcW w:w="2960" w:type="dxa"/>
            <w:vAlign w:val="bottom"/>
          </w:tcPr>
          <w:p>
            <w:pPr>
              <w:jc w:val="right"/>
              <w:ind w:right="154"/>
              <w:spacing w:after="0"/>
              <w:rPr>
                <w:sz w:val="20"/>
                <w:szCs w:val="20"/>
                <w:color w:val="auto"/>
              </w:rPr>
            </w:pPr>
            <w:r>
              <w:rPr>
                <w:rFonts w:ascii="Arial" w:cs="Arial" w:eastAsia="Arial" w:hAnsi="Arial"/>
                <w:sz w:val="18"/>
                <w:szCs w:val="18"/>
                <w:color w:val="auto"/>
              </w:rPr>
              <w:t>0.2</w:t>
            </w:r>
          </w:p>
        </w:tc>
      </w:tr>
      <w:tr>
        <w:trPr>
          <w:trHeight w:val="27"/>
        </w:trPr>
        <w:tc>
          <w:tcPr>
            <w:tcW w:w="8440" w:type="dxa"/>
            <w:vAlign w:val="bottom"/>
          </w:tcPr>
          <w:p>
            <w:pPr>
              <w:spacing w:after="0"/>
              <w:rPr>
                <w:sz w:val="2"/>
                <w:szCs w:val="2"/>
                <w:color w:val="auto"/>
              </w:rPr>
            </w:pPr>
          </w:p>
        </w:tc>
        <w:tc>
          <w:tcPr>
            <w:tcW w:w="2960" w:type="dxa"/>
            <w:vAlign w:val="bottom"/>
          </w:tcPr>
          <w:p>
            <w:pPr>
              <w:spacing w:after="0"/>
              <w:rPr>
                <w:sz w:val="2"/>
                <w:szCs w:val="2"/>
                <w:color w:val="auto"/>
              </w:rPr>
            </w:pPr>
          </w:p>
        </w:tc>
      </w:tr>
      <w:tr>
        <w:trPr>
          <w:trHeight w:val="270"/>
        </w:trPr>
        <w:tc>
          <w:tcPr>
            <w:tcW w:w="8440" w:type="dxa"/>
            <w:vAlign w:val="bottom"/>
            <w:shd w:val="clear" w:color="auto" w:fill="CCEEFF"/>
          </w:tcPr>
          <w:p>
            <w:pPr>
              <w:ind w:left="380"/>
              <w:spacing w:after="0" w:line="270" w:lineRule="exact"/>
              <w:rPr>
                <w:sz w:val="20"/>
                <w:szCs w:val="20"/>
                <w:color w:val="auto"/>
              </w:rPr>
            </w:pPr>
            <w:r>
              <w:rPr>
                <w:rFonts w:ascii="Arial" w:cs="Arial" w:eastAsia="Arial" w:hAnsi="Arial"/>
                <w:sz w:val="18"/>
                <w:szCs w:val="18"/>
                <w:color w:val="auto"/>
              </w:rPr>
              <w:t>Scotts LawnService</w:t>
            </w:r>
            <w:r>
              <w:rPr>
                <w:rFonts w:ascii="Arial" w:cs="Arial" w:eastAsia="Arial" w:hAnsi="Arial"/>
                <w:sz w:val="25"/>
                <w:szCs w:val="25"/>
                <w:color w:val="auto"/>
                <w:vertAlign w:val="superscript"/>
              </w:rPr>
              <w:t>®</w:t>
            </w:r>
          </w:p>
        </w:tc>
        <w:tc>
          <w:tcPr>
            <w:tcW w:w="296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0.1</w:t>
            </w:r>
          </w:p>
        </w:tc>
      </w:tr>
      <w:tr>
        <w:trPr>
          <w:trHeight w:val="243"/>
        </w:trPr>
        <w:tc>
          <w:tcPr>
            <w:tcW w:w="8440" w:type="dxa"/>
            <w:vAlign w:val="bottom"/>
          </w:tcPr>
          <w:p>
            <w:pPr>
              <w:ind w:left="380"/>
              <w:spacing w:after="0"/>
              <w:rPr>
                <w:sz w:val="20"/>
                <w:szCs w:val="20"/>
                <w:color w:val="auto"/>
              </w:rPr>
            </w:pPr>
            <w:r>
              <w:rPr>
                <w:rFonts w:ascii="Arial" w:cs="Arial" w:eastAsia="Arial" w:hAnsi="Arial"/>
                <w:sz w:val="18"/>
                <w:szCs w:val="18"/>
                <w:color w:val="auto"/>
              </w:rPr>
              <w:t>Global Consumer mix and volume</w:t>
            </w:r>
          </w:p>
        </w:tc>
        <w:tc>
          <w:tcPr>
            <w:tcW w:w="2960" w:type="dxa"/>
            <w:vAlign w:val="bottom"/>
          </w:tcPr>
          <w:p>
            <w:pPr>
              <w:jc w:val="right"/>
              <w:ind w:right="94"/>
              <w:spacing w:after="0"/>
              <w:rPr>
                <w:sz w:val="20"/>
                <w:szCs w:val="20"/>
                <w:color w:val="auto"/>
              </w:rPr>
            </w:pPr>
            <w:r>
              <w:rPr>
                <w:rFonts w:ascii="Arial" w:cs="Arial" w:eastAsia="Arial" w:hAnsi="Arial"/>
                <w:sz w:val="18"/>
                <w:szCs w:val="18"/>
                <w:color w:val="auto"/>
              </w:rPr>
              <w:t>(5.1)</w:t>
            </w:r>
          </w:p>
        </w:tc>
      </w:tr>
      <w:tr>
        <w:trPr>
          <w:trHeight w:val="27"/>
        </w:trPr>
        <w:tc>
          <w:tcPr>
            <w:tcW w:w="8440" w:type="dxa"/>
            <w:vAlign w:val="bottom"/>
            <w:tcBorders>
              <w:bottom w:val="single" w:sz="8" w:color="CCEEFF"/>
            </w:tcBorders>
          </w:tcPr>
          <w:p>
            <w:pPr>
              <w:spacing w:after="0"/>
              <w:rPr>
                <w:sz w:val="2"/>
                <w:szCs w:val="2"/>
                <w:color w:val="auto"/>
              </w:rPr>
            </w:pPr>
          </w:p>
        </w:tc>
        <w:tc>
          <w:tcPr>
            <w:tcW w:w="2960" w:type="dxa"/>
            <w:vAlign w:val="bottom"/>
            <w:tcBorders>
              <w:bottom w:val="single" w:sz="8" w:color="auto"/>
            </w:tcBorders>
          </w:tcPr>
          <w:p>
            <w:pPr>
              <w:spacing w:after="0"/>
              <w:rPr>
                <w:sz w:val="2"/>
                <w:szCs w:val="2"/>
                <w:color w:val="auto"/>
              </w:rPr>
            </w:pPr>
          </w:p>
        </w:tc>
      </w:tr>
      <w:tr>
        <w:trPr>
          <w:trHeight w:val="269"/>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in gross profit rate</w:t>
            </w:r>
          </w:p>
        </w:tc>
        <w:tc>
          <w:tcPr>
            <w:tcW w:w="2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29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ectPr>
          <w:pgSz w:w="11900" w:h="16838" w:orient="portrait"/>
          <w:cols w:equalWidth="0" w:num="1">
            <w:col w:w="11420"/>
          </w:cols>
          <w:pgMar w:left="240" w:top="125" w:right="239" w:bottom="1440" w:gutter="0" w:footer="0" w:header="0"/>
          <w:type w:val="continuous"/>
        </w:sectPr>
      </w:pPr>
    </w:p>
    <w:bookmarkStart w:id="35" w:name="page36"/>
    <w:bookmarkEnd w:id="35"/>
    <w:p>
      <w:pPr>
        <w:spacing w:after="0"/>
        <w:rPr>
          <w:rFonts w:ascii="Arial" w:cs="Arial" w:eastAsia="Arial" w:hAnsi="Arial"/>
          <w:sz w:val="18"/>
          <w:szCs w:val="18"/>
          <w:color w:val="FFFFFF"/>
        </w:rPr>
      </w:pPr>
      <w:hyperlink w:anchor="page1">
        <w:r>
          <w:rPr>
            <w:rFonts w:ascii="Arial" w:cs="Arial" w:eastAsia="Arial" w:hAnsi="Arial"/>
            <w:sz w:val="18"/>
            <w:szCs w:val="18"/>
            <w:color w:val="FFFFFF"/>
          </w:rPr>
          <w:t>Table of Contents</w:t>
        </w:r>
      </w:hyperlink>
    </w:p>
    <w:p>
      <w:pPr>
        <w:spacing w:after="0" w:line="3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decrease in the gross profit rate, for the three months ended December 27, 2014, was primarily driven by:</w:t>
      </w:r>
    </w:p>
    <w:p>
      <w:pPr>
        <w:spacing w:after="0" w:line="131" w:lineRule="exact"/>
        <w:rPr>
          <w:sz w:val="20"/>
          <w:szCs w:val="20"/>
          <w:color w:val="auto"/>
        </w:rPr>
      </w:pPr>
    </w:p>
    <w:p>
      <w:pPr>
        <w:jc w:val="both"/>
        <w:ind w:left="980" w:hanging="324"/>
        <w:spacing w:after="0" w:line="264"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increased distribution costs within Global Consumer segment mix and volume due to the recognition of negative mark-to-market adjustments of $6.8 million associated with our fuel hedges. We expect to offset the negative mark-to-market adjustments with savings from future fuel purchases within the current fiscal year; and</w:t>
      </w:r>
    </w:p>
    <w:p>
      <w:pPr>
        <w:spacing w:after="0" w:line="73" w:lineRule="exact"/>
        <w:rPr>
          <w:rFonts w:ascii="Arial" w:cs="Arial" w:eastAsia="Arial" w:hAnsi="Arial"/>
          <w:sz w:val="18"/>
          <w:szCs w:val="18"/>
          <w:color w:val="auto"/>
        </w:rPr>
      </w:pPr>
    </w:p>
    <w:p>
      <w:pPr>
        <w:ind w:left="980" w:hanging="324"/>
        <w:spacing w:after="0" w:line="275"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partially offset by the acquisitions of AeroGrow and Fafard within our Global Consumer segment and Action Pest within our Scotts LawnService</w:t>
      </w:r>
      <w:r>
        <w:rPr>
          <w:rFonts w:ascii="Arial" w:cs="Arial" w:eastAsia="Arial" w:hAnsi="Arial"/>
          <w:sz w:val="25"/>
          <w:szCs w:val="25"/>
          <w:color w:val="auto"/>
          <w:vertAlign w:val="superscript"/>
        </w:rPr>
        <w:t>®</w:t>
      </w:r>
      <w:r>
        <w:rPr>
          <w:rFonts w:ascii="Arial" w:cs="Arial" w:eastAsia="Arial" w:hAnsi="Arial"/>
          <w:sz w:val="18"/>
          <w:szCs w:val="18"/>
          <w:color w:val="auto"/>
        </w:rPr>
        <w:t xml:space="preserve"> segment.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4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sets forth the components of selling, general and administrative expenses: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3"/>
          </w:tcPr>
          <w:p>
            <w:pPr>
              <w:jc w:val="right"/>
              <w:ind w:right="56"/>
              <w:spacing w:after="0"/>
              <w:rPr>
                <w:sz w:val="20"/>
                <w:szCs w:val="20"/>
                <w:color w:val="auto"/>
              </w:rPr>
            </w:pPr>
            <w:r>
              <w:rPr>
                <w:rFonts w:ascii="Arial" w:cs="Arial" w:eastAsia="Arial" w:hAnsi="Arial"/>
                <w:sz w:val="14"/>
                <w:szCs w:val="14"/>
                <w:b w:val="1"/>
                <w:bCs w:val="1"/>
                <w:color w:val="auto"/>
              </w:rPr>
              <w:t>THREE MONTHS ENDED</w:t>
            </w:r>
          </w:p>
        </w:tc>
        <w:tc>
          <w:tcPr>
            <w:tcW w:w="640" w:type="dxa"/>
            <w:vAlign w:val="bottom"/>
            <w:tcBorders>
              <w:bottom w:val="single" w:sz="8" w:color="auto"/>
            </w:tcBorders>
          </w:tcPr>
          <w:p>
            <w:pPr>
              <w:spacing w:after="0"/>
              <w:rPr>
                <w:sz w:val="16"/>
                <w:szCs w:val="16"/>
                <w:color w:val="auto"/>
              </w:rPr>
            </w:pPr>
          </w:p>
        </w:tc>
      </w:tr>
      <w:tr>
        <w:trPr>
          <w:trHeight w:val="264"/>
        </w:trPr>
        <w:tc>
          <w:tcPr>
            <w:tcW w:w="812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DECEMBER 27, 2014</w:t>
            </w:r>
          </w:p>
        </w:tc>
        <w:tc>
          <w:tcPr>
            <w:tcW w:w="160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4"/>
                <w:szCs w:val="14"/>
                <w:b w:val="1"/>
                <w:bCs w:val="1"/>
                <w:color w:val="auto"/>
              </w:rPr>
              <w:t>DECEMBER 28, 2013</w:t>
            </w:r>
          </w:p>
        </w:tc>
      </w:tr>
      <w:tr>
        <w:trPr>
          <w:trHeight w:val="250"/>
        </w:trPr>
        <w:tc>
          <w:tcPr>
            <w:tcW w:w="8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560" w:type="dxa"/>
            <w:vAlign w:val="bottom"/>
            <w:gridSpan w:val="3"/>
          </w:tcPr>
          <w:p>
            <w:pPr>
              <w:jc w:val="right"/>
              <w:ind w:right="536"/>
              <w:spacing w:after="0"/>
              <w:rPr>
                <w:sz w:val="20"/>
                <w:szCs w:val="20"/>
                <w:color w:val="auto"/>
              </w:rPr>
            </w:pPr>
            <w:r>
              <w:rPr>
                <w:rFonts w:ascii="Arial" w:cs="Arial" w:eastAsia="Arial" w:hAnsi="Arial"/>
                <w:sz w:val="14"/>
                <w:szCs w:val="14"/>
                <w:b w:val="1"/>
                <w:bCs w:val="1"/>
                <w:color w:val="auto"/>
              </w:rPr>
              <w:t>(In millions)</w:t>
            </w:r>
          </w:p>
        </w:tc>
        <w:tc>
          <w:tcPr>
            <w:tcW w:w="640" w:type="dxa"/>
            <w:vAlign w:val="bottom"/>
          </w:tcPr>
          <w:p>
            <w:pPr>
              <w:spacing w:after="0"/>
              <w:rPr>
                <w:sz w:val="21"/>
                <w:szCs w:val="21"/>
                <w:color w:val="auto"/>
              </w:rPr>
            </w:pPr>
          </w:p>
        </w:tc>
      </w:tr>
      <w:tr>
        <w:trPr>
          <w:trHeight w:val="256"/>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Advertising</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9.5</w:t>
            </w:r>
          </w:p>
        </w:tc>
        <w:tc>
          <w:tcPr>
            <w:tcW w:w="1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756"/>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Share-based compensation</w:t>
            </w:r>
          </w:p>
        </w:tc>
        <w:tc>
          <w:tcPr>
            <w:tcW w:w="100" w:type="dxa"/>
            <w:vAlign w:val="bottom"/>
          </w:tcPr>
          <w:p>
            <w:pPr>
              <w:spacing w:after="0"/>
              <w:rPr>
                <w:sz w:val="21"/>
                <w:szCs w:val="21"/>
                <w:color w:val="auto"/>
              </w:rPr>
            </w:pPr>
          </w:p>
        </w:tc>
        <w:tc>
          <w:tcPr>
            <w:tcW w:w="1500" w:type="dxa"/>
            <w:vAlign w:val="bottom"/>
          </w:tcPr>
          <w:p>
            <w:pPr>
              <w:jc w:val="right"/>
              <w:ind w:right="16"/>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1.8</w:t>
            </w:r>
          </w:p>
        </w:tc>
      </w:tr>
      <w:tr>
        <w:trPr>
          <w:trHeight w:val="27"/>
        </w:trPr>
        <w:tc>
          <w:tcPr>
            <w:tcW w:w="8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1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10.2</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11.0</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Amortization of intangibles</w:t>
            </w:r>
          </w:p>
        </w:tc>
        <w:tc>
          <w:tcPr>
            <w:tcW w:w="100" w:type="dxa"/>
            <w:vAlign w:val="bottom"/>
          </w:tcPr>
          <w:p>
            <w:pPr>
              <w:spacing w:after="0"/>
              <w:rPr>
                <w:sz w:val="21"/>
                <w:szCs w:val="21"/>
                <w:color w:val="auto"/>
              </w:rPr>
            </w:pPr>
          </w:p>
        </w:tc>
        <w:tc>
          <w:tcPr>
            <w:tcW w:w="1500" w:type="dxa"/>
            <w:vAlign w:val="bottom"/>
          </w:tcPr>
          <w:p>
            <w:pPr>
              <w:jc w:val="right"/>
              <w:ind w:right="16"/>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2.4</w:t>
            </w:r>
          </w:p>
        </w:tc>
      </w:tr>
      <w:tr>
        <w:trPr>
          <w:trHeight w:val="27"/>
        </w:trPr>
        <w:tc>
          <w:tcPr>
            <w:tcW w:w="8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selling, general and administrative</w:t>
            </w:r>
          </w:p>
        </w:tc>
        <w:tc>
          <w:tcPr>
            <w:tcW w:w="1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102.1</w:t>
            </w:r>
          </w:p>
        </w:tc>
        <w:tc>
          <w:tcPr>
            <w:tcW w:w="1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101.6</w:t>
            </w:r>
          </w:p>
        </w:tc>
      </w:tr>
      <w:tr>
        <w:trPr>
          <w:trHeight w:val="237"/>
        </w:trPr>
        <w:tc>
          <w:tcPr>
            <w:tcW w:w="8120" w:type="dxa"/>
            <w:vAlign w:val="bottom"/>
          </w:tcPr>
          <w:p>
            <w:pPr>
              <w:spacing w:after="0"/>
              <w:rPr>
                <w:sz w:val="20"/>
                <w:szCs w:val="20"/>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126.9</w:t>
            </w:r>
          </w:p>
        </w:tc>
        <w:tc>
          <w:tcPr>
            <w:tcW w:w="100" w:type="dxa"/>
            <w:vAlign w:val="bottom"/>
          </w:tcPr>
          <w:p>
            <w:pPr>
              <w:spacing w:after="0"/>
              <w:rPr>
                <w:sz w:val="20"/>
                <w:szCs w:val="20"/>
                <w:color w:val="auto"/>
              </w:rPr>
            </w:pPr>
          </w:p>
        </w:tc>
        <w:tc>
          <w:tcPr>
            <w:tcW w:w="960" w:type="dxa"/>
            <w:vAlign w:val="bottom"/>
            <w:tcBorders>
              <w:top w:val="single" w:sz="8" w:color="auto"/>
            </w:tcBorders>
          </w:tcPr>
          <w:p>
            <w:pPr>
              <w:jc w:val="right"/>
              <w:ind w:right="756"/>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124.3</w:t>
            </w:r>
          </w:p>
        </w:tc>
      </w:tr>
      <w:tr>
        <w:trPr>
          <w:trHeight w:val="27"/>
        </w:trPr>
        <w:tc>
          <w:tcPr>
            <w:tcW w:w="8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0"/>
        </w:trPr>
        <w:tc>
          <w:tcPr>
            <w:tcW w:w="8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Selling, general and administrative (“SG&amp;A”) expenses increased $2.6 million, or 2.1%, to $126.9 million for the three months ended December 27, 2014 compared to the three months ended December 28, 2013. Advertising increased $2.0 million driven by timing and mix of Global Consumer media spending. The impact of the recent acquisitions for AeroGrow, Fafard, Solus and Action Pest were offset by reductions in compensation including management incentives as a result of our restructuring efforts over the past year.</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Restructuring and Other</w:t>
      </w:r>
    </w:p>
    <w:p>
      <w:pPr>
        <w:spacing w:after="0" w:line="144"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During the three months ended December 27, 2014, we recognized $9.6 million in restructuring costs related to termination benefits provided to U.S. and international personnel as part of the continuation of our previously announced fiscal 2014 restructuring plan to reduce management layers and streamline decision making.</w:t>
      </w:r>
    </w:p>
    <w:p>
      <w:pPr>
        <w:spacing w:after="0" w:line="100"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For the three months ended December 28, 2013, we recognized expense for employee severance charges of $0.3 million related to termination benefits provided to international employees as part of the profitability improvement initiative announced in December 2012, associated with the international restructuring plan to reduce headcount and streamline management decision making within the Global Consumer segment.</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net</w:t>
      </w:r>
    </w:p>
    <w:p>
      <w:pPr>
        <w:spacing w:after="0" w:line="144" w:lineRule="exact"/>
        <w:rPr>
          <w:sz w:val="20"/>
          <w:szCs w:val="20"/>
          <w:color w:val="auto"/>
        </w:rPr>
      </w:pPr>
    </w:p>
    <w:p>
      <w:pPr>
        <w:jc w:val="both"/>
        <w:ind w:firstLine="432"/>
        <w:spacing w:after="0" w:line="232" w:lineRule="auto"/>
        <w:rPr>
          <w:sz w:val="20"/>
          <w:szCs w:val="20"/>
          <w:color w:val="auto"/>
        </w:rPr>
      </w:pPr>
      <w:r>
        <w:rPr>
          <w:rFonts w:ascii="Arial" w:cs="Arial" w:eastAsia="Arial" w:hAnsi="Arial"/>
          <w:sz w:val="18"/>
          <w:szCs w:val="18"/>
          <w:color w:val="auto"/>
        </w:rPr>
        <w:t>Other income is comprised of activities outside our normal business operations, such as royalty income from the licensing of certain of our brand names, franchise fee income from our Scotts LawnService</w:t>
      </w:r>
      <w:r>
        <w:rPr>
          <w:rFonts w:ascii="Arial" w:cs="Arial" w:eastAsia="Arial" w:hAnsi="Arial"/>
          <w:sz w:val="25"/>
          <w:szCs w:val="25"/>
          <w:color w:val="auto"/>
          <w:vertAlign w:val="superscript"/>
        </w:rPr>
        <w:t>®</w:t>
      </w:r>
      <w:r>
        <w:rPr>
          <w:rFonts w:ascii="Arial" w:cs="Arial" w:eastAsia="Arial" w:hAnsi="Arial"/>
          <w:sz w:val="18"/>
          <w:szCs w:val="18"/>
          <w:color w:val="auto"/>
        </w:rPr>
        <w:t xml:space="preserve"> business, foreign exchange gains/losses, equity income (loss) on unconsolidated affiliates and gains/losses from the sale of non-inventory assets. Other income was $1.2 million for the three months ended December 27, 2014 compared to $1.0 million for the three months ended December 28, 2013.</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44"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Interest expense was $9.7 million for the three months ended December 27, 2014 compared to $13.9 million for the three months ended December 28, 2013. The decrease in interest expense of $4.2 million was driven by a decline in our weighted average interest rate during the three months ended December 27, 2014, as compared to the three months ended December 28, 2013. The decrease in our weighted average interest rate of 385 basis points was due to the reduced rates under the credit facility and the redemption of the 7.25% Senior Notes. Included in the interest expense for the three months ended December 28, 2013 was an acceleration of interest expense of $2.0 million for the ineffective portion of our interest rate hedges impacted by entering into the credit facility in December 2013.</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5" w:right="239" w:bottom="1440" w:gutter="0" w:footer="0" w:header="0"/>
        </w:sectPr>
      </w:pPr>
    </w:p>
    <w:bookmarkStart w:id="36" w:name="page37"/>
    <w:bookmarkEnd w:id="36"/>
    <w:p>
      <w:pPr>
        <w:spacing w:after="0"/>
        <w:rPr>
          <w:rFonts w:ascii="Arial" w:cs="Arial" w:eastAsia="Arial" w:hAnsi="Arial"/>
          <w:sz w:val="18"/>
          <w:szCs w:val="18"/>
          <w:color w:val="FFFFFF"/>
        </w:rPr>
      </w:pPr>
      <w:hyperlink w:anchor="page1">
        <w:r>
          <w:rPr>
            <w:rFonts w:ascii="Arial" w:cs="Arial" w:eastAsia="Arial" w:hAnsi="Arial"/>
            <w:sz w:val="18"/>
            <w:szCs w:val="18"/>
            <w:color w:val="FFFFFF"/>
          </w:rPr>
          <w:t>Table of Contents</w:t>
        </w:r>
      </w:hyperlink>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144"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The effective tax rate related to continuing operations for the three months ended December 27, 2014 was 36.0% compared to 36.6% for the three months ended December 28, 2013. The effective tax rate used for interim purposes was based on our best estimate of factors impacting the effective tax rate for the full fiscal year. Factors affecting the estimated effective tax rate include assumptions as to income by jurisdiction (domestic and foreign), the availability and utilization of tax credits and the existence of elements of income and expense that may not be taxable or deductible. The estimated effective tax rate is subject to revision in later interim periods and at fiscal year end as facts and circumstances change during the course of the fiscal year. There can be no assurances that the effective tax rate estimated for interim financial reporting purposes will approximate the effective tax rate determined at fiscal year end.</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from Continuing Operations</w:t>
      </w:r>
    </w:p>
    <w:p>
      <w:pPr>
        <w:spacing w:after="0" w:line="144" w:lineRule="exact"/>
        <w:rPr>
          <w:sz w:val="20"/>
          <w:szCs w:val="20"/>
          <w:color w:val="auto"/>
        </w:rPr>
      </w:pPr>
    </w:p>
    <w:p>
      <w:pPr>
        <w:jc w:val="both"/>
        <w:ind w:firstLine="405"/>
        <w:spacing w:after="0" w:line="290" w:lineRule="auto"/>
        <w:rPr>
          <w:sz w:val="20"/>
          <w:szCs w:val="20"/>
          <w:color w:val="auto"/>
        </w:rPr>
      </w:pPr>
      <w:r>
        <w:rPr>
          <w:rFonts w:ascii="Arial" w:cs="Arial" w:eastAsia="Arial" w:hAnsi="Arial"/>
          <w:sz w:val="16"/>
          <w:szCs w:val="16"/>
          <w:color w:val="auto"/>
        </w:rPr>
        <w:t>We reported a loss attributable to controlling interest from continuing operations of $74.6 million, or $1.23 per diluted share, for the three months ended December 27, 2014 compared to $65.7 million, or $1.06 per diluted share, for the three months ended December 28, 2013. We anticipated a loss in our first fiscal quarter due to the seasonal nature of our business, in which sales are heavily weighted to the spring and summer selling periods. The increase in our loss from continuing operations for the three months ended December 27, 2014 was primarily driven by a lower gross profit rate, higher SG&amp;A expenses and impairment, restructuring and other charges, partially offset by higher sales volume and lower interest and income tax expenses. Diluted average Common Shares used in the diluted net income per Common Share calculation were 60.8 million for the three months ended December 27, 2014 compared to 62.1 million for the three months ended December 28, 2013. The decrease in dilutive average Common Shares for the three months ended December 27, 2014 was a result of share repurchases, partially offset by the exercise and issuance of share-based compensation awards.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w:t>
      </w:r>
    </w:p>
    <w:p>
      <w:pPr>
        <w:spacing w:after="0" w:line="148" w:lineRule="exact"/>
        <w:rPr>
          <w:sz w:val="20"/>
          <w:szCs w:val="20"/>
          <w:color w:val="auto"/>
        </w:rPr>
      </w:pPr>
    </w:p>
    <w:p>
      <w:pPr>
        <w:jc w:val="both"/>
        <w:ind w:firstLine="432"/>
        <w:spacing w:after="0" w:line="223" w:lineRule="auto"/>
        <w:rPr>
          <w:sz w:val="20"/>
          <w:szCs w:val="20"/>
          <w:color w:val="auto"/>
        </w:rPr>
      </w:pPr>
      <w:r>
        <w:rPr>
          <w:rFonts w:ascii="Arial" w:cs="Arial" w:eastAsia="Arial" w:hAnsi="Arial"/>
          <w:sz w:val="17"/>
          <w:szCs w:val="17"/>
          <w:color w:val="auto"/>
        </w:rPr>
        <w:t>Our continuing operations are divided into two reportable segments: Global Consumer and Scotts LawnService</w:t>
      </w:r>
      <w:r>
        <w:rPr>
          <w:rFonts w:ascii="Arial" w:cs="Arial" w:eastAsia="Arial" w:hAnsi="Arial"/>
          <w:sz w:val="24"/>
          <w:szCs w:val="24"/>
          <w:color w:val="auto"/>
          <w:vertAlign w:val="superscript"/>
        </w:rPr>
        <w:t>®.</w:t>
      </w:r>
      <w:r>
        <w:rPr>
          <w:rFonts w:ascii="Arial" w:cs="Arial" w:eastAsia="Arial" w:hAnsi="Arial"/>
          <w:sz w:val="17"/>
          <w:szCs w:val="17"/>
          <w:color w:val="auto"/>
        </w:rPr>
        <w:t xml:space="preserve"> This division of reportable segments is consistent with how the segments report to, and are managed by, the chief operating decision maker of the Company. Corporate &amp; Other consists of revenues and expenses associated with our supply agreements with ICL and amortization related to the Roundup</w:t>
      </w:r>
      <w:r>
        <w:rPr>
          <w:rFonts w:ascii="Arial" w:cs="Arial" w:eastAsia="Arial" w:hAnsi="Arial"/>
          <w:sz w:val="24"/>
          <w:szCs w:val="24"/>
          <w:color w:val="auto"/>
          <w:vertAlign w:val="superscript"/>
        </w:rPr>
        <w:t>®</w:t>
      </w:r>
      <w:r>
        <w:rPr>
          <w:rFonts w:ascii="Arial" w:cs="Arial" w:eastAsia="Arial" w:hAnsi="Arial"/>
          <w:sz w:val="17"/>
          <w:szCs w:val="17"/>
          <w:color w:val="auto"/>
        </w:rPr>
        <w:t xml:space="preserve"> Marketing Agreement, as well as corporate, general and administrative expenses and certain other income/expense items not allocated to the business segments.</w:t>
      </w:r>
    </w:p>
    <w:p>
      <w:pPr>
        <w:spacing w:after="0" w:line="123"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Segment performance is evaluated on several factors, including income from continuing operations before amortization and impairment, restructuring and other charges, which is not a measure recognized under GAAP. Senior management uses this measure of operating profit to gauge segment performance because we believe this measure is most indicative of performance trends and the overall earnings potential of each segment.</w:t>
      </w:r>
    </w:p>
    <w:p>
      <w:pPr>
        <w:spacing w:after="0" w:line="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sets forth net sales by segment:</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600" w:type="dxa"/>
            <w:vAlign w:val="bottom"/>
          </w:tcPr>
          <w:p>
            <w:pPr>
              <w:spacing w:after="0"/>
              <w:rPr>
                <w:sz w:val="16"/>
                <w:szCs w:val="16"/>
                <w:color w:val="auto"/>
              </w:rPr>
            </w:pPr>
          </w:p>
        </w:tc>
        <w:tc>
          <w:tcPr>
            <w:tcW w:w="45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3"/>
          </w:tcPr>
          <w:p>
            <w:pPr>
              <w:jc w:val="right"/>
              <w:ind w:right="56"/>
              <w:spacing w:after="0"/>
              <w:rPr>
                <w:sz w:val="20"/>
                <w:szCs w:val="20"/>
                <w:color w:val="auto"/>
              </w:rPr>
            </w:pPr>
            <w:r>
              <w:rPr>
                <w:rFonts w:ascii="Arial" w:cs="Arial" w:eastAsia="Arial" w:hAnsi="Arial"/>
                <w:sz w:val="14"/>
                <w:szCs w:val="14"/>
                <w:b w:val="1"/>
                <w:bCs w:val="1"/>
                <w:color w:val="auto"/>
              </w:rPr>
              <w:t>THREE MONTHS ENDED</w:t>
            </w:r>
          </w:p>
        </w:tc>
        <w:tc>
          <w:tcPr>
            <w:tcW w:w="6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600" w:type="dxa"/>
            <w:vAlign w:val="bottom"/>
          </w:tcPr>
          <w:p>
            <w:pPr>
              <w:spacing w:after="0"/>
              <w:rPr>
                <w:sz w:val="22"/>
                <w:szCs w:val="22"/>
                <w:color w:val="auto"/>
              </w:rPr>
            </w:pPr>
          </w:p>
        </w:tc>
        <w:tc>
          <w:tcPr>
            <w:tcW w:w="452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DECEMBER 27, 2014</w:t>
            </w:r>
          </w:p>
        </w:tc>
        <w:tc>
          <w:tcPr>
            <w:tcW w:w="160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4"/>
                <w:szCs w:val="14"/>
                <w:b w:val="1"/>
                <w:bCs w:val="1"/>
                <w:color w:val="auto"/>
              </w:rPr>
              <w:t>DECEMBER 28, 2013</w:t>
            </w:r>
          </w:p>
        </w:tc>
        <w:tc>
          <w:tcPr>
            <w:tcW w:w="0" w:type="dxa"/>
            <w:vAlign w:val="bottom"/>
          </w:tcPr>
          <w:p>
            <w:pPr>
              <w:spacing w:after="0"/>
              <w:rPr>
                <w:sz w:val="1"/>
                <w:szCs w:val="1"/>
                <w:color w:val="auto"/>
              </w:rPr>
            </w:pPr>
          </w:p>
        </w:tc>
      </w:tr>
      <w:tr>
        <w:trPr>
          <w:trHeight w:val="250"/>
        </w:trPr>
        <w:tc>
          <w:tcPr>
            <w:tcW w:w="3600" w:type="dxa"/>
            <w:vAlign w:val="bottom"/>
          </w:tcPr>
          <w:p>
            <w:pPr>
              <w:spacing w:after="0"/>
              <w:rPr>
                <w:sz w:val="21"/>
                <w:szCs w:val="21"/>
                <w:color w:val="auto"/>
              </w:rPr>
            </w:pPr>
          </w:p>
        </w:tc>
        <w:tc>
          <w:tcPr>
            <w:tcW w:w="4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560" w:type="dxa"/>
            <w:vAlign w:val="bottom"/>
            <w:gridSpan w:val="3"/>
          </w:tcPr>
          <w:p>
            <w:pPr>
              <w:jc w:val="right"/>
              <w:ind w:right="536"/>
              <w:spacing w:after="0"/>
              <w:rPr>
                <w:sz w:val="20"/>
                <w:szCs w:val="20"/>
                <w:color w:val="auto"/>
              </w:rPr>
            </w:pPr>
            <w:r>
              <w:rPr>
                <w:rFonts w:ascii="Arial" w:cs="Arial" w:eastAsia="Arial" w:hAnsi="Arial"/>
                <w:sz w:val="14"/>
                <w:szCs w:val="14"/>
                <w:b w:val="1"/>
                <w:bCs w:val="1"/>
                <w:color w:val="auto"/>
              </w:rPr>
              <w:t>(In millions)</w:t>
            </w:r>
          </w:p>
        </w:tc>
        <w:tc>
          <w:tcPr>
            <w:tcW w:w="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Global Consumer</w:t>
            </w:r>
          </w:p>
        </w:tc>
        <w:tc>
          <w:tcPr>
            <w:tcW w:w="46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163.6</w:t>
            </w:r>
          </w:p>
        </w:tc>
        <w:tc>
          <w:tcPr>
            <w:tcW w:w="1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756"/>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138.4</w:t>
            </w:r>
          </w:p>
        </w:tc>
        <w:tc>
          <w:tcPr>
            <w:tcW w:w="0" w:type="dxa"/>
            <w:vAlign w:val="bottom"/>
          </w:tcPr>
          <w:p>
            <w:pPr>
              <w:spacing w:after="0"/>
              <w:rPr>
                <w:sz w:val="1"/>
                <w:szCs w:val="1"/>
                <w:color w:val="auto"/>
              </w:rPr>
            </w:pPr>
          </w:p>
        </w:tc>
      </w:tr>
      <w:tr>
        <w:trPr>
          <w:trHeight w:val="270"/>
        </w:trPr>
        <w:tc>
          <w:tcPr>
            <w:tcW w:w="360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Scotts LawnService</w:t>
            </w:r>
            <w:r>
              <w:rPr>
                <w:rFonts w:ascii="Arial" w:cs="Arial" w:eastAsia="Arial" w:hAnsi="Arial"/>
                <w:sz w:val="25"/>
                <w:szCs w:val="25"/>
                <w:color w:val="auto"/>
                <w:vertAlign w:val="superscript"/>
              </w:rPr>
              <w:t>®</w:t>
            </w:r>
          </w:p>
        </w:tc>
        <w:tc>
          <w:tcPr>
            <w:tcW w:w="4520" w:type="dxa"/>
            <w:vAlign w:val="bottom"/>
            <w:tcBorders>
              <w:bottom w:val="single" w:sz="8" w:color="CCEEFF"/>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50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46.7</w:t>
            </w:r>
          </w:p>
        </w:tc>
        <w:tc>
          <w:tcPr>
            <w:tcW w:w="100" w:type="dxa"/>
            <w:vAlign w:val="bottom"/>
            <w:tcBorders>
              <w:bottom w:val="single" w:sz="8" w:color="CCEEFF"/>
            </w:tcBorders>
          </w:tcPr>
          <w:p>
            <w:pPr>
              <w:spacing w:after="0"/>
              <w:rPr>
                <w:sz w:val="23"/>
                <w:szCs w:val="23"/>
                <w:color w:val="auto"/>
              </w:rPr>
            </w:pPr>
          </w:p>
        </w:tc>
        <w:tc>
          <w:tcPr>
            <w:tcW w:w="96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46.3</w:t>
            </w:r>
          </w:p>
        </w:tc>
        <w:tc>
          <w:tcPr>
            <w:tcW w:w="0" w:type="dxa"/>
            <w:vAlign w:val="bottom"/>
          </w:tcPr>
          <w:p>
            <w:pPr>
              <w:spacing w:after="0"/>
              <w:rPr>
                <w:sz w:val="1"/>
                <w:szCs w:val="1"/>
                <w:color w:val="auto"/>
              </w:rPr>
            </w:pPr>
          </w:p>
        </w:tc>
      </w:tr>
      <w:tr>
        <w:trPr>
          <w:trHeight w:val="244"/>
        </w:trPr>
        <w:tc>
          <w:tcPr>
            <w:tcW w:w="36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Segment total</w:t>
            </w:r>
          </w:p>
        </w:tc>
        <w:tc>
          <w:tcPr>
            <w:tcW w:w="4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210.3</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184.7</w:t>
            </w:r>
          </w:p>
        </w:tc>
        <w:tc>
          <w:tcPr>
            <w:tcW w:w="0" w:type="dxa"/>
            <w:vAlign w:val="bottom"/>
          </w:tcPr>
          <w:p>
            <w:pPr>
              <w:spacing w:after="0"/>
              <w:rPr>
                <w:sz w:val="1"/>
                <w:szCs w:val="1"/>
                <w:color w:val="auto"/>
              </w:rPr>
            </w:pPr>
          </w:p>
        </w:tc>
      </w:tr>
      <w:tr>
        <w:trPr>
          <w:trHeight w:val="243"/>
        </w:trPr>
        <w:tc>
          <w:tcPr>
            <w:tcW w:w="3600" w:type="dxa"/>
            <w:vAlign w:val="bottom"/>
          </w:tcPr>
          <w:p>
            <w:pPr>
              <w:ind w:left="40"/>
              <w:spacing w:after="0"/>
              <w:rPr>
                <w:sz w:val="20"/>
                <w:szCs w:val="20"/>
                <w:color w:val="auto"/>
              </w:rPr>
            </w:pPr>
            <w:r>
              <w:rPr>
                <w:rFonts w:ascii="Arial" w:cs="Arial" w:eastAsia="Arial" w:hAnsi="Arial"/>
                <w:sz w:val="18"/>
                <w:szCs w:val="18"/>
                <w:color w:val="auto"/>
              </w:rPr>
              <w:t>Corporate &amp; Other</w:t>
            </w:r>
          </w:p>
        </w:tc>
        <w:tc>
          <w:tcPr>
            <w:tcW w:w="4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00" w:type="dxa"/>
            <w:vAlign w:val="bottom"/>
          </w:tcPr>
          <w:p>
            <w:pPr>
              <w:jc w:val="right"/>
              <w:ind w:right="17"/>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7"/>
        </w:trPr>
        <w:tc>
          <w:tcPr>
            <w:tcW w:w="3600" w:type="dxa"/>
            <w:vAlign w:val="bottom"/>
            <w:tcBorders>
              <w:bottom w:val="single" w:sz="8" w:color="CCEEFF"/>
            </w:tcBorders>
          </w:tcPr>
          <w:p>
            <w:pPr>
              <w:spacing w:after="0"/>
              <w:rPr>
                <w:sz w:val="2"/>
                <w:szCs w:val="2"/>
                <w:color w:val="auto"/>
              </w:rPr>
            </w:pPr>
          </w:p>
        </w:tc>
        <w:tc>
          <w:tcPr>
            <w:tcW w:w="45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6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Consolidated</w:t>
            </w:r>
          </w:p>
        </w:tc>
        <w:tc>
          <w:tcPr>
            <w:tcW w:w="46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216.2</w:t>
            </w:r>
          </w:p>
        </w:tc>
        <w:tc>
          <w:tcPr>
            <w:tcW w:w="1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756"/>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189.6</w:t>
            </w:r>
          </w:p>
        </w:tc>
        <w:tc>
          <w:tcPr>
            <w:tcW w:w="0" w:type="dxa"/>
            <w:vAlign w:val="bottom"/>
          </w:tcPr>
          <w:p>
            <w:pPr>
              <w:spacing w:after="0"/>
              <w:rPr>
                <w:sz w:val="1"/>
                <w:szCs w:val="1"/>
                <w:color w:val="auto"/>
              </w:rPr>
            </w:pPr>
          </w:p>
        </w:tc>
      </w:tr>
      <w:tr>
        <w:trPr>
          <w:trHeight w:val="20"/>
        </w:trPr>
        <w:tc>
          <w:tcPr>
            <w:tcW w:w="3600" w:type="dxa"/>
            <w:vAlign w:val="bottom"/>
            <w:tcBorders>
              <w:top w:val="single" w:sz="8" w:color="CCEEFF"/>
            </w:tcBorders>
          </w:tcPr>
          <w:p>
            <w:pPr>
              <w:spacing w:after="0" w:line="20" w:lineRule="exact"/>
              <w:rPr>
                <w:sz w:val="1"/>
                <w:szCs w:val="1"/>
                <w:color w:val="auto"/>
              </w:rPr>
            </w:pPr>
          </w:p>
        </w:tc>
        <w:tc>
          <w:tcPr>
            <w:tcW w:w="4520" w:type="dxa"/>
            <w:vAlign w:val="bottom"/>
            <w:tcBorders>
              <w:top w:val="single" w:sz="8" w:color="CCEEFF"/>
              <w:bottom w:val="single" w:sz="8" w:color="CCEEFF"/>
            </w:tcBorders>
            <w:vMerge w:val="restart"/>
          </w:tcPr>
          <w:p>
            <w:pPr>
              <w:jc w:val="right"/>
              <w:ind w:right="2230"/>
              <w:spacing w:after="0"/>
              <w:rPr>
                <w:sz w:val="20"/>
                <w:szCs w:val="20"/>
                <w:color w:val="auto"/>
              </w:rPr>
            </w:pPr>
            <w:r>
              <w:rPr>
                <w:rFonts w:ascii="Arial" w:cs="Arial" w:eastAsia="Arial" w:hAnsi="Arial"/>
                <w:sz w:val="18"/>
                <w:szCs w:val="18"/>
                <w:color w:val="auto"/>
              </w:rPr>
              <w:t>37</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3600" w:type="dxa"/>
            <w:vAlign w:val="bottom"/>
          </w:tcPr>
          <w:p>
            <w:pPr>
              <w:spacing w:after="0"/>
              <w:rPr>
                <w:sz w:val="24"/>
                <w:szCs w:val="24"/>
                <w:color w:val="auto"/>
              </w:rPr>
            </w:pPr>
          </w:p>
        </w:tc>
        <w:tc>
          <w:tcPr>
            <w:tcW w:w="45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37" w:name="page38"/>
    <w:bookmarkEnd w:id="37"/>
    <w:p>
      <w:pPr>
        <w:spacing w:after="0"/>
        <w:rPr>
          <w:rFonts w:ascii="Arial" w:cs="Arial" w:eastAsia="Arial" w:hAnsi="Arial"/>
          <w:sz w:val="18"/>
          <w:szCs w:val="18"/>
          <w:color w:val="FFFFFF"/>
        </w:rPr>
      </w:pPr>
      <w:hyperlink w:anchor="page1">
        <w:r>
          <w:rPr>
            <w:rFonts w:ascii="Arial" w:cs="Arial" w:eastAsia="Arial" w:hAnsi="Arial"/>
            <w:sz w:val="18"/>
            <w:szCs w:val="18"/>
            <w:color w:val="FFFFFF"/>
          </w:rPr>
          <w:t>Table of Contents</w:t>
        </w:r>
      </w:hyperlink>
    </w:p>
    <w:p>
      <w:pPr>
        <w:spacing w:after="0" w:line="3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sets forth segment income (loss) from continuing operations before income taxes: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8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3"/>
          </w:tcPr>
          <w:p>
            <w:pPr>
              <w:jc w:val="right"/>
              <w:ind w:right="16"/>
              <w:spacing w:after="0"/>
              <w:rPr>
                <w:sz w:val="20"/>
                <w:szCs w:val="20"/>
                <w:color w:val="auto"/>
              </w:rPr>
            </w:pPr>
            <w:r>
              <w:rPr>
                <w:rFonts w:ascii="Arial" w:cs="Arial" w:eastAsia="Arial" w:hAnsi="Arial"/>
                <w:sz w:val="14"/>
                <w:szCs w:val="14"/>
                <w:b w:val="1"/>
                <w:bCs w:val="1"/>
                <w:color w:val="auto"/>
              </w:rPr>
              <w:t>THREE MONTHS ENDED</w:t>
            </w:r>
          </w:p>
        </w:tc>
        <w:tc>
          <w:tcPr>
            <w:tcW w:w="660" w:type="dxa"/>
            <w:vAlign w:val="bottom"/>
            <w:tcBorders>
              <w:bottom w:val="single" w:sz="8" w:color="auto"/>
            </w:tcBorders>
          </w:tcPr>
          <w:p>
            <w:pPr>
              <w:spacing w:after="0"/>
              <w:rPr>
                <w:sz w:val="16"/>
                <w:szCs w:val="16"/>
                <w:color w:val="auto"/>
              </w:rPr>
            </w:pPr>
          </w:p>
        </w:tc>
      </w:tr>
      <w:tr>
        <w:trPr>
          <w:trHeight w:val="264"/>
        </w:trPr>
        <w:tc>
          <w:tcPr>
            <w:tcW w:w="8080" w:type="dxa"/>
            <w:vAlign w:val="bottom"/>
          </w:tcPr>
          <w:p>
            <w:pPr>
              <w:spacing w:after="0"/>
              <w:rPr>
                <w:sz w:val="22"/>
                <w:szCs w:val="22"/>
                <w:color w:val="auto"/>
              </w:rPr>
            </w:pPr>
          </w:p>
        </w:tc>
        <w:tc>
          <w:tcPr>
            <w:tcW w:w="1700" w:type="dxa"/>
            <w:vAlign w:val="bottom"/>
            <w:tcBorders>
              <w:bottom w:val="single" w:sz="8" w:color="auto"/>
            </w:tcBorders>
            <w:gridSpan w:val="3"/>
          </w:tcPr>
          <w:p>
            <w:pPr>
              <w:ind w:left="120"/>
              <w:spacing w:after="0"/>
              <w:rPr>
                <w:sz w:val="20"/>
                <w:szCs w:val="20"/>
                <w:color w:val="auto"/>
              </w:rPr>
            </w:pPr>
            <w:r>
              <w:rPr>
                <w:rFonts w:ascii="Arial" w:cs="Arial" w:eastAsia="Arial" w:hAnsi="Arial"/>
                <w:sz w:val="14"/>
                <w:szCs w:val="14"/>
                <w:b w:val="1"/>
                <w:bCs w:val="1"/>
                <w:color w:val="auto"/>
              </w:rPr>
              <w:t>DECEMBER 27, 2014</w:t>
            </w:r>
          </w:p>
        </w:tc>
        <w:tc>
          <w:tcPr>
            <w:tcW w:w="158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rPr>
              <w:t>DECEMBER 28, 2013</w:t>
            </w:r>
          </w:p>
        </w:tc>
      </w:tr>
      <w:tr>
        <w:trPr>
          <w:trHeight w:val="250"/>
        </w:trPr>
        <w:tc>
          <w:tcPr>
            <w:tcW w:w="80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160" w:type="dxa"/>
            <w:vAlign w:val="bottom"/>
            <w:gridSpan w:val="3"/>
          </w:tcPr>
          <w:p>
            <w:pPr>
              <w:jc w:val="right"/>
              <w:ind w:right="496"/>
              <w:spacing w:after="0"/>
              <w:rPr>
                <w:sz w:val="20"/>
                <w:szCs w:val="20"/>
                <w:color w:val="auto"/>
              </w:rPr>
            </w:pPr>
            <w:r>
              <w:rPr>
                <w:rFonts w:ascii="Arial" w:cs="Arial" w:eastAsia="Arial" w:hAnsi="Arial"/>
                <w:sz w:val="14"/>
                <w:szCs w:val="14"/>
                <w:b w:val="1"/>
                <w:bCs w:val="1"/>
                <w:color w:val="auto"/>
              </w:rPr>
              <w:t>(In millions)</w:t>
            </w:r>
          </w:p>
        </w:tc>
        <w:tc>
          <w:tcPr>
            <w:tcW w:w="660" w:type="dxa"/>
            <w:vAlign w:val="bottom"/>
          </w:tcPr>
          <w:p>
            <w:pPr>
              <w:spacing w:after="0"/>
              <w:rPr>
                <w:sz w:val="21"/>
                <w:szCs w:val="21"/>
                <w:color w:val="auto"/>
              </w:rPr>
            </w:pPr>
          </w:p>
        </w:tc>
      </w:tr>
      <w:tr>
        <w:trPr>
          <w:trHeight w:val="256"/>
        </w:trPr>
        <w:tc>
          <w:tcPr>
            <w:tcW w:w="8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Global Consumer</w:t>
            </w:r>
          </w:p>
        </w:tc>
        <w:tc>
          <w:tcPr>
            <w:tcW w:w="460" w:type="dxa"/>
            <w:vAlign w:val="bottom"/>
            <w:tcBorders>
              <w:bottom w:val="single" w:sz="8" w:color="CCEEFF"/>
            </w:tcBorders>
            <w:shd w:val="clear" w:color="auto" w:fill="CCEEFF"/>
          </w:tcPr>
          <w:p>
            <w:pPr>
              <w:jc w:val="right"/>
              <w:ind w:right="256"/>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(74.2)</w:t>
            </w:r>
          </w:p>
        </w:tc>
        <w:tc>
          <w:tcPr>
            <w:tcW w:w="1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716"/>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(67.4)</w:t>
            </w:r>
          </w:p>
        </w:tc>
      </w:tr>
      <w:tr>
        <w:trPr>
          <w:trHeight w:val="270"/>
        </w:trPr>
        <w:tc>
          <w:tcPr>
            <w:tcW w:w="808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Scotts LawnService</w:t>
            </w:r>
            <w:r>
              <w:rPr>
                <w:rFonts w:ascii="Arial" w:cs="Arial" w:eastAsia="Arial" w:hAnsi="Arial"/>
                <w:sz w:val="25"/>
                <w:szCs w:val="25"/>
                <w:color w:val="auto"/>
                <w:vertAlign w:val="superscript"/>
              </w:rPr>
              <w:t>®</w:t>
            </w:r>
          </w:p>
        </w:tc>
        <w:tc>
          <w:tcPr>
            <w:tcW w:w="4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tcPr>
          <w:p>
            <w:pPr>
              <w:spacing w:after="0"/>
              <w:rPr>
                <w:sz w:val="23"/>
                <w:szCs w:val="23"/>
                <w:color w:val="auto"/>
              </w:rPr>
            </w:pPr>
          </w:p>
        </w:tc>
        <w:tc>
          <w:tcPr>
            <w:tcW w:w="92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2.6</w:t>
            </w:r>
          </w:p>
        </w:tc>
      </w:tr>
      <w:tr>
        <w:trPr>
          <w:trHeight w:val="244"/>
        </w:trPr>
        <w:tc>
          <w:tcPr>
            <w:tcW w:w="8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Segment total</w:t>
            </w: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(72.7)</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(64.8)</w:t>
            </w:r>
          </w:p>
        </w:tc>
      </w:tr>
      <w:tr>
        <w:trPr>
          <w:trHeight w:val="243"/>
        </w:trPr>
        <w:tc>
          <w:tcPr>
            <w:tcW w:w="8080" w:type="dxa"/>
            <w:vAlign w:val="bottom"/>
          </w:tcPr>
          <w:p>
            <w:pPr>
              <w:ind w:left="40"/>
              <w:spacing w:after="0"/>
              <w:rPr>
                <w:sz w:val="20"/>
                <w:szCs w:val="20"/>
                <w:color w:val="auto"/>
              </w:rPr>
            </w:pPr>
            <w:r>
              <w:rPr>
                <w:rFonts w:ascii="Arial" w:cs="Arial" w:eastAsia="Arial" w:hAnsi="Arial"/>
                <w:sz w:val="18"/>
                <w:szCs w:val="18"/>
                <w:color w:val="auto"/>
              </w:rPr>
              <w:t>Corporate &amp; Other</w:t>
            </w:r>
          </w:p>
        </w:tc>
        <w:tc>
          <w:tcPr>
            <w:tcW w:w="4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(20.2)</w:t>
            </w: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(21.7)</w:t>
            </w:r>
          </w:p>
        </w:tc>
      </w:tr>
      <w:tr>
        <w:trPr>
          <w:trHeight w:val="27"/>
        </w:trPr>
        <w:tc>
          <w:tcPr>
            <w:tcW w:w="80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8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 amortization</w:t>
            </w: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43"/>
        </w:trPr>
        <w:tc>
          <w:tcPr>
            <w:tcW w:w="8080" w:type="dxa"/>
            <w:vAlign w:val="bottom"/>
          </w:tcPr>
          <w:p>
            <w:pPr>
              <w:ind w:left="40"/>
              <w:spacing w:after="0"/>
              <w:rPr>
                <w:sz w:val="20"/>
                <w:szCs w:val="20"/>
                <w:color w:val="auto"/>
              </w:rPr>
            </w:pPr>
            <w:r>
              <w:rPr>
                <w:rFonts w:ascii="Arial" w:cs="Arial" w:eastAsia="Arial" w:hAnsi="Arial"/>
                <w:sz w:val="18"/>
                <w:szCs w:val="18"/>
                <w:color w:val="auto"/>
              </w:rPr>
              <w:t>Impairment, restructuring and other</w:t>
            </w:r>
          </w:p>
        </w:tc>
        <w:tc>
          <w:tcPr>
            <w:tcW w:w="4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(0.3)</w:t>
            </w:r>
          </w:p>
        </w:tc>
      </w:tr>
      <w:tr>
        <w:trPr>
          <w:trHeight w:val="27"/>
        </w:trPr>
        <w:tc>
          <w:tcPr>
            <w:tcW w:w="80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70"/>
        </w:trPr>
        <w:tc>
          <w:tcPr>
            <w:tcW w:w="8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4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w:t>
            </w:r>
          </w:p>
        </w:tc>
      </w:tr>
      <w:tr>
        <w:trPr>
          <w:trHeight w:val="237"/>
        </w:trPr>
        <w:tc>
          <w:tcPr>
            <w:tcW w:w="8080" w:type="dxa"/>
            <w:vAlign w:val="bottom"/>
          </w:tcPr>
          <w:p>
            <w:pPr>
              <w:ind w:left="380"/>
              <w:spacing w:after="0"/>
              <w:rPr>
                <w:sz w:val="20"/>
                <w:szCs w:val="20"/>
                <w:color w:val="auto"/>
              </w:rPr>
            </w:pPr>
            <w:r>
              <w:rPr>
                <w:rFonts w:ascii="Arial" w:cs="Arial" w:eastAsia="Arial" w:hAnsi="Arial"/>
                <w:sz w:val="18"/>
                <w:szCs w:val="18"/>
                <w:color w:val="auto"/>
              </w:rPr>
              <w:t>Consolidated</w:t>
            </w:r>
          </w:p>
        </w:tc>
        <w:tc>
          <w:tcPr>
            <w:tcW w:w="460" w:type="dxa"/>
            <w:vAlign w:val="bottom"/>
            <w:tcBorders>
              <w:top w:val="single" w:sz="8" w:color="auto"/>
            </w:tcBorders>
          </w:tcPr>
          <w:p>
            <w:pPr>
              <w:jc w:val="right"/>
              <w:ind w:right="256"/>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(115.7)</w:t>
            </w:r>
          </w:p>
        </w:tc>
        <w:tc>
          <w:tcPr>
            <w:tcW w:w="100" w:type="dxa"/>
            <w:vAlign w:val="bottom"/>
          </w:tcPr>
          <w:p>
            <w:pPr>
              <w:spacing w:after="0"/>
              <w:rPr>
                <w:sz w:val="20"/>
                <w:szCs w:val="20"/>
                <w:color w:val="auto"/>
              </w:rPr>
            </w:pPr>
          </w:p>
        </w:tc>
        <w:tc>
          <w:tcPr>
            <w:tcW w:w="920" w:type="dxa"/>
            <w:vAlign w:val="bottom"/>
            <w:tcBorders>
              <w:top w:val="single" w:sz="8" w:color="auto"/>
            </w:tcBorders>
          </w:tcPr>
          <w:p>
            <w:pPr>
              <w:jc w:val="right"/>
              <w:ind w:right="716"/>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(103.6)</w:t>
            </w:r>
          </w:p>
        </w:tc>
      </w:tr>
      <w:tr>
        <w:trPr>
          <w:trHeight w:val="27"/>
        </w:trPr>
        <w:tc>
          <w:tcPr>
            <w:tcW w:w="808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0"/>
        </w:trPr>
        <w:tc>
          <w:tcPr>
            <w:tcW w:w="80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Global Consumer</w:t>
      </w:r>
    </w:p>
    <w:p>
      <w:pPr>
        <w:spacing w:after="0" w:line="14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Global Consumer segment net sales were $163.6 million in the first quarter of fiscal 2015, an increase of 18.2%, from the first quarter of fiscal 2014 sales of $138.4 million. For the three months ended December 27, 2014, favorable impacts of volume, pricing, and acquisitions of 5.1%, 0.5% and 15.8%, respectively, were partially offset by unfavorable changes in foreign exchange rates of 3.2%.</w:t>
      </w:r>
    </w:p>
    <w:p>
      <w:pPr>
        <w:spacing w:after="0" w:line="100"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Net sales in the United States increased $12.1 million, or 12.6%, for the first quarter of fiscal 2015 as compared to the same period in fiscal 2014. The increase in U.S. net sales for the first quarter was driven by the acquisition of AeroGrow.</w:t>
      </w:r>
    </w:p>
    <w:p>
      <w:pPr>
        <w:spacing w:after="0" w:line="89" w:lineRule="exact"/>
        <w:rPr>
          <w:sz w:val="20"/>
          <w:szCs w:val="20"/>
          <w:color w:val="auto"/>
        </w:rPr>
      </w:pPr>
    </w:p>
    <w:p>
      <w:pPr>
        <w:ind w:firstLine="432"/>
        <w:spacing w:after="0" w:line="342" w:lineRule="auto"/>
        <w:rPr>
          <w:sz w:val="20"/>
          <w:szCs w:val="20"/>
          <w:color w:val="auto"/>
        </w:rPr>
      </w:pPr>
      <w:r>
        <w:rPr>
          <w:rFonts w:ascii="Arial" w:cs="Arial" w:eastAsia="Arial" w:hAnsi="Arial"/>
          <w:sz w:val="16"/>
          <w:szCs w:val="16"/>
          <w:color w:val="auto"/>
        </w:rPr>
        <w:t>Excluding the impact of changes in foreign exchange rates, net sales internationally increased by $17.6 million, or 41.6%, for the first quarter of fiscal 2015. The increase in net sales internationally was primarily driven by the acquisitions of Fafard and Solus, and higher sales volume within Europe.</w:t>
      </w:r>
    </w:p>
    <w:p>
      <w:pPr>
        <w:spacing w:after="0" w:line="43"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Global Consumer segment operating loss increased by $6.8 million, or 10.1% in the first quarter of fiscal 2015 as compared to the same period of fiscal 2014. Excluding the impact of changes in foreign exchange rates, the increase was 11.5% for the first quarter of fiscal 2015. The increase for the first quarter of fiscal 2015 was primarily driven by lower gross profit rate and higher advertising spending. The recent acquisitions of AeroGrow, Fafard, and Solus did not have a significant impact on segment operating income for the first quarter of fiscal 2015.</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Scotts LawnService</w:t>
      </w:r>
      <w:r>
        <w:rPr>
          <w:rFonts w:ascii="Arial" w:cs="Arial" w:eastAsia="Arial" w:hAnsi="Arial"/>
          <w:sz w:val="25"/>
          <w:szCs w:val="25"/>
          <w:b w:val="1"/>
          <w:bCs w:val="1"/>
          <w:i w:val="1"/>
          <w:iCs w:val="1"/>
          <w:color w:val="auto"/>
          <w:vertAlign w:val="superscript"/>
        </w:rPr>
        <w:t>®</w:t>
      </w:r>
    </w:p>
    <w:p>
      <w:pPr>
        <w:spacing w:after="0" w:line="64" w:lineRule="exact"/>
        <w:rPr>
          <w:sz w:val="20"/>
          <w:szCs w:val="20"/>
          <w:color w:val="auto"/>
        </w:rPr>
      </w:pPr>
    </w:p>
    <w:p>
      <w:pPr>
        <w:jc w:val="both"/>
        <w:ind w:firstLine="432"/>
        <w:spacing w:after="0" w:line="213" w:lineRule="auto"/>
        <w:rPr>
          <w:sz w:val="20"/>
          <w:szCs w:val="20"/>
          <w:color w:val="auto"/>
        </w:rPr>
      </w:pPr>
      <w:r>
        <w:rPr>
          <w:rFonts w:ascii="Arial" w:cs="Arial" w:eastAsia="Arial" w:hAnsi="Arial"/>
          <w:sz w:val="18"/>
          <w:szCs w:val="18"/>
          <w:color w:val="auto"/>
        </w:rPr>
        <w:t>Scotts LawnService</w:t>
      </w:r>
      <w:r>
        <w:rPr>
          <w:rFonts w:ascii="Arial" w:cs="Arial" w:eastAsia="Arial" w:hAnsi="Arial"/>
          <w:sz w:val="25"/>
          <w:szCs w:val="25"/>
          <w:color w:val="auto"/>
          <w:vertAlign w:val="superscript"/>
        </w:rPr>
        <w:t>®</w:t>
      </w:r>
      <w:r>
        <w:rPr>
          <w:rFonts w:ascii="Arial" w:cs="Arial" w:eastAsia="Arial" w:hAnsi="Arial"/>
          <w:sz w:val="18"/>
          <w:szCs w:val="18"/>
          <w:color w:val="auto"/>
        </w:rPr>
        <w:t xml:space="preserve"> net sales increased by $0.4 million, or 0.9%, in the first quarter of fiscal 2015 as compared to the same period of fiscal 2014. The segment operating income for Scotts LawnService</w:t>
      </w:r>
      <w:r>
        <w:rPr>
          <w:rFonts w:ascii="Arial" w:cs="Arial" w:eastAsia="Arial" w:hAnsi="Arial"/>
          <w:sz w:val="25"/>
          <w:szCs w:val="25"/>
          <w:color w:val="auto"/>
          <w:vertAlign w:val="superscript"/>
        </w:rPr>
        <w:t>®</w:t>
      </w:r>
      <w:r>
        <w:rPr>
          <w:rFonts w:ascii="Arial" w:cs="Arial" w:eastAsia="Arial" w:hAnsi="Arial"/>
          <w:sz w:val="18"/>
          <w:szCs w:val="18"/>
          <w:color w:val="auto"/>
        </w:rPr>
        <w:t xml:space="preserve"> decreased by $1.1 million, or 42.3%, to $1.5 million in the first quarter of fiscal 2015, as compared to the same period of fiscal 2014. The decreased income was primarily driven by lower gross profit rate and higher SG&amp;A expenses, primarily for planned increases in advertising costs.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&amp; Other</w:t>
      </w:r>
    </w:p>
    <w:p>
      <w:pPr>
        <w:spacing w:after="0" w:line="14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net operating loss for Corporate &amp; Other was $20.2 million for the three months ended December 27, 2014 compared to $21.7 million for the three months ended December 28, 2013. The decrease for the three months ended December 27, 2014 was primarily related to lower employee related expenses, including compensation and benefits.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44"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Cash used in operating activities totaled $267.0 million and $180.2 million for the three months ended December 27, 2014 and December 28, 2013, respectively. Cash used in operating activities increased $86.8 million primarily due to an increase in cash used for working capital of $83.7 million. The increase in cash used for working capital was primarily due to increased inventory production in the fourth quarter of fiscal 2014 and first quarter of fiscal 2015 compared to the same prior periods. The Company expects this inventory build to improve service levels and reduce distribution costs in the spring of 2015.</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5" w:right="239" w:bottom="1440" w:gutter="0" w:footer="0" w:header="0"/>
        </w:sectPr>
      </w:pPr>
    </w:p>
    <w:bookmarkStart w:id="38" w:name="page39"/>
    <w:bookmarkEnd w:id="38"/>
    <w:p>
      <w:pPr>
        <w:spacing w:after="0"/>
        <w:rPr>
          <w:rFonts w:ascii="Arial" w:cs="Arial" w:eastAsia="Arial" w:hAnsi="Arial"/>
          <w:sz w:val="18"/>
          <w:szCs w:val="18"/>
          <w:color w:val="FFFFFF"/>
        </w:rPr>
      </w:pPr>
      <w:hyperlink w:anchor="page1">
        <w:r>
          <w:rPr>
            <w:rFonts w:ascii="Arial" w:cs="Arial" w:eastAsia="Arial" w:hAnsi="Arial"/>
            <w:sz w:val="18"/>
            <w:szCs w:val="18"/>
            <w:color w:val="FFFFFF"/>
          </w:rPr>
          <w:t>Table of Contents</w:t>
        </w:r>
      </w:hyperlink>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44"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7"/>
          <w:szCs w:val="17"/>
          <w:color w:val="auto"/>
        </w:rPr>
        <w:t>Cash used in investing activities totaled $25.6 million and $103.4 million for the three months ended December 27, 2014 and December 28, 2013, respectively. Cash used for investments in property, plant and equipment during the first three months of fiscal 2015 and fiscal 2014 was $14.5 million and $43.4 million, respectively. The decrease was primarily related to $35.0 million of down payments in fiscal 2014 on a purchase order to acquire a new corporate aircraft. During the three months ended December 27, 2014, within our Global Consumer segment, we completed the acquisition of a growing media business for $7.1 million. Additionally within our Scotts LawnService</w:t>
      </w:r>
      <w:r>
        <w:rPr>
          <w:rFonts w:ascii="Arial" w:cs="Arial" w:eastAsia="Arial" w:hAnsi="Arial"/>
          <w:sz w:val="24"/>
          <w:szCs w:val="24"/>
          <w:color w:val="auto"/>
          <w:vertAlign w:val="superscript"/>
        </w:rPr>
        <w:t>®</w:t>
      </w:r>
      <w:r>
        <w:rPr>
          <w:rFonts w:ascii="Arial" w:cs="Arial" w:eastAsia="Arial" w:hAnsi="Arial"/>
          <w:sz w:val="17"/>
          <w:szCs w:val="17"/>
          <w:color w:val="auto"/>
        </w:rPr>
        <w:t xml:space="preserve"> segment we completed the acquisition of Action Pest for $21.7 million. These acquisitions included cash payments of $11.1 million during the first quarter of fiscal 2015.</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44"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Financing activities provided cash of $337.0 million and $277.2 million for the three months ended December 27, 2014 and December 28, 2013, respectively. The increase of $59.8 million in cash provided by financing activities during the first three months of fiscal 2015 as compared to fiscal 2014 was the result of higher net borrowings under our credit facility of $61.3 million, the fiscal 2014 payment of financing and issuance fees of $6.1 million associated with our new credit facility, and an increase in cash received from the exercise of stock options of $1.1 million, partially offset by an increase in share repurchases of our Common Shares of $6.3 million and decreased excess tax benefits from share-based payment arrangements of $2.3 million. The higher net borrowings for the three months ended December 27, 2014</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44"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Our cash and cash equivalents were held in cash depository accounts with major financial institutions around the world or invested in high quality, short-term liquid investments, with a balance of $130.1 million as of December 27, 2014, compared to $124.6 million as of December 28, 2013. The cash and cash equivalents balance at December 27, 2014 included $62.6 million held by controlled foreign corporations. Our current plans do not demonstrate a need to, nor do we have plans to, repatriate the retained earnings from these foreign corporations as the earnings are indefinitely reinvested. However, in the future, if we determine it is necessary to repatriate these funds, or we sell or liquidate any of these foreign corporations, we may be required to pay associated taxes on the repatriation.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Borrowing Agreements</w:t>
      </w:r>
    </w:p>
    <w:p>
      <w:pPr>
        <w:spacing w:after="0" w:line="144"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Our primary sources of liquidity are cash generated by operations and borrowings under our credit facility, which is guaranteed by substantially all of Scotts Miracle-Gro’s domestic subsidiaries. On December 20, 2013, the Company entered into a third amended and restated senior secured credit facility, providing the Company and certain of its subsidiaries with a five-year senior secured revolving loan facility in the aggregate principal amount of up to $1.7 billion. The credit facility also provides the Company with the right to seek to increase the credit facility by an aggregate amount of up to $450 million, subject to certain specified conditions. Borrowings may be made in various currencies, including U.S. dollars, Euros, British Pounds, Australian dollars, and Canadian dollars.</w:t>
      </w:r>
    </w:p>
    <w:p>
      <w:pPr>
        <w:spacing w:after="0" w:line="112"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Under our credit facility, we have the ability to obtain letters of credit up to $75 million. At December 27, 2014, we had letters of credit in the aggregate face amount of $24 million outstanding and $753.1 million of availability under our credit facility, subject to our continued compliance with covenants discussed below.</w:t>
      </w:r>
    </w:p>
    <w:p>
      <w:pPr>
        <w:spacing w:after="0" w:line="127"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The Company maintains a Master Accounts Receivable Purchase Agreement (“MARP Agreement”), which is uncommitted and provides for the discretionary sale by the Company, and the discretionary purchase by the banks, on a revolving basis, of accounts receivable generated by sales to three specified account debtors in an aggregate amount not to exceed $400 million. On August 29, 2014, the Company signed an amendment to the existing MARP Agreement which extended the termination date to August 28, 2015, or such later date as may be mutually agreed by the Company and each bank party thereto. Under the amended terms of the MARP Agreement, the banks have the opportunity to purchase those accounts receivable offered by the Company at a discount (from the agreed base value thereof) effectively equal to the one-week LIBOR plus 0.75%. There were no short-term borrowings as of December 27, 2014 and $7.4 million of short-term borrowings as of December 28, 2013 under the MARP Agreement. As of December 27, 2014, there was $29.6 million of availability under the MARP Agreement.</w:t>
      </w:r>
    </w:p>
    <w:p>
      <w:pPr>
        <w:spacing w:after="0" w:line="192"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On January 15, 2014, the Company used a portion of its available credit facility borrowings to redeem all of its outstanding $200 million aggregate principal amount of 7.25% Senior Notes, paying a redemption price of $214.5 million to extinguish the outstanding 7.25% Senior Notes, which included $7.25 million of accrued and unpaid interest, $7.25 million of call premium, and $200 million for outstanding principal amount.</w:t>
      </w:r>
    </w:p>
    <w:p>
      <w:pPr>
        <w:spacing w:after="0" w:line="8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As of December 27, 2014, we were in compliance with all debt covenants. Our credit facility contains, among other obligations, an affirmative covenant regarding our leverage ratio, calculated as indebtedness relative to our earnings before interest, taxes, depreciation and amortization. Under the terms of the credit facility, the maximum leverage ratio was 4.00 as of December 27,</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5" w:right="239" w:bottom="1440" w:gutter="0" w:footer="0" w:header="0"/>
        </w:sectPr>
      </w:pPr>
    </w:p>
    <w:bookmarkStart w:id="39" w:name="page40"/>
    <w:bookmarkEnd w:id="39"/>
    <w:p>
      <w:pPr>
        <w:spacing w:after="0"/>
        <w:rPr>
          <w:rFonts w:ascii="Arial" w:cs="Arial" w:eastAsia="Arial" w:hAnsi="Arial"/>
          <w:sz w:val="18"/>
          <w:szCs w:val="18"/>
          <w:color w:val="FFFFFF"/>
        </w:rPr>
      </w:pPr>
      <w:hyperlink w:anchor="page1">
        <w:r>
          <w:rPr>
            <w:rFonts w:ascii="Arial" w:cs="Arial" w:eastAsia="Arial" w:hAnsi="Arial"/>
            <w:sz w:val="18"/>
            <w:szCs w:val="18"/>
            <w:color w:val="FFFFFF"/>
          </w:rPr>
          <w:t>Table of Contents</w:t>
        </w:r>
      </w:hyperlink>
    </w:p>
    <w:p>
      <w:pPr>
        <w:spacing w:after="0" w:line="38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2014. Our leverage ratio was 2.41 at December 27, 2014. Our credit facility also includes an affirmative covenant regarding our interest coverage. Under the terms of the credit facility, the minimum interest coverage ratio was 3.50 for the twelve months ended December 27, 2014. Our interest coverage ratio was 10.09 for the twelve months ended December 27, 2014. As of December 27, 2014, the Company can make additional restricted payments (as defined in the credit facility), including increased or one-time dividend payments and Common Share repurchases, before reaching a leverage ratio of 3.00.</w:t>
      </w:r>
    </w:p>
    <w:p>
      <w:pPr>
        <w:spacing w:after="0" w:line="73"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We continue to monitor our compliance with the leverage ratio, interest coverage ratio and other covenants contained in the credit facility and, based upon our current operating assumptions, we expect to remain in compliance with the permissible leverage ratio and interest coverage ratio throughout fiscal 2015. However, an unanticipated charge to earnings, an increase in debt or other factors could materially affect our ability to remain in compliance with the financial or other covenants of our credit facility, potentially causing us to have to seek an amendment or waiver from our lending group which could result in repricing of our credit facility. While we believe we have good relationships with our banking group, we can provide no assurance that such a request would result in a modified or replacement credit facility on reasonable terms, if at all.</w:t>
      </w:r>
    </w:p>
    <w:p>
      <w:pPr>
        <w:spacing w:after="0" w:line="97"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In our opinion, cash flows from operations and borrowings under our credit facility will be sufficient to meet debt service and working capital needs, capital expenditures, cash dividends and purchases of our Common Shares for the foreseeable future. However, we cannot ensure that our business will generate sufficient cash flow from operations or that future borrowings will be available under our credit facility in amounts sufficient to pay indebtedness or fund other liquidity needs. Actual results of operations will depend on numerous factors, many of which are beyond our control.</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Judicial and Administrative Proceedings</w:t>
      </w:r>
    </w:p>
    <w:p>
      <w:pPr>
        <w:spacing w:after="0" w:line="144"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We are party to various pending judicial and administrative proceedings arising in the ordinary course of business, including, among others, proceedings based on accidents or product liability claims and alleged violations of environmental laws. We have reviewed these pending judicial and administrative proceedings, including the probable outcomes, reasonably anticipated costs and expenses, and the availability and limits of our insurance coverage, and have established what we believe to be appropriate reserves. We do not believe that any liabilities that may result from these pending judicial and administrative proceedings are reasonably likely to have a material effect on our financial condition, results of operations or cash flows; however, there can be no assurance that future quarterly or annual operating results will not be materially affected by final resolution of these matters.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144" w:lineRule="exact"/>
        <w:rPr>
          <w:sz w:val="20"/>
          <w:szCs w:val="20"/>
          <w:color w:val="auto"/>
        </w:rPr>
      </w:pPr>
    </w:p>
    <w:p>
      <w:pPr>
        <w:ind w:right="180" w:firstLine="405"/>
        <w:spacing w:after="0" w:line="277" w:lineRule="auto"/>
        <w:rPr>
          <w:sz w:val="20"/>
          <w:szCs w:val="20"/>
          <w:color w:val="auto"/>
        </w:rPr>
      </w:pPr>
      <w:r>
        <w:rPr>
          <w:rFonts w:ascii="Arial" w:cs="Arial" w:eastAsia="Arial" w:hAnsi="Arial"/>
          <w:sz w:val="18"/>
          <w:szCs w:val="18"/>
          <w:color w:val="auto"/>
        </w:rPr>
        <w:t>There have been no material changes outside of the ordinary course of business, in our outstanding contractual obligations since the end of fiscal 2014 and through December 27, 2014.</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MATTERS</w:t>
      </w:r>
    </w:p>
    <w:p>
      <w:pPr>
        <w:spacing w:after="0" w:line="148"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We are subject to local, state, federal and foreign environmental protection laws and regulations with respect to our business operations and believe we are operating in substantial compliance with, or taking actions aimed at ensuring compliance with, such laws and regulations. We are involved in several legal actions with various governmental agencies related to environmental matters. While it is difficult to quantify the potential financial impact of actions involving these environmental matters, particularly remediation costs at waste disposal sites and future capital expenditures for environmental control equipment, in the opinion of management, the ultimate liability arising from such environmental matters, taking into account established reserves, should not have a material effect on our financial condition, results of operations or cash flows. However, there can be no assurance that the resolution of these matters will not materially affect our future quarterly or annual results of operations, financial condition or cash flows. Additional information on environmental matters affecting us is provided in Scotts Miracle Gro’s Annual Report on Form 10-K for the fiscal year ended September 30, 2014, under “ITEM 1. BUSINESS — Regulatory Considerations” and “ITEM 3. LEGAL PROCEEDINGS.”</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4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preceding discussion and analysis of our consolidated results of operations and financial condition should be read in conjunction with our condensed consolidated financial statements included elsewhere in this Quarterly Report on Form 10-Q. Scotts Miracle-Gro’s Annual Report on Form 10-K for the fiscal year ended September 30, 2014 includes additional information about us, our operations, our financial condition, our critical accounting policies and accounting estimates, and should be read in conjunction with this Quarterly Report on Form 10-Q.</w:t>
      </w:r>
    </w:p>
    <w:p>
      <w:pPr>
        <w:spacing w:after="0" w:line="102" w:lineRule="exact"/>
        <w:rPr>
          <w:sz w:val="20"/>
          <w:szCs w:val="20"/>
          <w:color w:val="auto"/>
        </w:rPr>
      </w:pPr>
    </w:p>
    <w:p>
      <w:pPr>
        <w:jc w:val="right"/>
        <w:ind w:right="4240"/>
        <w:spacing w:after="0" w:line="478" w:lineRule="auto"/>
        <w:rPr>
          <w:sz w:val="20"/>
          <w:szCs w:val="20"/>
          <w:color w:val="auto"/>
        </w:rPr>
      </w:pPr>
      <w:r>
        <w:rPr>
          <w:rFonts w:ascii="Arial" w:cs="Arial" w:eastAsia="Arial" w:hAnsi="Arial"/>
          <w:sz w:val="17"/>
          <w:szCs w:val="17"/>
          <w:b w:val="1"/>
          <w:bCs w:val="1"/>
          <w:color w:val="auto"/>
        </w:rPr>
        <w:t xml:space="preserve">ITEM 3. QUANTITATIVE AND QUALITATIVE DISCLOSURES ABOUT MARKET RISK </w:t>
      </w:r>
      <w:r>
        <w:rPr>
          <w:rFonts w:ascii="Arial" w:cs="Arial" w:eastAsia="Arial" w:hAnsi="Arial"/>
          <w:sz w:val="17"/>
          <w:szCs w:val="17"/>
          <w:color w:val="auto"/>
        </w:rPr>
        <w:t>Market risks have not changed significantly from those disclosed in the 2014 Annual Report.</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25" w:right="239" w:bottom="1440" w:gutter="0" w:footer="0" w:header="0"/>
        </w:sectPr>
      </w:pPr>
    </w:p>
    <w:bookmarkStart w:id="40" w:name="page41"/>
    <w:bookmarkEnd w:id="40"/>
    <w:p>
      <w:pPr>
        <w:spacing w:after="0"/>
        <w:rPr>
          <w:rFonts w:ascii="Arial" w:cs="Arial" w:eastAsia="Arial" w:hAnsi="Arial"/>
          <w:sz w:val="18"/>
          <w:szCs w:val="18"/>
          <w:color w:val="FFFFFF"/>
        </w:rPr>
      </w:pPr>
      <w:hyperlink w:anchor="page1">
        <w:r>
          <w:rPr>
            <w:rFonts w:ascii="Arial" w:cs="Arial" w:eastAsia="Arial" w:hAnsi="Arial"/>
            <w:sz w:val="18"/>
            <w:szCs w:val="18"/>
            <w:color w:val="FFFFFF"/>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48"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The Scotts Miracle-Gro Company (the “Registrant”) maintains “disclosure controls and procedures,” as such term is defined under Exchange Act Rule 13a-15(e), that are designed to ensure that information required to be disclosed in the Registrant’s Exchange Act reports is recorded, processed, summarized and reported within the time periods specified in the SEC’s rules and forms, and that such information is accumulated and communicated to the Registrant’s management, including its principal executive officer and its principal financial officer, as appropriate, to allow timely decisions regarding required disclosure. In designing and evaluating the disclosure controls and procedures, the Registrant’s management recognized that any controls and procedures, no matter how well designed and operated, can provide only reasonable assurance of achieving the desired control objectives, and in reaching a reasonable level of assurance, the Registrant’s management necessarily was required to apply its judgment in evaluating the cost-benefit relationship of possible controls and procedures.</w:t>
      </w:r>
    </w:p>
    <w:p>
      <w:pPr>
        <w:spacing w:after="0" w:line="111"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With the participation of the principal executive officer and principal financial officer of the Registrant, the Registrant’s management has evaluated the effectiveness of the Registrant’s disclosure controls and procedures (as defined in Rule 13a-15(e) under the Securities Exchange Act of 1934, as amended (the “Exchange Act”)) as of the end of the fiscal quarter covered by this Quarterly Report on Form 10-Q. Based upon that evaluation, the Registrant’s principal executive officer and principal financial officer have concluded that the Registrant’s disclosure controls and procedures were effective at the reasonable assurance level.</w:t>
      </w:r>
    </w:p>
    <w:p>
      <w:pPr>
        <w:spacing w:after="0" w:line="107"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In addition, there were no changes in the Registrant’s internal control over financial reporting (as defined in Rule 13a-15(f) under the Exchange Act) that occurred during the Registrant’s fiscal quarter ended December 27, 2014 that have materially affected, or are reasonably likely to materially affect, the Registrant’s internal control over financial reporting.</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25" w:right="239" w:bottom="1440" w:gutter="0" w:footer="0" w:header="0"/>
        </w:sectPr>
      </w:pPr>
    </w:p>
    <w:bookmarkStart w:id="41" w:name="page42"/>
    <w:bookmarkEnd w:id="41"/>
    <w:p>
      <w:pPr>
        <w:spacing w:after="0"/>
        <w:rPr>
          <w:rFonts w:ascii="Arial" w:cs="Arial" w:eastAsia="Arial" w:hAnsi="Arial"/>
          <w:sz w:val="18"/>
          <w:szCs w:val="18"/>
          <w:color w:val="FFFFFF"/>
        </w:rPr>
      </w:pPr>
      <w:hyperlink w:anchor="page1">
        <w:r>
          <w:rPr>
            <w:rFonts w:ascii="Arial" w:cs="Arial" w:eastAsia="Arial" w:hAnsi="Arial"/>
            <w:sz w:val="18"/>
            <w:szCs w:val="18"/>
            <w:color w:val="FFFFFF"/>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II—OTHER INFORMATION</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Other than as discussed in “NOTE 11. CONTINGENCIES” of the Notes to Condensed Consolidated Financial Statements, pending material legal proceedings have not changed significantly since those disclosed in the 2014 Annual Report.</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Company's risk factors as of December 27, 2014 have not changed materially from those described in “ITEM IA. RISK FACTORS” in Scotts Miracle-Gro's Annual Report on Form 10-K for the fiscal year ended September 30, 2014.</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This Quarterly Report on Form 10-Q, including the exhibits hereto and the information incorporated by reference herein, contains “forward-looking statements” within the meaning of Section 27A of the Securities Act of 1933, as amended, and Section 21E of the Securities Exchange Act of 1934, as amended, which are subject to risks and uncertainties. Other than statements of historical fact, information regarding activities, events and developments that we expect or anticipate will or may occur in the future, including, but not limited to, information relating to our future growth and profitability targets and strategies designed to increase total shareholder value, are forward-looking statements based on management's estimates, assumptions and projections. Forward-looking statements also include, but are not limited to, statements regarding our future economic and financial condition and results of operations, the plans and objectives of management and our assumptions regarding our performance and such plans and objectives, as well as the amount and timing of repurchases of Common Shares. These forward-looking statements generally can be identified through the use of words such as “guidance,” “outlook,” “projected,” “believe,” “target,” “predict,” “estimate,” “forecast,” “strategy,” “may,” “goal,” “expect,” “anticipate,” “intend,” “plan,” “foresee,” “likely,” “will,” “should” and other similar words and variations.</w:t>
      </w:r>
    </w:p>
    <w:p>
      <w:pPr>
        <w:spacing w:after="0" w:line="17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Forward-looking statements contained in this Quarterly Report on Form 10-Q are predictions only and actual results could differ materially from management's expectations due to a variety of factors, including those described in “ITEM 1A. RISK FACTORS” in Scotts Miracle-Gro's Annual Report on Form 10-K for the fiscal year ended September 30, 2014. All forward-looking statements attributable to us or persons working on our behalf are expressly qualified in their entirety by such risk factors.</w:t>
      </w:r>
    </w:p>
    <w:p>
      <w:pPr>
        <w:spacing w:after="0" w:line="187"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forward-looking statements that we make in this Quarterly Report on Form 10-Q are based on management's current views and assumptions regarding future events and speak only as of their dates. We disclaim any obligation to update developments of these risk factors or to announce publicly any revisions to any of the forward-looking statements that we make, or to make corrections to reflect future events or developments, except as required by the federal securities laws.</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5" w:right="239" w:bottom="1440" w:gutter="0" w:footer="0" w:header="0"/>
        </w:sectPr>
      </w:pPr>
    </w:p>
    <w:bookmarkStart w:id="42" w:name="page43"/>
    <w:bookmarkEnd w:id="42"/>
    <w:p>
      <w:pPr>
        <w:spacing w:after="0"/>
        <w:rPr>
          <w:rFonts w:ascii="Arial" w:cs="Arial" w:eastAsia="Arial" w:hAnsi="Arial"/>
          <w:sz w:val="18"/>
          <w:szCs w:val="18"/>
          <w:color w:val="FFFFFF"/>
        </w:rPr>
      </w:pPr>
      <w:hyperlink w:anchor="page1">
        <w:r>
          <w:rPr>
            <w:rFonts w:ascii="Arial" w:cs="Arial" w:eastAsia="Arial" w:hAnsi="Arial"/>
            <w:sz w:val="18"/>
            <w:szCs w:val="18"/>
            <w:color w:val="FFFFFF"/>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payment of future dividends, if any, on the Common Shares will be determined by the Board of Directors in light of conditions then existing, including the Company's earnings, financial condition and capital requirements, restrictions in financing agreements, business conditions and other factors. The Company's credit facility restricts future dividend payments to an aggregate of $150 million annually through fiscal 2015 and $175 million annually beginning in fiscal 2016 if our leverage ratio, after giving effect to any such annual dividend payment, exceeds 3.0. Our leverage ratio was 2.41 at December 27, 2014.</w:t>
      </w:r>
    </w:p>
    <w:p>
      <w:pPr>
        <w:spacing w:after="0" w:line="18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Issuer Purchases of Equity Securities</w:t>
      </w:r>
    </w:p>
    <w:p>
      <w:pPr>
        <w:spacing w:after="0" w:line="225"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following table shows the purchases of Common Shares made by or on behalf of Scotts Miracle-Gro or any “affiliated purchaser” (as defined in Rule 10b-18(a)(3) under the Securities Exchange Act of 1934, as amended) of Scotts Miracle-Gro for each fiscal month in the three months ended December 27, 2014:</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94"/>
              </w:rPr>
              <w:t>Total Number of</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vMerge w:val="restart"/>
          </w:tcPr>
          <w:p>
            <w:pPr>
              <w:jc w:val="center"/>
              <w:ind w:right="25"/>
              <w:spacing w:after="0"/>
              <w:rPr>
                <w:sz w:val="20"/>
                <w:szCs w:val="20"/>
                <w:color w:val="auto"/>
              </w:rPr>
            </w:pPr>
            <w:r>
              <w:rPr>
                <w:rFonts w:ascii="Arial" w:cs="Arial" w:eastAsia="Arial" w:hAnsi="Arial"/>
                <w:sz w:val="14"/>
                <w:szCs w:val="14"/>
                <w:b w:val="1"/>
                <w:bCs w:val="1"/>
                <w:color w:val="auto"/>
                <w:w w:val="95"/>
              </w:rPr>
              <w:t>Approximate Dollar</w:t>
            </w:r>
          </w:p>
        </w:tc>
        <w:tc>
          <w:tcPr>
            <w:tcW w:w="0" w:type="dxa"/>
            <w:vAlign w:val="bottom"/>
          </w:tcPr>
          <w:p>
            <w:pPr>
              <w:spacing w:after="0"/>
              <w:rPr>
                <w:sz w:val="1"/>
                <w:szCs w:val="1"/>
                <w:color w:val="auto"/>
              </w:rPr>
            </w:pPr>
          </w:p>
        </w:tc>
      </w:tr>
      <w:tr>
        <w:trPr>
          <w:trHeight w:val="149"/>
        </w:trPr>
        <w:tc>
          <w:tcPr>
            <w:tcW w:w="41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Common Shares</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120" w:type="dxa"/>
            <w:vAlign w:val="bottom"/>
          </w:tcPr>
          <w:p>
            <w:pPr>
              <w:spacing w:after="0"/>
              <w:rPr>
                <w:sz w:val="12"/>
                <w:szCs w:val="12"/>
                <w:color w:val="auto"/>
              </w:rPr>
            </w:pPr>
          </w:p>
        </w:tc>
        <w:tc>
          <w:tcPr>
            <w:tcW w:w="17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Total Number of</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Purchased as</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jc w:val="center"/>
              <w:ind w:right="25"/>
              <w:spacing w:after="0" w:line="149" w:lineRule="exact"/>
              <w:rPr>
                <w:sz w:val="20"/>
                <w:szCs w:val="20"/>
                <w:color w:val="auto"/>
              </w:rPr>
            </w:pPr>
            <w:r>
              <w:rPr>
                <w:rFonts w:ascii="Arial" w:cs="Arial" w:eastAsia="Arial" w:hAnsi="Arial"/>
                <w:sz w:val="14"/>
                <w:szCs w:val="14"/>
                <w:b w:val="1"/>
                <w:bCs w:val="1"/>
                <w:color w:val="auto"/>
                <w:w w:val="94"/>
              </w:rPr>
              <w:t>Value of Common Shares</w:t>
            </w:r>
          </w:p>
        </w:tc>
        <w:tc>
          <w:tcPr>
            <w:tcW w:w="0" w:type="dxa"/>
            <w:vAlign w:val="bottom"/>
          </w:tcPr>
          <w:p>
            <w:pPr>
              <w:spacing w:after="0"/>
              <w:rPr>
                <w:sz w:val="1"/>
                <w:szCs w:val="1"/>
                <w:color w:val="auto"/>
              </w:rPr>
            </w:pPr>
          </w:p>
        </w:tc>
      </w:tr>
      <w:tr>
        <w:trPr>
          <w:trHeight w:val="149"/>
        </w:trPr>
        <w:tc>
          <w:tcPr>
            <w:tcW w:w="4120" w:type="dxa"/>
            <w:vAlign w:val="bottom"/>
          </w:tcPr>
          <w:p>
            <w:pPr>
              <w:spacing w:after="0"/>
              <w:rPr>
                <w:sz w:val="12"/>
                <w:szCs w:val="12"/>
                <w:color w:val="auto"/>
              </w:rPr>
            </w:pPr>
          </w:p>
        </w:tc>
        <w:tc>
          <w:tcPr>
            <w:tcW w:w="17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Average Price Paid</w:t>
            </w: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Part of Publicly</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jc w:val="center"/>
              <w:ind w:right="45"/>
              <w:spacing w:after="0" w:line="149" w:lineRule="exact"/>
              <w:rPr>
                <w:sz w:val="20"/>
                <w:szCs w:val="20"/>
                <w:color w:val="auto"/>
              </w:rPr>
            </w:pPr>
            <w:r>
              <w:rPr>
                <w:rFonts w:ascii="Arial" w:cs="Arial" w:eastAsia="Arial" w:hAnsi="Arial"/>
                <w:sz w:val="14"/>
                <w:szCs w:val="14"/>
                <w:b w:val="1"/>
                <w:bCs w:val="1"/>
                <w:color w:val="auto"/>
                <w:w w:val="95"/>
              </w:rPr>
              <w:t>That May Yet be</w:t>
            </w:r>
          </w:p>
        </w:tc>
        <w:tc>
          <w:tcPr>
            <w:tcW w:w="0" w:type="dxa"/>
            <w:vAlign w:val="bottom"/>
          </w:tcPr>
          <w:p>
            <w:pPr>
              <w:spacing w:after="0"/>
              <w:rPr>
                <w:sz w:val="1"/>
                <w:szCs w:val="1"/>
                <w:color w:val="auto"/>
              </w:rPr>
            </w:pPr>
          </w:p>
        </w:tc>
      </w:tr>
      <w:tr>
        <w:trPr>
          <w:trHeight w:val="149"/>
        </w:trPr>
        <w:tc>
          <w:tcPr>
            <w:tcW w:w="41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Period</w:t>
            </w:r>
          </w:p>
        </w:tc>
        <w:tc>
          <w:tcPr>
            <w:tcW w:w="1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Common Shares</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80" w:type="dxa"/>
            <w:vAlign w:val="bottom"/>
            <w:gridSpan w:val="2"/>
            <w:vMerge w:val="continue"/>
          </w:tcPr>
          <w:p>
            <w:pPr>
              <w:spacing w:after="0"/>
              <w:rPr>
                <w:sz w:val="12"/>
                <w:szCs w:val="12"/>
                <w:color w:val="auto"/>
              </w:rPr>
            </w:pP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Announced Plans or</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jc w:val="center"/>
              <w:ind w:right="45"/>
              <w:spacing w:after="0" w:line="149" w:lineRule="exact"/>
              <w:rPr>
                <w:sz w:val="20"/>
                <w:szCs w:val="20"/>
                <w:color w:val="auto"/>
              </w:rPr>
            </w:pPr>
            <w:r>
              <w:rPr>
                <w:rFonts w:ascii="Arial" w:cs="Arial" w:eastAsia="Arial" w:hAnsi="Arial"/>
                <w:sz w:val="14"/>
                <w:szCs w:val="14"/>
                <w:b w:val="1"/>
                <w:bCs w:val="1"/>
                <w:color w:val="auto"/>
                <w:w w:val="92"/>
              </w:rPr>
              <w:t>Purchased Under the</w:t>
            </w:r>
          </w:p>
        </w:tc>
        <w:tc>
          <w:tcPr>
            <w:tcW w:w="0" w:type="dxa"/>
            <w:vAlign w:val="bottom"/>
          </w:tcPr>
          <w:p>
            <w:pPr>
              <w:spacing w:after="0"/>
              <w:rPr>
                <w:sz w:val="1"/>
                <w:szCs w:val="1"/>
                <w:color w:val="auto"/>
              </w:rPr>
            </w:pPr>
          </w:p>
        </w:tc>
      </w:tr>
      <w:tr>
        <w:trPr>
          <w:trHeight w:val="192"/>
        </w:trPr>
        <w:tc>
          <w:tcPr>
            <w:tcW w:w="4120" w:type="dxa"/>
            <w:vAlign w:val="bottom"/>
            <w:tcBorders>
              <w:bottom w:val="single" w:sz="8" w:color="CCEEFF"/>
            </w:tcBorders>
            <w:vMerge w:val="continue"/>
          </w:tcPr>
          <w:p>
            <w:pPr>
              <w:spacing w:after="0"/>
              <w:rPr>
                <w:sz w:val="16"/>
                <w:szCs w:val="16"/>
                <w:color w:val="auto"/>
              </w:rPr>
            </w:pP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Purchased(1)</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102"/>
              <w:spacing w:after="0"/>
              <w:rPr>
                <w:sz w:val="20"/>
                <w:szCs w:val="20"/>
                <w:color w:val="auto"/>
              </w:rPr>
            </w:pPr>
            <w:r>
              <w:rPr>
                <w:rFonts w:ascii="Arial" w:cs="Arial" w:eastAsia="Arial" w:hAnsi="Arial"/>
                <w:sz w:val="14"/>
                <w:szCs w:val="14"/>
                <w:b w:val="1"/>
                <w:bCs w:val="1"/>
                <w:color w:val="auto"/>
                <w:w w:val="94"/>
              </w:rPr>
              <w:t>per Common Share(2)</w:t>
            </w:r>
          </w:p>
        </w:tc>
        <w:tc>
          <w:tcPr>
            <w:tcW w:w="100" w:type="dxa"/>
            <w:vAlign w:val="bottom"/>
            <w:tcBorders>
              <w:bottom w:val="single" w:sz="8" w:color="CCEEFF"/>
            </w:tcBorders>
          </w:tcPr>
          <w:p>
            <w:pPr>
              <w:spacing w:after="0"/>
              <w:rPr>
                <w:sz w:val="16"/>
                <w:szCs w:val="16"/>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Programs(3)</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center"/>
              <w:ind w:right="25"/>
              <w:spacing w:after="0"/>
              <w:rPr>
                <w:sz w:val="20"/>
                <w:szCs w:val="20"/>
                <w:color w:val="auto"/>
              </w:rPr>
            </w:pPr>
            <w:r>
              <w:rPr>
                <w:rFonts w:ascii="Arial" w:cs="Arial" w:eastAsia="Arial" w:hAnsi="Arial"/>
                <w:sz w:val="14"/>
                <w:szCs w:val="14"/>
                <w:b w:val="1"/>
                <w:bCs w:val="1"/>
                <w:color w:val="auto"/>
                <w:w w:val="93"/>
              </w:rPr>
              <w:t>Plans or Programs(3)</w:t>
            </w:r>
          </w:p>
        </w:tc>
        <w:tc>
          <w:tcPr>
            <w:tcW w:w="0" w:type="dxa"/>
            <w:vAlign w:val="bottom"/>
          </w:tcPr>
          <w:p>
            <w:pPr>
              <w:spacing w:after="0"/>
              <w:rPr>
                <w:sz w:val="1"/>
                <w:szCs w:val="1"/>
                <w:color w:val="auto"/>
              </w:rPr>
            </w:pPr>
          </w:p>
        </w:tc>
      </w:tr>
      <w:tr>
        <w:trPr>
          <w:trHeight w:val="236"/>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October 1, 2014 through October 25, 2014</w:t>
            </w:r>
          </w:p>
        </w:tc>
        <w:tc>
          <w:tcPr>
            <w:tcW w:w="17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70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0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6"/>
                <w:szCs w:val="16"/>
                <w:color w:val="auto"/>
              </w:rPr>
              <w:t>500,000,000</w:t>
            </w: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6"/>
                <w:szCs w:val="16"/>
                <w:color w:val="auto"/>
              </w:rPr>
              <w:t>October 26, 2014 through November 22, 2014</w:t>
            </w:r>
          </w:p>
        </w:tc>
        <w:tc>
          <w:tcPr>
            <w:tcW w:w="1740" w:type="dxa"/>
            <w:vAlign w:val="bottom"/>
          </w:tcPr>
          <w:p>
            <w:pPr>
              <w:jc w:val="right"/>
              <w:ind w:right="43"/>
              <w:spacing w:after="0"/>
              <w:rPr>
                <w:sz w:val="20"/>
                <w:szCs w:val="20"/>
                <w:color w:val="auto"/>
              </w:rPr>
            </w:pPr>
            <w:r>
              <w:rPr>
                <w:rFonts w:ascii="Arial" w:cs="Arial" w:eastAsia="Arial" w:hAnsi="Arial"/>
                <w:sz w:val="16"/>
                <w:szCs w:val="16"/>
                <w:color w:val="auto"/>
              </w:rPr>
              <w:t>457</w:t>
            </w:r>
          </w:p>
        </w:tc>
        <w:tc>
          <w:tcPr>
            <w:tcW w:w="2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580" w:type="dxa"/>
            <w:vAlign w:val="bottom"/>
          </w:tcPr>
          <w:p>
            <w:pPr>
              <w:jc w:val="right"/>
              <w:ind w:right="42"/>
              <w:spacing w:after="0"/>
              <w:rPr>
                <w:sz w:val="20"/>
                <w:szCs w:val="20"/>
                <w:color w:val="auto"/>
              </w:rPr>
            </w:pPr>
            <w:r>
              <w:rPr>
                <w:rFonts w:ascii="Arial" w:cs="Arial" w:eastAsia="Arial" w:hAnsi="Arial"/>
                <w:sz w:val="16"/>
                <w:szCs w:val="16"/>
                <w:color w:val="auto"/>
              </w:rPr>
              <w:t>59.48</w:t>
            </w:r>
          </w:p>
        </w:tc>
        <w:tc>
          <w:tcPr>
            <w:tcW w:w="100" w:type="dxa"/>
            <w:vAlign w:val="bottom"/>
          </w:tcPr>
          <w:p>
            <w:pPr>
              <w:spacing w:after="0"/>
              <w:rPr>
                <w:sz w:val="20"/>
                <w:szCs w:val="20"/>
                <w:color w:val="auto"/>
              </w:rPr>
            </w:pPr>
          </w:p>
        </w:tc>
        <w:tc>
          <w:tcPr>
            <w:tcW w:w="1700" w:type="dxa"/>
            <w:vAlign w:val="bottom"/>
          </w:tcPr>
          <w:p>
            <w:pPr>
              <w:jc w:val="right"/>
              <w:ind w:right="24"/>
              <w:spacing w:after="0"/>
              <w:rPr>
                <w:sz w:val="20"/>
                <w:szCs w:val="20"/>
                <w:color w:val="auto"/>
              </w:rPr>
            </w:pPr>
            <w:r>
              <w:rPr>
                <w:rFonts w:ascii="Arial" w:cs="Arial" w:eastAsia="Arial" w:hAnsi="Arial"/>
                <w:sz w:val="16"/>
                <w:szCs w:val="16"/>
                <w:color w:val="auto"/>
              </w:rPr>
              <w:t>—</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700" w:type="dxa"/>
            <w:vAlign w:val="bottom"/>
          </w:tcPr>
          <w:p>
            <w:pPr>
              <w:jc w:val="right"/>
              <w:ind w:right="25"/>
              <w:spacing w:after="0"/>
              <w:rPr>
                <w:sz w:val="20"/>
                <w:szCs w:val="20"/>
                <w:color w:val="auto"/>
              </w:rPr>
            </w:pPr>
            <w:r>
              <w:rPr>
                <w:rFonts w:ascii="Arial" w:cs="Arial" w:eastAsia="Arial" w:hAnsi="Arial"/>
                <w:sz w:val="16"/>
                <w:szCs w:val="16"/>
                <w:color w:val="auto"/>
              </w:rPr>
              <w:t>500,000,000</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November 23 through December 27, 2014</w:t>
            </w:r>
          </w:p>
        </w:tc>
        <w:tc>
          <w:tcPr>
            <w:tcW w:w="17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241,120</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62.02</w:t>
            </w:r>
          </w:p>
        </w:tc>
        <w:tc>
          <w:tcPr>
            <w:tcW w:w="10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238,863</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0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6"/>
                <w:szCs w:val="16"/>
                <w:color w:val="auto"/>
              </w:rPr>
              <w:t>485,186,044</w:t>
            </w:r>
          </w:p>
        </w:tc>
        <w:tc>
          <w:tcPr>
            <w:tcW w:w="0" w:type="dxa"/>
            <w:vAlign w:val="bottom"/>
          </w:tcPr>
          <w:p>
            <w:pPr>
              <w:spacing w:after="0"/>
              <w:rPr>
                <w:sz w:val="1"/>
                <w:szCs w:val="1"/>
                <w:color w:val="auto"/>
              </w:rPr>
            </w:pPr>
          </w:p>
        </w:tc>
      </w:tr>
      <w:tr>
        <w:trPr>
          <w:trHeight w:val="244"/>
        </w:trPr>
        <w:tc>
          <w:tcPr>
            <w:tcW w:w="4120" w:type="dxa"/>
            <w:vAlign w:val="bottom"/>
          </w:tcPr>
          <w:p>
            <w:pPr>
              <w:ind w:left="40"/>
              <w:spacing w:after="0"/>
              <w:rPr>
                <w:sz w:val="20"/>
                <w:szCs w:val="20"/>
                <w:color w:val="auto"/>
              </w:rPr>
            </w:pPr>
            <w:r>
              <w:rPr>
                <w:rFonts w:ascii="Arial" w:cs="Arial" w:eastAsia="Arial" w:hAnsi="Arial"/>
                <w:sz w:val="16"/>
                <w:szCs w:val="16"/>
                <w:color w:val="auto"/>
              </w:rPr>
              <w:t>Total</w:t>
            </w:r>
          </w:p>
        </w:tc>
        <w:tc>
          <w:tcPr>
            <w:tcW w:w="174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6"/>
                <w:szCs w:val="16"/>
                <w:color w:val="auto"/>
              </w:rPr>
              <w:t>241,577</w:t>
            </w:r>
          </w:p>
        </w:tc>
        <w:tc>
          <w:tcPr>
            <w:tcW w:w="2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580" w:type="dxa"/>
            <w:vAlign w:val="bottom"/>
          </w:tcPr>
          <w:p>
            <w:pPr>
              <w:jc w:val="right"/>
              <w:ind w:right="42"/>
              <w:spacing w:after="0"/>
              <w:rPr>
                <w:sz w:val="20"/>
                <w:szCs w:val="20"/>
                <w:color w:val="auto"/>
              </w:rPr>
            </w:pPr>
            <w:r>
              <w:rPr>
                <w:rFonts w:ascii="Arial" w:cs="Arial" w:eastAsia="Arial" w:hAnsi="Arial"/>
                <w:sz w:val="16"/>
                <w:szCs w:val="16"/>
                <w:color w:val="auto"/>
              </w:rPr>
              <w:t>62.02</w:t>
            </w:r>
          </w:p>
        </w:tc>
        <w:tc>
          <w:tcPr>
            <w:tcW w:w="100" w:type="dxa"/>
            <w:vAlign w:val="bottom"/>
          </w:tcPr>
          <w:p>
            <w:pPr>
              <w:spacing w:after="0"/>
              <w:rPr>
                <w:sz w:val="21"/>
                <w:szCs w:val="21"/>
                <w:color w:val="auto"/>
              </w:rPr>
            </w:pPr>
          </w:p>
        </w:tc>
        <w:tc>
          <w:tcPr>
            <w:tcW w:w="1700" w:type="dxa"/>
            <w:vAlign w:val="bottom"/>
            <w:tcBorders>
              <w:top w:val="single" w:sz="8" w:color="auto"/>
              <w:bottom w:val="single" w:sz="8" w:color="auto"/>
            </w:tcBorders>
          </w:tcPr>
          <w:p>
            <w:pPr>
              <w:jc w:val="right"/>
              <w:ind w:right="24"/>
              <w:spacing w:after="0"/>
              <w:rPr>
                <w:sz w:val="20"/>
                <w:szCs w:val="20"/>
                <w:color w:val="auto"/>
              </w:rPr>
            </w:pPr>
            <w:r>
              <w:rPr>
                <w:rFonts w:ascii="Arial" w:cs="Arial" w:eastAsia="Arial" w:hAnsi="Arial"/>
                <w:sz w:val="16"/>
                <w:szCs w:val="16"/>
                <w:color w:val="auto"/>
              </w:rPr>
              <w:t>238,863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left="500" w:right="20" w:hanging="465"/>
        <w:spacing w:after="0" w:line="285" w:lineRule="auto"/>
        <w:tabs>
          <w:tab w:leader="none" w:pos="5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All of the Common Shares purchased during the quarter were purchased in open market transactions. The total number of Common Shares purchased during the quarter includes 2,715 Common Shares purchased by the trustee of the rabbi trust established by the Company as permitted pursuant to the terms of The Scotts Company LLC Executive Retirement Plan (the “ERP”). The ERP is an unfunded, non-qualified deferred compensation plan which, among other things, provides eligible employees the opportunity to defer compensation above specified statutory limits applicable to The Scotts Company LLC Retirement Savings Plan and with respect to any Executive Management Incentive Pay (as defined in the ERP), Performance Award (as defined in the ERP) or other bonus awarded to such eligible employees. Pursuant to the terms of the ERP, each eligible employee has the right to elect an investment fund, including a fund consisting of Common Shares (the “Scotts Miracle-Gro Common Stock Fund”), against which amounts allocated to such employee's account under the ERP, including employer contributions, will be benchmarked (all ERP accounts are bookkeeping accounts only and do not represent a claim against specific assets of the Company). Amounts allocated to employee accounts under the ERP represent deferred compensation obligations of the Company. The Company established the rabbi trust in order to assist the Company in discharging such deferred compensation obligations. When an eligible employee elects to benchmark some or all of the amounts allocated to such employee's account against the Scotts Miracle-Gro Common Stock Fund, the trustee of the rabbi trust purchases the number of Common Shares equivalent to the amount so benchmarked. All Common Shares purchased by the trustee are purchased on the open market and are held in the rabbi trust until such time as they are distributed pursuant to the terms of the ERP. All assets of the rabbi trust, including any Common Shares purchased by the trustee, remain, at all times, assets of the Company, subject to the claims of its creditors. The terms of the ERP do not provide for a specified limit on the number of Common Shares that may be purchased by the trustee of the rabbi trust.</w:t>
      </w:r>
    </w:p>
    <w:p>
      <w:pPr>
        <w:spacing w:after="0" w:line="204" w:lineRule="exact"/>
        <w:rPr>
          <w:rFonts w:ascii="Arial" w:cs="Arial" w:eastAsia="Arial" w:hAnsi="Arial"/>
          <w:sz w:val="16"/>
          <w:szCs w:val="16"/>
          <w:color w:val="auto"/>
        </w:rPr>
      </w:pPr>
    </w:p>
    <w:p>
      <w:pPr>
        <w:ind w:left="500" w:hanging="465"/>
        <w:spacing w:after="0"/>
        <w:tabs>
          <w:tab w:leader="none" w:pos="5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average price paid per Common Share is calculated on a settlement basis and includes commissions.</w:t>
      </w:r>
    </w:p>
    <w:p>
      <w:pPr>
        <w:spacing w:after="0" w:line="252" w:lineRule="exact"/>
        <w:rPr>
          <w:rFonts w:ascii="Arial" w:cs="Arial" w:eastAsia="Arial" w:hAnsi="Arial"/>
          <w:sz w:val="18"/>
          <w:szCs w:val="18"/>
          <w:color w:val="auto"/>
        </w:rPr>
      </w:pPr>
    </w:p>
    <w:p>
      <w:pPr>
        <w:jc w:val="both"/>
        <w:ind w:left="500" w:right="40" w:hanging="465"/>
        <w:spacing w:after="0" w:line="264" w:lineRule="auto"/>
        <w:tabs>
          <w:tab w:leader="none" w:pos="5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 August 2014, the Scotts Miracle-Gro Board of Directors authorized the repurchase of up to $500 million of the Common Shares over a five-year period (starting November 1, 2014 through September 30, 2019). The dollar amounts in the “Approximate Dollar Value” column reflect the remaining amounts of shares that were available for repurchase under the $500 million authorized repurchase program.</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25" w:right="239" w:bottom="1440" w:gutter="0" w:footer="0" w:header="0"/>
        </w:sectPr>
      </w:pPr>
    </w:p>
    <w:bookmarkStart w:id="43" w:name="page44"/>
    <w:bookmarkEnd w:id="43"/>
    <w:p>
      <w:pPr>
        <w:spacing w:after="0"/>
        <w:rPr>
          <w:rFonts w:ascii="Arial" w:cs="Arial" w:eastAsia="Arial" w:hAnsi="Arial"/>
          <w:sz w:val="18"/>
          <w:szCs w:val="18"/>
          <w:color w:val="FFFFFF"/>
        </w:rPr>
      </w:pPr>
      <w:hyperlink w:anchor="page1">
        <w:r>
          <w:rPr>
            <w:rFonts w:ascii="Arial" w:cs="Arial" w:eastAsia="Arial" w:hAnsi="Arial"/>
            <w:sz w:val="18"/>
            <w:szCs w:val="18"/>
            <w:color w:val="FFFFFF"/>
          </w:rPr>
          <w:t>Table of Contents</w:t>
        </w:r>
      </w:hyperlink>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48" w:lineRule="exact"/>
        <w:rPr>
          <w:sz w:val="20"/>
          <w:szCs w:val="20"/>
          <w:color w:val="auto"/>
        </w:rPr>
      </w:pPr>
    </w:p>
    <w:p>
      <w:pPr>
        <w:ind w:left="420"/>
        <w:spacing w:after="0"/>
        <w:rPr>
          <w:sz w:val="20"/>
          <w:szCs w:val="20"/>
          <w:color w:val="auto"/>
        </w:rPr>
      </w:pPr>
      <w:r>
        <w:rPr>
          <w:rFonts w:ascii="Arial" w:cs="Arial" w:eastAsia="Arial" w:hAnsi="Arial"/>
          <w:sz w:val="16"/>
          <w:szCs w:val="16"/>
          <w:color w:val="auto"/>
        </w:rPr>
        <w:t>See Index to Exhibits at page 46 for a list of the exhibits included herewith.</w:t>
      </w:r>
    </w:p>
    <w:p>
      <w:pPr>
        <w:spacing w:after="0" w:line="27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0219"/>
          </w:cols>
          <w:pgMar w:left="240" w:top="125" w:right="1440" w:bottom="1440" w:gutter="0" w:footer="0" w:header="0"/>
        </w:sectPr>
      </w:pPr>
    </w:p>
    <w:bookmarkStart w:id="44" w:name="page45"/>
    <w:bookmarkEnd w:id="44"/>
    <w:p>
      <w:pPr>
        <w:spacing w:after="0"/>
        <w:rPr>
          <w:rFonts w:ascii="Arial" w:cs="Arial" w:eastAsia="Arial" w:hAnsi="Arial"/>
          <w:sz w:val="18"/>
          <w:szCs w:val="18"/>
          <w:color w:val="FFFFFF"/>
        </w:rPr>
      </w:pPr>
      <w:hyperlink w:anchor="page1">
        <w:r>
          <w:rPr>
            <w:rFonts w:ascii="Arial" w:cs="Arial" w:eastAsia="Arial" w:hAnsi="Arial"/>
            <w:sz w:val="18"/>
            <w:szCs w:val="18"/>
            <w:color w:val="FFFFFF"/>
          </w:rPr>
          <w:t>Table of Contents</w:t>
        </w:r>
      </w:hyperlink>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SIGNATURES</w:t>
      </w:r>
    </w:p>
    <w:p>
      <w:pPr>
        <w:spacing w:after="0" w:line="144"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THE SCOTTS MIRACLE-GRO COMPANY</w:t>
      </w:r>
    </w:p>
    <w:p>
      <w:pPr>
        <w:spacing w:after="0" w:line="387" w:lineRule="exact"/>
        <w:rPr>
          <w:sz w:val="20"/>
          <w:szCs w:val="20"/>
          <w:color w:val="auto"/>
        </w:rPr>
      </w:pPr>
    </w:p>
    <w:p>
      <w:pPr>
        <w:ind w:left="40"/>
        <w:spacing w:after="0"/>
        <w:tabs>
          <w:tab w:leader="none" w:pos="5840" w:val="left"/>
        </w:tabs>
        <w:rPr>
          <w:sz w:val="20"/>
          <w:szCs w:val="20"/>
          <w:color w:val="auto"/>
        </w:rPr>
      </w:pPr>
      <w:r>
        <w:rPr>
          <w:rFonts w:ascii="Arial" w:cs="Arial" w:eastAsia="Arial" w:hAnsi="Arial"/>
          <w:sz w:val="18"/>
          <w:szCs w:val="18"/>
          <w:color w:val="auto"/>
        </w:rPr>
        <w:t>Date: February 5, 2015</w:t>
      </w:r>
      <w:r>
        <w:rPr>
          <w:sz w:val="20"/>
          <w:szCs w:val="20"/>
          <w:color w:val="auto"/>
        </w:rPr>
        <w:tab/>
      </w:r>
      <w:r>
        <w:rPr>
          <w:rFonts w:ascii="Arial" w:cs="Arial" w:eastAsia="Arial" w:hAnsi="Arial"/>
          <w:sz w:val="17"/>
          <w:szCs w:val="17"/>
          <w:color w:val="auto"/>
        </w:rPr>
        <w:t>/s/ THOMAS RANDAL COLEMAN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31750</wp:posOffset>
            </wp:positionV>
            <wp:extent cx="355028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57"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Printed Name: Thomas Randal Coleman</w:t>
      </w:r>
    </w:p>
    <w:p>
      <w:pPr>
        <w:spacing w:after="0" w:line="6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Title: Executive Vice President and Chief Financial Officer</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25" w:right="239" w:bottom="1440" w:gutter="0" w:footer="0" w:header="0"/>
        </w:sectPr>
      </w:pPr>
    </w:p>
    <w:bookmarkStart w:id="45" w:name="page46"/>
    <w:bookmarkEnd w:id="45"/>
    <w:p>
      <w:pPr>
        <w:spacing w:after="0"/>
        <w:rPr>
          <w:rFonts w:ascii="Arial" w:cs="Arial" w:eastAsia="Arial" w:hAnsi="Arial"/>
          <w:sz w:val="18"/>
          <w:szCs w:val="18"/>
          <w:color w:val="FFFFFF"/>
        </w:rPr>
      </w:pPr>
      <w:hyperlink w:anchor="page1">
        <w:r>
          <w:rPr>
            <w:rFonts w:ascii="Arial" w:cs="Arial" w:eastAsia="Arial" w:hAnsi="Arial"/>
            <w:sz w:val="18"/>
            <w:szCs w:val="18"/>
            <w:color w:val="FFFFFF"/>
          </w:rPr>
          <w:t>Table of Contents</w:t>
        </w:r>
      </w:hyperlink>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SCOTTS MIRACLE-GRO COMPANY</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QUARTERLY REPORT ON FORM 10-Q</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FOR THE QUARTERLY PERIOD ENDED DECEMBER 27, 2014</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INDEX TO EXHIBITS</w:t>
      </w:r>
    </w:p>
    <w:p>
      <w:pPr>
        <w:spacing w:after="0" w:line="164" w:lineRule="exact"/>
        <w:rPr>
          <w:sz w:val="20"/>
          <w:szCs w:val="20"/>
          <w:color w:val="auto"/>
        </w:rPr>
      </w:pPr>
    </w:p>
    <w:tbl>
      <w:tblPr>
        <w:tblLayout w:type="fixed"/>
        <w:tblInd w:w="280" w:type="dxa"/>
        <w:tblCellMar>
          <w:top w:w="0" w:type="dxa"/>
          <w:left w:w="0" w:type="dxa"/>
          <w:bottom w:w="0" w:type="dxa"/>
          <w:right w:w="0" w:type="dxa"/>
        </w:tblCellMar>
      </w:tblPr>
      <w:tr>
        <w:trPr>
          <w:trHeight w:val="161"/>
        </w:trPr>
        <w:tc>
          <w:tcPr>
            <w:tcW w:w="2460" w:type="dxa"/>
            <w:vAlign w:val="bottom"/>
          </w:tcPr>
          <w:p>
            <w:pPr>
              <w:jc w:val="center"/>
              <w:ind w:right="1768"/>
              <w:spacing w:after="0"/>
              <w:rPr>
                <w:sz w:val="20"/>
                <w:szCs w:val="20"/>
                <w:color w:val="auto"/>
              </w:rPr>
            </w:pPr>
            <w:r>
              <w:rPr>
                <w:rFonts w:ascii="Arial" w:cs="Arial" w:eastAsia="Arial" w:hAnsi="Arial"/>
                <w:sz w:val="14"/>
                <w:szCs w:val="14"/>
                <w:b w:val="1"/>
                <w:bCs w:val="1"/>
                <w:color w:val="auto"/>
              </w:rPr>
              <w:t>EXHIBIT</w:t>
            </w:r>
          </w:p>
        </w:tc>
        <w:tc>
          <w:tcPr>
            <w:tcW w:w="4960" w:type="dxa"/>
            <w:vAlign w:val="bottom"/>
            <w:vMerge w:val="restart"/>
          </w:tcPr>
          <w:p>
            <w:pPr>
              <w:ind w:left="1860"/>
              <w:spacing w:after="0"/>
              <w:rPr>
                <w:sz w:val="20"/>
                <w:szCs w:val="20"/>
                <w:color w:val="auto"/>
              </w:rPr>
            </w:pPr>
            <w:r>
              <w:rPr>
                <w:rFonts w:ascii="Arial" w:cs="Arial" w:eastAsia="Arial" w:hAnsi="Arial"/>
                <w:sz w:val="14"/>
                <w:szCs w:val="14"/>
                <w:b w:val="1"/>
                <w:bCs w:val="1"/>
                <w:color w:val="auto"/>
              </w:rPr>
              <w:t>DESCRIPTION</w:t>
            </w:r>
          </w:p>
        </w:tc>
        <w:tc>
          <w:tcPr>
            <w:tcW w:w="2900" w:type="dxa"/>
            <w:vAlign w:val="bottom"/>
            <w:vMerge w:val="restart"/>
          </w:tcPr>
          <w:p>
            <w:pPr>
              <w:ind w:left="2120"/>
              <w:spacing w:after="0"/>
              <w:rPr>
                <w:sz w:val="20"/>
                <w:szCs w:val="20"/>
                <w:color w:val="auto"/>
              </w:rPr>
            </w:pPr>
            <w:r>
              <w:rPr>
                <w:rFonts w:ascii="Arial" w:cs="Arial" w:eastAsia="Arial" w:hAnsi="Arial"/>
                <w:sz w:val="14"/>
                <w:szCs w:val="14"/>
                <w:b w:val="1"/>
                <w:bCs w:val="1"/>
                <w:color w:val="auto"/>
              </w:rPr>
              <w:t>LOCATION</w:t>
            </w:r>
          </w:p>
        </w:tc>
        <w:tc>
          <w:tcPr>
            <w:tcW w:w="0" w:type="dxa"/>
            <w:vAlign w:val="bottom"/>
          </w:tcPr>
          <w:p>
            <w:pPr>
              <w:spacing w:after="0"/>
              <w:rPr>
                <w:sz w:val="1"/>
                <w:szCs w:val="1"/>
                <w:color w:val="auto"/>
              </w:rPr>
            </w:pPr>
          </w:p>
        </w:tc>
      </w:tr>
      <w:tr>
        <w:trPr>
          <w:trHeight w:val="186"/>
        </w:trPr>
        <w:tc>
          <w:tcPr>
            <w:tcW w:w="2460" w:type="dxa"/>
            <w:vAlign w:val="bottom"/>
          </w:tcPr>
          <w:p>
            <w:pPr>
              <w:jc w:val="center"/>
              <w:ind w:right="1788"/>
              <w:spacing w:after="0"/>
              <w:rPr>
                <w:sz w:val="20"/>
                <w:szCs w:val="20"/>
                <w:color w:val="auto"/>
              </w:rPr>
            </w:pPr>
            <w:r>
              <w:rPr>
                <w:rFonts w:ascii="Arial" w:cs="Arial" w:eastAsia="Arial" w:hAnsi="Arial"/>
                <w:sz w:val="14"/>
                <w:szCs w:val="14"/>
                <w:b w:val="1"/>
                <w:bCs w:val="1"/>
                <w:color w:val="auto"/>
                <w:w w:val="96"/>
              </w:rPr>
              <w:t>NO.</w:t>
            </w:r>
          </w:p>
        </w:tc>
        <w:tc>
          <w:tcPr>
            <w:tcW w:w="4960" w:type="dxa"/>
            <w:vAlign w:val="bottom"/>
            <w:vMerge w:val="continue"/>
          </w:tcPr>
          <w:p>
            <w:pPr>
              <w:spacing w:after="0"/>
              <w:rPr>
                <w:sz w:val="16"/>
                <w:szCs w:val="16"/>
                <w:color w:val="auto"/>
              </w:rPr>
            </w:pPr>
          </w:p>
        </w:tc>
        <w:tc>
          <w:tcPr>
            <w:tcW w:w="2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377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37730" cy="88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p>
      <w:pPr>
        <w:spacing w:after="0" w:line="160" w:lineRule="exact"/>
        <w:rPr>
          <w:sz w:val="20"/>
          <w:szCs w:val="20"/>
          <w:color w:val="auto"/>
        </w:rPr>
      </w:pPr>
    </w:p>
    <w:p>
      <w:pPr>
        <w:ind w:left="1300" w:hanging="879"/>
        <w:spacing w:after="0" w:line="277" w:lineRule="auto"/>
        <w:tabs>
          <w:tab w:leader="none" w:pos="128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Separation Agreement and Release of All Claims, entered into as of December 18, 2014, by and between The Scotts Company LLC and Barry W. Sanders</w:t>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Incorporated herein by reference to the Registrant's Current Report on Form 8-K filed December 19, 2014 (File No. 1-11593) [Exhibit 10.1]</w:t>
      </w:r>
    </w:p>
    <w:p>
      <w:pPr>
        <w:spacing w:after="0" w:line="132" w:lineRule="exact"/>
        <w:rPr>
          <w:sz w:val="20"/>
          <w:szCs w:val="20"/>
          <w:color w:val="auto"/>
        </w:rPr>
      </w:pPr>
    </w:p>
    <w:p>
      <w:pPr>
        <w:sectPr>
          <w:pgSz w:w="11900" w:h="16838" w:orient="portrait"/>
          <w:cols w:equalWidth="0" w:num="2">
            <w:col w:w="8860" w:space="180"/>
            <w:col w:w="2340"/>
          </w:cols>
          <w:pgMar w:left="240" w:top="125" w:right="279" w:bottom="1440" w:gutter="0" w:footer="0" w:header="0"/>
          <w:type w:val="continuous"/>
        </w:sectPr>
      </w:pPr>
    </w:p>
    <w:tbl>
      <w:tblPr>
        <w:tblLayout w:type="fixed"/>
        <w:tblInd w:w="40" w:type="dxa"/>
        <w:tblCellMar>
          <w:top w:w="0" w:type="dxa"/>
          <w:left w:w="0" w:type="dxa"/>
          <w:bottom w:w="0" w:type="dxa"/>
          <w:right w:w="0" w:type="dxa"/>
        </w:tblCellMar>
      </w:tblPr>
      <w:tr>
        <w:trPr>
          <w:trHeight w:val="216"/>
        </w:trPr>
        <w:tc>
          <w:tcPr>
            <w:tcW w:w="980" w:type="dxa"/>
            <w:vAlign w:val="bottom"/>
          </w:tcPr>
          <w:p>
            <w:pPr>
              <w:jc w:val="center"/>
              <w:ind w:left="10"/>
              <w:spacing w:after="0"/>
              <w:rPr>
                <w:sz w:val="20"/>
                <w:szCs w:val="20"/>
                <w:color w:val="auto"/>
              </w:rPr>
            </w:pPr>
            <w:r>
              <w:rPr>
                <w:rFonts w:ascii="Arial" w:cs="Arial" w:eastAsia="Arial" w:hAnsi="Arial"/>
                <w:sz w:val="18"/>
                <w:szCs w:val="18"/>
                <w:color w:val="auto"/>
                <w:w w:val="91"/>
              </w:rPr>
              <w:t>10.2</w:t>
            </w:r>
          </w:p>
        </w:tc>
        <w:tc>
          <w:tcPr>
            <w:tcW w:w="8420" w:type="dxa"/>
            <w:vAlign w:val="bottom"/>
          </w:tcPr>
          <w:p>
            <w:pPr>
              <w:ind w:left="280"/>
              <w:spacing w:after="0"/>
              <w:rPr>
                <w:sz w:val="20"/>
                <w:szCs w:val="20"/>
                <w:color w:val="auto"/>
              </w:rPr>
            </w:pPr>
            <w:r>
              <w:rPr>
                <w:rFonts w:ascii="Arial" w:cs="Arial" w:eastAsia="Arial" w:hAnsi="Arial"/>
                <w:sz w:val="18"/>
                <w:szCs w:val="18"/>
                <w:color w:val="auto"/>
                <w:w w:val="98"/>
              </w:rPr>
              <w:t>The Scotts Company LLC Executive Retirement Plan, as Amended and Restated as of January 1, 2015</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980" w:type="dxa"/>
            <w:vAlign w:val="bottom"/>
          </w:tcPr>
          <w:p>
            <w:pPr>
              <w:spacing w:after="0"/>
              <w:rPr>
                <w:sz w:val="20"/>
                <w:szCs w:val="20"/>
                <w:color w:val="auto"/>
              </w:rPr>
            </w:pPr>
          </w:p>
        </w:tc>
        <w:tc>
          <w:tcPr>
            <w:tcW w:w="8420" w:type="dxa"/>
            <w:vAlign w:val="bottom"/>
          </w:tcPr>
          <w:p>
            <w:pPr>
              <w:ind w:left="280"/>
              <w:spacing w:after="0"/>
              <w:rPr>
                <w:sz w:val="20"/>
                <w:szCs w:val="20"/>
                <w:color w:val="auto"/>
              </w:rPr>
            </w:pPr>
            <w:r>
              <w:rPr>
                <w:rFonts w:ascii="Arial" w:cs="Arial" w:eastAsia="Arial" w:hAnsi="Arial"/>
                <w:sz w:val="18"/>
                <w:szCs w:val="18"/>
                <w:color w:val="auto"/>
              </w:rPr>
              <w:t>(executed December 31, 2014)</w:t>
            </w:r>
          </w:p>
        </w:tc>
        <w:tc>
          <w:tcPr>
            <w:tcW w:w="820" w:type="dxa"/>
            <w:vAlign w:val="bottom"/>
          </w:tcPr>
          <w:p>
            <w:pPr>
              <w:spacing w:after="0"/>
              <w:rPr>
                <w:sz w:val="20"/>
                <w:szCs w:val="20"/>
                <w:color w:val="auto"/>
              </w:rPr>
            </w:pPr>
          </w:p>
        </w:tc>
      </w:tr>
      <w:tr>
        <w:trPr>
          <w:trHeight w:val="392"/>
        </w:trPr>
        <w:tc>
          <w:tcPr>
            <w:tcW w:w="980" w:type="dxa"/>
            <w:vAlign w:val="bottom"/>
          </w:tcPr>
          <w:p>
            <w:pPr>
              <w:jc w:val="center"/>
              <w:ind w:left="10"/>
              <w:spacing w:after="0"/>
              <w:rPr>
                <w:sz w:val="20"/>
                <w:szCs w:val="20"/>
                <w:color w:val="auto"/>
              </w:rPr>
            </w:pPr>
            <w:r>
              <w:rPr>
                <w:rFonts w:ascii="Arial" w:cs="Arial" w:eastAsia="Arial" w:hAnsi="Arial"/>
                <w:sz w:val="18"/>
                <w:szCs w:val="18"/>
                <w:color w:val="auto"/>
                <w:w w:val="91"/>
              </w:rPr>
              <w:t>31.1</w:t>
            </w:r>
          </w:p>
        </w:tc>
        <w:tc>
          <w:tcPr>
            <w:tcW w:w="8420" w:type="dxa"/>
            <w:vAlign w:val="bottom"/>
          </w:tcPr>
          <w:p>
            <w:pPr>
              <w:ind w:left="280"/>
              <w:spacing w:after="0"/>
              <w:rPr>
                <w:sz w:val="20"/>
                <w:szCs w:val="20"/>
                <w:color w:val="auto"/>
              </w:rPr>
            </w:pPr>
            <w:r>
              <w:rPr>
                <w:rFonts w:ascii="Arial" w:cs="Arial" w:eastAsia="Arial" w:hAnsi="Arial"/>
                <w:sz w:val="18"/>
                <w:szCs w:val="18"/>
                <w:color w:val="auto"/>
              </w:rPr>
              <w:t>Rule 13a-14(a)/15d-14(a) Certifications (Principal Executive Officer)</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92"/>
        </w:trPr>
        <w:tc>
          <w:tcPr>
            <w:tcW w:w="980" w:type="dxa"/>
            <w:vAlign w:val="bottom"/>
          </w:tcPr>
          <w:p>
            <w:pPr>
              <w:jc w:val="center"/>
              <w:ind w:left="10"/>
              <w:spacing w:after="0"/>
              <w:rPr>
                <w:sz w:val="20"/>
                <w:szCs w:val="20"/>
                <w:color w:val="auto"/>
              </w:rPr>
            </w:pPr>
            <w:r>
              <w:rPr>
                <w:rFonts w:ascii="Arial" w:cs="Arial" w:eastAsia="Arial" w:hAnsi="Arial"/>
                <w:sz w:val="18"/>
                <w:szCs w:val="18"/>
                <w:color w:val="auto"/>
                <w:w w:val="91"/>
              </w:rPr>
              <w:t>31.2</w:t>
            </w:r>
          </w:p>
        </w:tc>
        <w:tc>
          <w:tcPr>
            <w:tcW w:w="8420" w:type="dxa"/>
            <w:vAlign w:val="bottom"/>
          </w:tcPr>
          <w:p>
            <w:pPr>
              <w:ind w:left="280"/>
              <w:spacing w:after="0"/>
              <w:rPr>
                <w:sz w:val="20"/>
                <w:szCs w:val="20"/>
                <w:color w:val="auto"/>
              </w:rPr>
            </w:pPr>
            <w:r>
              <w:rPr>
                <w:rFonts w:ascii="Arial" w:cs="Arial" w:eastAsia="Arial" w:hAnsi="Arial"/>
                <w:sz w:val="18"/>
                <w:szCs w:val="18"/>
                <w:color w:val="auto"/>
              </w:rPr>
              <w:t>Rule 13a-14(a)/15d-14(a) Certifications (Principal Financial Officer)</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92"/>
        </w:trPr>
        <w:tc>
          <w:tcPr>
            <w:tcW w:w="980" w:type="dxa"/>
            <w:vAlign w:val="bottom"/>
          </w:tcPr>
          <w:p>
            <w:pPr>
              <w:jc w:val="center"/>
              <w:ind w:left="30"/>
              <w:spacing w:after="0"/>
              <w:rPr>
                <w:sz w:val="20"/>
                <w:szCs w:val="20"/>
                <w:color w:val="auto"/>
              </w:rPr>
            </w:pPr>
            <w:r>
              <w:rPr>
                <w:rFonts w:ascii="Arial" w:cs="Arial" w:eastAsia="Arial" w:hAnsi="Arial"/>
                <w:sz w:val="18"/>
                <w:szCs w:val="18"/>
                <w:color w:val="auto"/>
                <w:w w:val="89"/>
              </w:rPr>
              <w:t>32</w:t>
            </w:r>
          </w:p>
        </w:tc>
        <w:tc>
          <w:tcPr>
            <w:tcW w:w="8420" w:type="dxa"/>
            <w:vAlign w:val="bottom"/>
          </w:tcPr>
          <w:p>
            <w:pPr>
              <w:ind w:left="280"/>
              <w:spacing w:after="0"/>
              <w:rPr>
                <w:sz w:val="20"/>
                <w:szCs w:val="20"/>
                <w:color w:val="auto"/>
              </w:rPr>
            </w:pPr>
            <w:r>
              <w:rPr>
                <w:rFonts w:ascii="Arial" w:cs="Arial" w:eastAsia="Arial" w:hAnsi="Arial"/>
                <w:sz w:val="18"/>
                <w:szCs w:val="18"/>
                <w:color w:val="auto"/>
              </w:rPr>
              <w:t>Section 1350 Certifications (Principal Executive Officer and Principal Financial Officer)</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92"/>
        </w:trPr>
        <w:tc>
          <w:tcPr>
            <w:tcW w:w="980" w:type="dxa"/>
            <w:vAlign w:val="bottom"/>
          </w:tcPr>
          <w:p>
            <w:pPr>
              <w:spacing w:after="0"/>
              <w:rPr>
                <w:sz w:val="20"/>
                <w:szCs w:val="20"/>
                <w:color w:val="auto"/>
              </w:rPr>
            </w:pPr>
            <w:r>
              <w:rPr>
                <w:rFonts w:ascii="Arial" w:cs="Arial" w:eastAsia="Arial" w:hAnsi="Arial"/>
                <w:sz w:val="18"/>
                <w:szCs w:val="18"/>
                <w:color w:val="auto"/>
              </w:rPr>
              <w:t>101.INS</w:t>
            </w:r>
          </w:p>
        </w:tc>
        <w:tc>
          <w:tcPr>
            <w:tcW w:w="8420" w:type="dxa"/>
            <w:vAlign w:val="bottom"/>
          </w:tcPr>
          <w:p>
            <w:pPr>
              <w:ind w:left="280"/>
              <w:spacing w:after="0"/>
              <w:rPr>
                <w:sz w:val="20"/>
                <w:szCs w:val="20"/>
                <w:color w:val="auto"/>
              </w:rPr>
            </w:pPr>
            <w:r>
              <w:rPr>
                <w:rFonts w:ascii="Arial" w:cs="Arial" w:eastAsia="Arial" w:hAnsi="Arial"/>
                <w:sz w:val="18"/>
                <w:szCs w:val="18"/>
                <w:color w:val="auto"/>
              </w:rPr>
              <w:t>XBRL Instance Document</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92"/>
        </w:trPr>
        <w:tc>
          <w:tcPr>
            <w:tcW w:w="980" w:type="dxa"/>
            <w:vAlign w:val="bottom"/>
          </w:tcPr>
          <w:p>
            <w:pPr>
              <w:spacing w:after="0"/>
              <w:rPr>
                <w:sz w:val="20"/>
                <w:szCs w:val="20"/>
                <w:color w:val="auto"/>
              </w:rPr>
            </w:pPr>
            <w:r>
              <w:rPr>
                <w:rFonts w:ascii="Arial" w:cs="Arial" w:eastAsia="Arial" w:hAnsi="Arial"/>
                <w:sz w:val="18"/>
                <w:szCs w:val="18"/>
                <w:color w:val="auto"/>
              </w:rPr>
              <w:t>101.SCH</w:t>
            </w:r>
          </w:p>
        </w:tc>
        <w:tc>
          <w:tcPr>
            <w:tcW w:w="8420" w:type="dxa"/>
            <w:vAlign w:val="bottom"/>
          </w:tcPr>
          <w:p>
            <w:pPr>
              <w:ind w:left="280"/>
              <w:spacing w:after="0"/>
              <w:rPr>
                <w:sz w:val="20"/>
                <w:szCs w:val="20"/>
                <w:color w:val="auto"/>
              </w:rPr>
            </w:pPr>
            <w:r>
              <w:rPr>
                <w:rFonts w:ascii="Arial" w:cs="Arial" w:eastAsia="Arial" w:hAnsi="Arial"/>
                <w:sz w:val="18"/>
                <w:szCs w:val="18"/>
                <w:color w:val="auto"/>
              </w:rPr>
              <w:t>XBRL Taxonomy Extension Schema</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92"/>
        </w:trPr>
        <w:tc>
          <w:tcPr>
            <w:tcW w:w="980" w:type="dxa"/>
            <w:vAlign w:val="bottom"/>
          </w:tcPr>
          <w:p>
            <w:pPr>
              <w:spacing w:after="0"/>
              <w:rPr>
                <w:sz w:val="20"/>
                <w:szCs w:val="20"/>
                <w:color w:val="auto"/>
              </w:rPr>
            </w:pPr>
            <w:r>
              <w:rPr>
                <w:rFonts w:ascii="Arial" w:cs="Arial" w:eastAsia="Arial" w:hAnsi="Arial"/>
                <w:sz w:val="18"/>
                <w:szCs w:val="18"/>
                <w:color w:val="auto"/>
              </w:rPr>
              <w:t>101.CAL</w:t>
            </w:r>
          </w:p>
        </w:tc>
        <w:tc>
          <w:tcPr>
            <w:tcW w:w="8420" w:type="dxa"/>
            <w:vAlign w:val="bottom"/>
          </w:tcPr>
          <w:p>
            <w:pPr>
              <w:ind w:left="280"/>
              <w:spacing w:after="0"/>
              <w:rPr>
                <w:sz w:val="20"/>
                <w:szCs w:val="20"/>
                <w:color w:val="auto"/>
              </w:rPr>
            </w:pPr>
            <w:r>
              <w:rPr>
                <w:rFonts w:ascii="Arial" w:cs="Arial" w:eastAsia="Arial" w:hAnsi="Arial"/>
                <w:sz w:val="18"/>
                <w:szCs w:val="18"/>
                <w:color w:val="auto"/>
              </w:rPr>
              <w:t>XBRL Taxonomy Extension Calculation Linkbase</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92"/>
        </w:trPr>
        <w:tc>
          <w:tcPr>
            <w:tcW w:w="980" w:type="dxa"/>
            <w:vAlign w:val="bottom"/>
          </w:tcPr>
          <w:p>
            <w:pPr>
              <w:spacing w:after="0"/>
              <w:rPr>
                <w:sz w:val="20"/>
                <w:szCs w:val="20"/>
                <w:color w:val="auto"/>
              </w:rPr>
            </w:pPr>
            <w:r>
              <w:rPr>
                <w:rFonts w:ascii="Arial" w:cs="Arial" w:eastAsia="Arial" w:hAnsi="Arial"/>
                <w:sz w:val="18"/>
                <w:szCs w:val="18"/>
                <w:color w:val="auto"/>
              </w:rPr>
              <w:t>101.DEF</w:t>
            </w:r>
          </w:p>
        </w:tc>
        <w:tc>
          <w:tcPr>
            <w:tcW w:w="8420" w:type="dxa"/>
            <w:vAlign w:val="bottom"/>
          </w:tcPr>
          <w:p>
            <w:pPr>
              <w:ind w:left="280"/>
              <w:spacing w:after="0"/>
              <w:rPr>
                <w:sz w:val="20"/>
                <w:szCs w:val="20"/>
                <w:color w:val="auto"/>
              </w:rPr>
            </w:pPr>
            <w:r>
              <w:rPr>
                <w:rFonts w:ascii="Arial" w:cs="Arial" w:eastAsia="Arial" w:hAnsi="Arial"/>
                <w:sz w:val="18"/>
                <w:szCs w:val="18"/>
                <w:color w:val="auto"/>
              </w:rPr>
              <w:t>XBRL Taxonomy Extension Definition Linkbase</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92"/>
        </w:trPr>
        <w:tc>
          <w:tcPr>
            <w:tcW w:w="980" w:type="dxa"/>
            <w:vAlign w:val="bottom"/>
          </w:tcPr>
          <w:p>
            <w:pPr>
              <w:spacing w:after="0"/>
              <w:rPr>
                <w:sz w:val="20"/>
                <w:szCs w:val="20"/>
                <w:color w:val="auto"/>
              </w:rPr>
            </w:pPr>
            <w:r>
              <w:rPr>
                <w:rFonts w:ascii="Arial" w:cs="Arial" w:eastAsia="Arial" w:hAnsi="Arial"/>
                <w:sz w:val="18"/>
                <w:szCs w:val="18"/>
                <w:color w:val="auto"/>
              </w:rPr>
              <w:t>101.LAB</w:t>
            </w:r>
          </w:p>
        </w:tc>
        <w:tc>
          <w:tcPr>
            <w:tcW w:w="8420" w:type="dxa"/>
            <w:vAlign w:val="bottom"/>
          </w:tcPr>
          <w:p>
            <w:pPr>
              <w:ind w:left="280"/>
              <w:spacing w:after="0"/>
              <w:rPr>
                <w:sz w:val="20"/>
                <w:szCs w:val="20"/>
                <w:color w:val="auto"/>
              </w:rPr>
            </w:pPr>
            <w:r>
              <w:rPr>
                <w:rFonts w:ascii="Arial" w:cs="Arial" w:eastAsia="Arial" w:hAnsi="Arial"/>
                <w:sz w:val="18"/>
                <w:szCs w:val="18"/>
                <w:color w:val="auto"/>
              </w:rPr>
              <w:t>XBRL Taxonomy Extension Label Linkbase</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92"/>
        </w:trPr>
        <w:tc>
          <w:tcPr>
            <w:tcW w:w="980" w:type="dxa"/>
            <w:vAlign w:val="bottom"/>
          </w:tcPr>
          <w:p>
            <w:pPr>
              <w:spacing w:after="0"/>
              <w:rPr>
                <w:sz w:val="20"/>
                <w:szCs w:val="20"/>
                <w:color w:val="auto"/>
              </w:rPr>
            </w:pPr>
            <w:r>
              <w:rPr>
                <w:rFonts w:ascii="Arial" w:cs="Arial" w:eastAsia="Arial" w:hAnsi="Arial"/>
                <w:sz w:val="18"/>
                <w:szCs w:val="18"/>
                <w:color w:val="auto"/>
              </w:rPr>
              <w:t>101.PRE</w:t>
            </w:r>
          </w:p>
        </w:tc>
        <w:tc>
          <w:tcPr>
            <w:tcW w:w="8420" w:type="dxa"/>
            <w:vAlign w:val="bottom"/>
          </w:tcPr>
          <w:p>
            <w:pPr>
              <w:ind w:left="280"/>
              <w:spacing w:after="0"/>
              <w:rPr>
                <w:sz w:val="20"/>
                <w:szCs w:val="20"/>
                <w:color w:val="auto"/>
              </w:rPr>
            </w:pPr>
            <w:r>
              <w:rPr>
                <w:rFonts w:ascii="Arial" w:cs="Arial" w:eastAsia="Arial" w:hAnsi="Arial"/>
                <w:sz w:val="18"/>
                <w:szCs w:val="18"/>
                <w:color w:val="auto"/>
              </w:rPr>
              <w:t>XBRL Taxonomy Extension Presentation Linkbase</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391" w:lineRule="exact"/>
        <w:rPr>
          <w:sz w:val="20"/>
          <w:szCs w:val="20"/>
          <w:color w:val="auto"/>
        </w:rPr>
      </w:pPr>
    </w:p>
    <w:p>
      <w:pPr>
        <w:ind w:left="700" w:hanging="665"/>
        <w:spacing w:after="0"/>
        <w:tabs>
          <w:tab w:leader="none" w:pos="7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Filed or furnished herewith</w:t>
      </w:r>
    </w:p>
    <w:p>
      <w:pPr>
        <w:spacing w:after="0" w:line="2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380"/>
          </w:cols>
          <w:pgMar w:left="240" w:top="125" w:right="279" w:bottom="1440" w:gutter="0" w:footer="0" w:header="0"/>
          <w:type w:val="continuous"/>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10.2</w:t>
      </w:r>
    </w:p>
    <w:p>
      <w:pPr>
        <w:spacing w:after="0" w:line="25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THE SCOTTS COMPANY LLC</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Certificate</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right="100" w:firstLine="1297"/>
        <w:spacing w:after="0" w:line="510" w:lineRule="auto"/>
        <w:rPr>
          <w:sz w:val="20"/>
          <w:szCs w:val="20"/>
          <w:color w:val="auto"/>
        </w:rPr>
      </w:pPr>
      <w:r>
        <w:rPr>
          <w:rFonts w:ascii="Arial" w:cs="Arial" w:eastAsia="Arial" w:hAnsi="Arial"/>
          <w:sz w:val="21"/>
          <w:szCs w:val="21"/>
          <w:color w:val="auto"/>
        </w:rPr>
        <w:t xml:space="preserve">I, Denise S. Stump, the Executive Vice President, Global Human Resources of The Scotts Company LLC hereby certify that </w:t>
      </w:r>
      <w:r>
        <w:rPr>
          <w:rFonts w:ascii="Arial" w:cs="Arial" w:eastAsia="Arial" w:hAnsi="Arial"/>
          <w:sz w:val="21"/>
          <w:szCs w:val="21"/>
          <w:u w:val="single" w:color="auto"/>
          <w:color w:val="auto"/>
        </w:rPr>
        <w:t>The Scotts Company LLC Executive Retirement Plan, Amended and Restated as of January 1, 2015</w:t>
      </w:r>
      <w:r>
        <w:rPr>
          <w:rFonts w:ascii="Arial" w:cs="Arial" w:eastAsia="Arial" w:hAnsi="Arial"/>
          <w:sz w:val="21"/>
          <w:szCs w:val="21"/>
          <w:color w:val="auto"/>
        </w:rPr>
        <w:t xml:space="preserve">, attached hereto as </w:t>
      </w:r>
      <w:r>
        <w:rPr>
          <w:rFonts w:ascii="Arial" w:cs="Arial" w:eastAsia="Arial" w:hAnsi="Arial"/>
          <w:sz w:val="21"/>
          <w:szCs w:val="21"/>
          <w:u w:val="single" w:color="auto"/>
          <w:color w:val="auto"/>
        </w:rPr>
        <w:t>Exhibit I</w:t>
      </w:r>
      <w:r>
        <w:rPr>
          <w:rFonts w:ascii="Arial" w:cs="Arial" w:eastAsia="Arial" w:hAnsi="Arial"/>
          <w:sz w:val="21"/>
          <w:szCs w:val="21"/>
          <w:color w:val="auto"/>
        </w:rPr>
        <w:t>, was implemented by me this day and made effective as of the date set forth therein.</w:t>
      </w:r>
    </w:p>
    <w:p>
      <w:pPr>
        <w:ind w:right="440" w:firstLine="1297"/>
        <w:spacing w:after="0" w:line="497" w:lineRule="auto"/>
        <w:rPr>
          <w:sz w:val="20"/>
          <w:szCs w:val="20"/>
          <w:color w:val="auto"/>
        </w:rPr>
      </w:pPr>
      <w:r>
        <w:rPr>
          <w:rFonts w:ascii="Arial" w:cs="Arial" w:eastAsia="Arial" w:hAnsi="Arial"/>
          <w:sz w:val="22"/>
          <w:szCs w:val="22"/>
          <w:color w:val="auto"/>
        </w:rPr>
        <w:t>This action is taken by me on behalf of The Scotts Company LLC, pursuant to delegations to me by the Compensation and Organization Committee of the Board of Directors of The Scotts Miracle-Gro Company on August 8, 2007, which delegation remains in full force and effect, as of the date of this Certificate.</w:t>
      </w:r>
    </w:p>
    <w:p>
      <w:pPr>
        <w:spacing w:after="0" w:line="200" w:lineRule="exact"/>
        <w:rPr>
          <w:sz w:val="20"/>
          <w:szCs w:val="20"/>
          <w:color w:val="auto"/>
        </w:rPr>
      </w:pPr>
    </w:p>
    <w:p>
      <w:pPr>
        <w:spacing w:after="0" w:line="302" w:lineRule="exact"/>
        <w:rPr>
          <w:sz w:val="20"/>
          <w:szCs w:val="20"/>
          <w:color w:val="auto"/>
        </w:rPr>
      </w:pPr>
    </w:p>
    <w:p>
      <w:pPr>
        <w:ind w:left="3920"/>
        <w:spacing w:after="0"/>
        <w:rPr>
          <w:sz w:val="20"/>
          <w:szCs w:val="20"/>
          <w:color w:val="auto"/>
        </w:rPr>
      </w:pPr>
      <w:r>
        <w:rPr>
          <w:rFonts w:ascii="Arial" w:cs="Arial" w:eastAsia="Arial" w:hAnsi="Arial"/>
          <w:sz w:val="22"/>
          <w:szCs w:val="22"/>
          <w:b w:val="1"/>
          <w:bCs w:val="1"/>
          <w:color w:val="auto"/>
        </w:rPr>
        <w:t>THE SCOTTS COMPANY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4080"/>
        <w:spacing w:after="0"/>
        <w:rPr>
          <w:sz w:val="20"/>
          <w:szCs w:val="20"/>
          <w:color w:val="auto"/>
        </w:rPr>
      </w:pPr>
      <w:r>
        <w:rPr>
          <w:rFonts w:ascii="Arial" w:cs="Arial" w:eastAsia="Arial" w:hAnsi="Arial"/>
          <w:sz w:val="22"/>
          <w:szCs w:val="22"/>
          <w:color w:val="auto"/>
        </w:rPr>
        <w:t>/s/ DENISE S. STUMP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2492375</wp:posOffset>
            </wp:positionH>
            <wp:positionV relativeFrom="paragraph">
              <wp:posOffset>-17780</wp:posOffset>
            </wp:positionV>
            <wp:extent cx="139128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91285" cy="8890"/>
                    </a:xfrm>
                    <a:prstGeom prst="rect">
                      <a:avLst/>
                    </a:prstGeom>
                    <a:noFill/>
                  </pic:spPr>
                </pic:pic>
              </a:graphicData>
            </a:graphic>
          </wp:anchor>
        </w:drawing>
      </w:r>
    </w:p>
    <w:p>
      <w:pPr>
        <w:ind w:left="3920"/>
        <w:spacing w:after="0" w:line="238" w:lineRule="auto"/>
        <w:rPr>
          <w:sz w:val="20"/>
          <w:szCs w:val="20"/>
          <w:color w:val="auto"/>
        </w:rPr>
      </w:pPr>
      <w:r>
        <w:rPr>
          <w:rFonts w:ascii="Arial" w:cs="Arial" w:eastAsia="Arial" w:hAnsi="Arial"/>
          <w:sz w:val="22"/>
          <w:szCs w:val="22"/>
          <w:color w:val="auto"/>
        </w:rPr>
        <w:t>Denise S. Stump</w:t>
      </w:r>
    </w:p>
    <w:p>
      <w:pPr>
        <w:ind w:left="3920"/>
        <w:spacing w:after="0" w:line="230" w:lineRule="auto"/>
        <w:rPr>
          <w:sz w:val="20"/>
          <w:szCs w:val="20"/>
          <w:color w:val="auto"/>
        </w:rPr>
      </w:pPr>
      <w:r>
        <w:rPr>
          <w:rFonts w:ascii="Arial" w:cs="Arial" w:eastAsia="Arial" w:hAnsi="Arial"/>
          <w:sz w:val="22"/>
          <w:szCs w:val="22"/>
          <w:color w:val="auto"/>
        </w:rPr>
        <w:t>Executive Vice President, Global Human</w:t>
      </w:r>
    </w:p>
    <w:p>
      <w:pPr>
        <w:spacing w:after="0" w:line="1" w:lineRule="exact"/>
        <w:rPr>
          <w:sz w:val="20"/>
          <w:szCs w:val="20"/>
          <w:color w:val="auto"/>
        </w:rPr>
      </w:pPr>
    </w:p>
    <w:p>
      <w:pPr>
        <w:ind w:left="3920"/>
        <w:spacing w:after="0"/>
        <w:rPr>
          <w:sz w:val="20"/>
          <w:szCs w:val="20"/>
          <w:color w:val="auto"/>
        </w:rPr>
      </w:pPr>
      <w:r>
        <w:rPr>
          <w:rFonts w:ascii="Arial" w:cs="Arial" w:eastAsia="Arial" w:hAnsi="Arial"/>
          <w:sz w:val="22"/>
          <w:szCs w:val="22"/>
          <w:color w:val="auto"/>
        </w:rPr>
        <w:t>Resources</w:t>
      </w:r>
    </w:p>
    <w:p>
      <w:pPr>
        <w:spacing w:after="0" w:line="269" w:lineRule="exact"/>
        <w:rPr>
          <w:sz w:val="20"/>
          <w:szCs w:val="20"/>
          <w:color w:val="auto"/>
        </w:rPr>
      </w:pPr>
    </w:p>
    <w:p>
      <w:pPr>
        <w:spacing w:after="0"/>
        <w:rPr>
          <w:sz w:val="20"/>
          <w:szCs w:val="20"/>
          <w:color w:val="auto"/>
        </w:rPr>
      </w:pPr>
      <w:r>
        <w:rPr>
          <w:rFonts w:ascii="Arial" w:cs="Arial" w:eastAsia="Arial" w:hAnsi="Arial"/>
          <w:sz w:val="22"/>
          <w:szCs w:val="22"/>
          <w:color w:val="auto"/>
        </w:rPr>
        <w:t>Effective: December 31, 2014</w:t>
      </w:r>
    </w:p>
    <w:p>
      <w:pPr>
        <w:sectPr>
          <w:pgSz w:w="11900" w:h="16838" w:orient="portrait"/>
          <w:cols w:equalWidth="0" w:num="1">
            <w:col w:w="11420"/>
          </w:cols>
          <w:pgMar w:left="240" w:top="553" w:right="239" w:bottom="1440" w:gutter="0" w:footer="0" w:header="0"/>
        </w:sectPr>
      </w:pPr>
    </w:p>
    <w:bookmarkStart w:id="47" w:name="page48"/>
    <w:bookmarkEnd w:id="47"/>
    <w:p>
      <w:pPr>
        <w:jc w:val="right"/>
        <w:spacing w:after="0"/>
        <w:rPr>
          <w:sz w:val="20"/>
          <w:szCs w:val="20"/>
          <w:color w:val="auto"/>
        </w:rPr>
      </w:pPr>
      <w:r>
        <w:rPr>
          <w:rFonts w:ascii="Arial" w:cs="Arial" w:eastAsia="Arial" w:hAnsi="Arial"/>
          <w:sz w:val="22"/>
          <w:szCs w:val="22"/>
          <w:b w:val="1"/>
          <w:bCs w:val="1"/>
          <w:u w:val="single" w:color="auto"/>
          <w:color w:val="auto"/>
        </w:rPr>
        <w:t>EXHIBIT 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2720"/>
        <w:spacing w:after="0"/>
        <w:rPr>
          <w:sz w:val="20"/>
          <w:szCs w:val="20"/>
          <w:color w:val="auto"/>
        </w:rPr>
      </w:pPr>
      <w:r>
        <w:rPr>
          <w:rFonts w:ascii="Arial" w:cs="Arial" w:eastAsia="Arial" w:hAnsi="Arial"/>
          <w:sz w:val="25"/>
          <w:szCs w:val="25"/>
          <w:b w:val="1"/>
          <w:bCs w:val="1"/>
          <w:color w:val="auto"/>
        </w:rPr>
        <w:t>THE SCOTTS COMPANY LLC</w:t>
      </w:r>
    </w:p>
    <w:p>
      <w:pPr>
        <w:spacing w:after="0" w:line="38" w:lineRule="exact"/>
        <w:rPr>
          <w:sz w:val="20"/>
          <w:szCs w:val="20"/>
          <w:color w:val="auto"/>
        </w:rPr>
      </w:pPr>
    </w:p>
    <w:p>
      <w:pPr>
        <w:ind w:left="2500"/>
        <w:spacing w:after="0"/>
        <w:rPr>
          <w:sz w:val="20"/>
          <w:szCs w:val="20"/>
          <w:color w:val="auto"/>
        </w:rPr>
      </w:pPr>
      <w:r>
        <w:rPr>
          <w:rFonts w:ascii="Arial" w:cs="Arial" w:eastAsia="Arial" w:hAnsi="Arial"/>
          <w:sz w:val="25"/>
          <w:szCs w:val="25"/>
          <w:b w:val="1"/>
          <w:bCs w:val="1"/>
          <w:color w:val="auto"/>
        </w:rPr>
        <w:t>EXECUTIVE RETIREMENT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2100"/>
        <w:spacing w:after="0"/>
        <w:rPr>
          <w:sz w:val="20"/>
          <w:szCs w:val="20"/>
          <w:color w:val="auto"/>
        </w:rPr>
      </w:pPr>
      <w:r>
        <w:rPr>
          <w:rFonts w:ascii="Arial" w:cs="Arial" w:eastAsia="Arial" w:hAnsi="Arial"/>
          <w:sz w:val="25"/>
          <w:szCs w:val="25"/>
          <w:b w:val="1"/>
          <w:bCs w:val="1"/>
          <w:color w:val="auto"/>
        </w:rPr>
        <w:t>Amended and Restated as of January 1, 2015</w:t>
      </w:r>
    </w:p>
    <w:p>
      <w:pPr>
        <w:sectPr>
          <w:pgSz w:w="11900" w:h="16838" w:orient="portrait"/>
          <w:cols w:equalWidth="0" w:num="1">
            <w:col w:w="10220"/>
          </w:cols>
          <w:pgMar w:left="1440" w:top="369" w:right="239" w:bottom="1440" w:gutter="0" w:footer="0" w:header="0"/>
        </w:sectPr>
      </w:pPr>
    </w:p>
    <w:bookmarkStart w:id="48" w:name="page49"/>
    <w:bookmarkEnd w:id="48"/>
    <w:p>
      <w:pPr>
        <w:jc w:val="center"/>
        <w:spacing w:after="0"/>
        <w:rPr>
          <w:sz w:val="20"/>
          <w:szCs w:val="20"/>
          <w:color w:val="auto"/>
        </w:rPr>
      </w:pPr>
      <w:r>
        <w:rPr>
          <w:rFonts w:ascii="Arial" w:cs="Arial" w:eastAsia="Arial" w:hAnsi="Arial"/>
          <w:sz w:val="22"/>
          <w:szCs w:val="22"/>
          <w:b w:val="1"/>
          <w:bCs w:val="1"/>
          <w:u w:val="single" w:color="auto"/>
          <w:color w:val="auto"/>
        </w:rPr>
        <w:t>Table of Contents</w:t>
      </w:r>
    </w:p>
    <w:p>
      <w:pPr>
        <w:spacing w:after="0" w:line="28" w:lineRule="exact"/>
        <w:rPr>
          <w:sz w:val="20"/>
          <w:szCs w:val="20"/>
          <w:color w:val="auto"/>
        </w:rPr>
      </w:pPr>
    </w:p>
    <w:p>
      <w:pPr>
        <w:jc w:val="right"/>
        <w:spacing w:after="0"/>
        <w:rPr>
          <w:sz w:val="20"/>
          <w:szCs w:val="20"/>
          <w:color w:val="auto"/>
        </w:rPr>
      </w:pPr>
      <w:r>
        <w:rPr>
          <w:rFonts w:ascii="Arial" w:cs="Arial" w:eastAsia="Arial" w:hAnsi="Arial"/>
          <w:sz w:val="22"/>
          <w:szCs w:val="22"/>
          <w:u w:val="single" w:color="auto"/>
          <w:color w:val="auto"/>
        </w:rPr>
        <w:t>Page</w:t>
      </w:r>
    </w:p>
    <w:tbl>
      <w:tblPr>
        <w:tblLayout w:type="fixed"/>
        <w:tblInd w:w="0" w:type="dxa"/>
        <w:tblCellMar>
          <w:top w:w="0" w:type="dxa"/>
          <w:left w:w="0" w:type="dxa"/>
          <w:bottom w:w="0" w:type="dxa"/>
          <w:right w:w="0" w:type="dxa"/>
        </w:tblCellMar>
      </w:tblPr>
      <w:tr>
        <w:trPr>
          <w:trHeight w:val="242"/>
        </w:trPr>
        <w:tc>
          <w:tcPr>
            <w:tcW w:w="1500" w:type="dxa"/>
            <w:vAlign w:val="bottom"/>
            <w:gridSpan w:val="2"/>
          </w:tcPr>
          <w:p>
            <w:pPr>
              <w:spacing w:after="0" w:line="242" w:lineRule="exact"/>
              <w:rPr>
                <w:sz w:val="20"/>
                <w:szCs w:val="20"/>
                <w:color w:val="auto"/>
              </w:rPr>
            </w:pPr>
            <w:r>
              <w:rPr>
                <w:rFonts w:ascii="Arial" w:cs="Arial" w:eastAsia="Arial" w:hAnsi="Arial"/>
                <w:sz w:val="22"/>
                <w:szCs w:val="22"/>
                <w:color w:val="auto"/>
              </w:rPr>
              <w:t>SECTION 1</w:t>
            </w: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80" w:type="dxa"/>
            <w:vAlign w:val="bottom"/>
          </w:tcPr>
          <w:p>
            <w:pPr>
              <w:spacing w:after="0"/>
              <w:rPr>
                <w:sz w:val="21"/>
                <w:szCs w:val="21"/>
                <w:color w:val="auto"/>
              </w:rPr>
            </w:pPr>
          </w:p>
        </w:tc>
      </w:tr>
      <w:tr>
        <w:trPr>
          <w:trHeight w:val="275"/>
        </w:trPr>
        <w:tc>
          <w:tcPr>
            <w:tcW w:w="1660" w:type="dxa"/>
            <w:vAlign w:val="bottom"/>
            <w:gridSpan w:val="3"/>
          </w:tcPr>
          <w:p>
            <w:pPr>
              <w:spacing w:after="0"/>
              <w:rPr>
                <w:sz w:val="20"/>
                <w:szCs w:val="20"/>
                <w:color w:val="auto"/>
              </w:rPr>
            </w:pPr>
            <w:r>
              <w:rPr>
                <w:rFonts w:ascii="Arial" w:cs="Arial" w:eastAsia="Arial" w:hAnsi="Arial"/>
                <w:sz w:val="22"/>
                <w:szCs w:val="22"/>
                <w:color w:val="auto"/>
                <w:w w:val="86"/>
              </w:rPr>
              <w:t>Name and Purpose</w:t>
            </w:r>
          </w:p>
        </w:tc>
        <w:tc>
          <w:tcPr>
            <w:tcW w:w="280" w:type="dxa"/>
            <w:vAlign w:val="bottom"/>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80" w:type="dxa"/>
            <w:vAlign w:val="bottom"/>
          </w:tcPr>
          <w:p>
            <w:pPr>
              <w:spacing w:after="0"/>
              <w:rPr>
                <w:sz w:val="23"/>
                <w:szCs w:val="23"/>
                <w:color w:val="auto"/>
              </w:rPr>
            </w:pPr>
          </w:p>
        </w:tc>
      </w:tr>
      <w:tr>
        <w:trPr>
          <w:trHeight w:val="509"/>
        </w:trPr>
        <w:tc>
          <w:tcPr>
            <w:tcW w:w="1500" w:type="dxa"/>
            <w:vAlign w:val="bottom"/>
            <w:gridSpan w:val="2"/>
          </w:tcPr>
          <w:p>
            <w:pPr>
              <w:spacing w:after="0"/>
              <w:rPr>
                <w:sz w:val="20"/>
                <w:szCs w:val="20"/>
                <w:color w:val="auto"/>
              </w:rPr>
            </w:pPr>
            <w:r>
              <w:rPr>
                <w:rFonts w:ascii="Arial" w:cs="Arial" w:eastAsia="Arial" w:hAnsi="Arial"/>
                <w:sz w:val="22"/>
                <w:szCs w:val="22"/>
                <w:color w:val="auto"/>
              </w:rPr>
              <w:t>SECTION 2</w:t>
            </w: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248"/>
        </w:trPr>
        <w:tc>
          <w:tcPr>
            <w:tcW w:w="980" w:type="dxa"/>
            <w:vAlign w:val="bottom"/>
          </w:tcPr>
          <w:p>
            <w:pPr>
              <w:spacing w:after="0" w:line="248" w:lineRule="exact"/>
              <w:rPr>
                <w:sz w:val="20"/>
                <w:szCs w:val="20"/>
                <w:color w:val="auto"/>
              </w:rPr>
            </w:pPr>
            <w:r>
              <w:rPr>
                <w:rFonts w:ascii="Arial" w:cs="Arial" w:eastAsia="Arial" w:hAnsi="Arial"/>
                <w:sz w:val="22"/>
                <w:szCs w:val="22"/>
                <w:color w:val="auto"/>
                <w:w w:val="93"/>
              </w:rPr>
              <w:t>Definitions</w:t>
            </w:r>
          </w:p>
        </w:tc>
        <w:tc>
          <w:tcPr>
            <w:tcW w:w="520" w:type="dxa"/>
            <w:vAlign w:val="bottom"/>
          </w:tcPr>
          <w:p>
            <w:pPr>
              <w:ind w:left="220"/>
              <w:spacing w:after="0" w:line="248" w:lineRule="exact"/>
              <w:rPr>
                <w:sz w:val="20"/>
                <w:szCs w:val="20"/>
                <w:color w:val="auto"/>
              </w:rPr>
            </w:pPr>
            <w:r>
              <w:rPr>
                <w:rFonts w:ascii="Arial" w:cs="Arial" w:eastAsia="Arial" w:hAnsi="Arial"/>
                <w:sz w:val="22"/>
                <w:szCs w:val="22"/>
                <w:color w:val="auto"/>
              </w:rPr>
              <w:t>1</w:t>
            </w: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80" w:type="dxa"/>
            <w:vAlign w:val="bottom"/>
          </w:tcPr>
          <w:p>
            <w:pPr>
              <w:spacing w:after="0"/>
              <w:rPr>
                <w:sz w:val="21"/>
                <w:szCs w:val="21"/>
                <w:color w:val="auto"/>
              </w:rPr>
            </w:pPr>
          </w:p>
        </w:tc>
      </w:tr>
      <w:tr>
        <w:trPr>
          <w:trHeight w:val="230"/>
        </w:trPr>
        <w:tc>
          <w:tcPr>
            <w:tcW w:w="980" w:type="dxa"/>
            <w:vAlign w:val="bottom"/>
          </w:tcPr>
          <w:p>
            <w:pPr>
              <w:ind w:left="340"/>
              <w:spacing w:after="0"/>
              <w:rPr>
                <w:sz w:val="20"/>
                <w:szCs w:val="20"/>
                <w:color w:val="auto"/>
              </w:rPr>
            </w:pPr>
            <w:r>
              <w:rPr>
                <w:rFonts w:ascii="Arial" w:cs="Arial" w:eastAsia="Arial" w:hAnsi="Arial"/>
                <w:sz w:val="20"/>
                <w:szCs w:val="20"/>
                <w:color w:val="auto"/>
              </w:rPr>
              <w:t>2.1.</w:t>
            </w:r>
          </w:p>
        </w:tc>
        <w:tc>
          <w:tcPr>
            <w:tcW w:w="1760" w:type="dxa"/>
            <w:vAlign w:val="bottom"/>
            <w:gridSpan w:val="6"/>
          </w:tcPr>
          <w:p>
            <w:pPr>
              <w:spacing w:after="0"/>
              <w:rPr>
                <w:sz w:val="20"/>
                <w:szCs w:val="20"/>
                <w:color w:val="auto"/>
              </w:rPr>
            </w:pPr>
            <w:r>
              <w:rPr>
                <w:rFonts w:ascii="Arial" w:cs="Arial" w:eastAsia="Arial" w:hAnsi="Arial"/>
                <w:sz w:val="20"/>
                <w:szCs w:val="20"/>
                <w:color w:val="auto"/>
                <w:w w:val="94"/>
              </w:rPr>
              <w:t>Account or Accounts</w:t>
            </w:r>
          </w:p>
        </w:tc>
        <w:tc>
          <w:tcPr>
            <w:tcW w:w="320" w:type="dxa"/>
            <w:vAlign w:val="bottom"/>
          </w:tcPr>
          <w:p>
            <w:pPr>
              <w:jc w:val="right"/>
              <w:ind w:right="1"/>
              <w:spacing w:after="0"/>
              <w:rPr>
                <w:sz w:val="20"/>
                <w:szCs w:val="20"/>
                <w:color w:val="auto"/>
              </w:rPr>
            </w:pPr>
            <w:r>
              <w:rPr>
                <w:rFonts w:ascii="Arial" w:cs="Arial" w:eastAsia="Arial" w:hAnsi="Arial"/>
                <w:sz w:val="20"/>
                <w:szCs w:val="20"/>
                <w:color w:val="auto"/>
              </w:rPr>
              <w:t>1</w:t>
            </w:r>
          </w:p>
        </w:tc>
        <w:tc>
          <w:tcPr>
            <w:tcW w:w="940" w:type="dxa"/>
            <w:vAlign w:val="bottom"/>
          </w:tcPr>
          <w:p>
            <w:pPr>
              <w:spacing w:after="0"/>
              <w:rPr>
                <w:sz w:val="19"/>
                <w:szCs w:val="19"/>
                <w:color w:val="auto"/>
              </w:rPr>
            </w:pPr>
          </w:p>
        </w:tc>
        <w:tc>
          <w:tcPr>
            <w:tcW w:w="280" w:type="dxa"/>
            <w:vAlign w:val="bottom"/>
          </w:tcPr>
          <w:p>
            <w:pPr>
              <w:spacing w:after="0"/>
              <w:rPr>
                <w:sz w:val="19"/>
                <w:szCs w:val="19"/>
                <w:color w:val="auto"/>
              </w:rPr>
            </w:pPr>
          </w:p>
        </w:tc>
      </w:tr>
      <w:tr>
        <w:trPr>
          <w:trHeight w:val="230"/>
        </w:trPr>
        <w:tc>
          <w:tcPr>
            <w:tcW w:w="980" w:type="dxa"/>
            <w:vAlign w:val="bottom"/>
          </w:tcPr>
          <w:p>
            <w:pPr>
              <w:ind w:left="340"/>
              <w:spacing w:after="0"/>
              <w:rPr>
                <w:sz w:val="20"/>
                <w:szCs w:val="20"/>
                <w:color w:val="auto"/>
              </w:rPr>
            </w:pPr>
            <w:r>
              <w:rPr>
                <w:rFonts w:ascii="Arial" w:cs="Arial" w:eastAsia="Arial" w:hAnsi="Arial"/>
                <w:sz w:val="20"/>
                <w:szCs w:val="20"/>
                <w:color w:val="auto"/>
              </w:rPr>
              <w:t>2.2.</w:t>
            </w:r>
          </w:p>
        </w:tc>
        <w:tc>
          <w:tcPr>
            <w:tcW w:w="1160" w:type="dxa"/>
            <w:vAlign w:val="bottom"/>
            <w:gridSpan w:val="4"/>
          </w:tcPr>
          <w:p>
            <w:pPr>
              <w:spacing w:after="0"/>
              <w:rPr>
                <w:sz w:val="20"/>
                <w:szCs w:val="20"/>
                <w:color w:val="auto"/>
              </w:rPr>
            </w:pPr>
            <w:r>
              <w:rPr>
                <w:rFonts w:ascii="Arial" w:cs="Arial" w:eastAsia="Arial" w:hAnsi="Arial"/>
                <w:sz w:val="20"/>
                <w:szCs w:val="20"/>
                <w:color w:val="auto"/>
              </w:rPr>
              <w:t>Adjustments</w:t>
            </w:r>
          </w:p>
        </w:tc>
        <w:tc>
          <w:tcPr>
            <w:tcW w:w="340" w:type="dxa"/>
            <w:vAlign w:val="bottom"/>
          </w:tcPr>
          <w:p>
            <w:pPr>
              <w:jc w:val="right"/>
              <w:ind w:right="101"/>
              <w:spacing w:after="0"/>
              <w:rPr>
                <w:sz w:val="20"/>
                <w:szCs w:val="20"/>
                <w:color w:val="auto"/>
              </w:rPr>
            </w:pPr>
            <w:r>
              <w:rPr>
                <w:rFonts w:ascii="Arial" w:cs="Arial" w:eastAsia="Arial" w:hAnsi="Arial"/>
                <w:sz w:val="20"/>
                <w:szCs w:val="20"/>
                <w:color w:val="auto"/>
              </w:rPr>
              <w:t>1</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80" w:type="dxa"/>
            <w:vAlign w:val="bottom"/>
          </w:tcPr>
          <w:p>
            <w:pPr>
              <w:spacing w:after="0"/>
              <w:rPr>
                <w:sz w:val="19"/>
                <w:szCs w:val="19"/>
                <w:color w:val="auto"/>
              </w:rPr>
            </w:pPr>
          </w:p>
        </w:tc>
      </w:tr>
      <w:tr>
        <w:trPr>
          <w:trHeight w:val="230"/>
        </w:trPr>
        <w:tc>
          <w:tcPr>
            <w:tcW w:w="980" w:type="dxa"/>
            <w:vAlign w:val="bottom"/>
          </w:tcPr>
          <w:p>
            <w:pPr>
              <w:ind w:left="340"/>
              <w:spacing w:after="0"/>
              <w:rPr>
                <w:sz w:val="20"/>
                <w:szCs w:val="20"/>
                <w:color w:val="auto"/>
              </w:rPr>
            </w:pPr>
            <w:r>
              <w:rPr>
                <w:rFonts w:ascii="Arial" w:cs="Arial" w:eastAsia="Arial" w:hAnsi="Arial"/>
                <w:sz w:val="20"/>
                <w:szCs w:val="20"/>
                <w:color w:val="auto"/>
              </w:rPr>
              <w:t>2.3.</w:t>
            </w:r>
          </w:p>
        </w:tc>
        <w:tc>
          <w:tcPr>
            <w:tcW w:w="680" w:type="dxa"/>
            <w:vAlign w:val="bottom"/>
            <w:gridSpan w:val="2"/>
          </w:tcPr>
          <w:p>
            <w:pPr>
              <w:spacing w:after="0"/>
              <w:rPr>
                <w:sz w:val="20"/>
                <w:szCs w:val="20"/>
                <w:color w:val="auto"/>
              </w:rPr>
            </w:pPr>
            <w:r>
              <w:rPr>
                <w:rFonts w:ascii="Arial" w:cs="Arial" w:eastAsia="Arial" w:hAnsi="Arial"/>
                <w:sz w:val="20"/>
                <w:szCs w:val="20"/>
                <w:color w:val="auto"/>
              </w:rPr>
              <w:t>Affiliate</w:t>
            </w:r>
          </w:p>
        </w:tc>
        <w:tc>
          <w:tcPr>
            <w:tcW w:w="280" w:type="dxa"/>
            <w:vAlign w:val="bottom"/>
          </w:tcPr>
          <w:p>
            <w:pPr>
              <w:jc w:val="right"/>
              <w:spacing w:after="0"/>
              <w:rPr>
                <w:sz w:val="20"/>
                <w:szCs w:val="20"/>
                <w:color w:val="auto"/>
              </w:rPr>
            </w:pPr>
            <w:r>
              <w:rPr>
                <w:rFonts w:ascii="Arial" w:cs="Arial" w:eastAsia="Arial" w:hAnsi="Arial"/>
                <w:sz w:val="20"/>
                <w:szCs w:val="20"/>
                <w:color w:val="auto"/>
              </w:rPr>
              <w:t>2</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80" w:type="dxa"/>
            <w:vAlign w:val="bottom"/>
          </w:tcPr>
          <w:p>
            <w:pPr>
              <w:spacing w:after="0"/>
              <w:rPr>
                <w:sz w:val="19"/>
                <w:szCs w:val="19"/>
                <w:color w:val="auto"/>
              </w:rPr>
            </w:pPr>
          </w:p>
        </w:tc>
      </w:tr>
      <w:tr>
        <w:trPr>
          <w:trHeight w:val="230"/>
        </w:trPr>
        <w:tc>
          <w:tcPr>
            <w:tcW w:w="980" w:type="dxa"/>
            <w:vAlign w:val="bottom"/>
          </w:tcPr>
          <w:p>
            <w:pPr>
              <w:ind w:left="340"/>
              <w:spacing w:after="0"/>
              <w:rPr>
                <w:sz w:val="20"/>
                <w:szCs w:val="20"/>
                <w:color w:val="auto"/>
              </w:rPr>
            </w:pPr>
            <w:r>
              <w:rPr>
                <w:rFonts w:ascii="Arial" w:cs="Arial" w:eastAsia="Arial" w:hAnsi="Arial"/>
                <w:sz w:val="20"/>
                <w:szCs w:val="20"/>
                <w:color w:val="auto"/>
              </w:rPr>
              <w:t>2.4.</w:t>
            </w:r>
          </w:p>
        </w:tc>
        <w:tc>
          <w:tcPr>
            <w:tcW w:w="960" w:type="dxa"/>
            <w:vAlign w:val="bottom"/>
            <w:gridSpan w:val="3"/>
          </w:tcPr>
          <w:p>
            <w:pPr>
              <w:spacing w:after="0"/>
              <w:rPr>
                <w:sz w:val="20"/>
                <w:szCs w:val="20"/>
                <w:color w:val="auto"/>
              </w:rPr>
            </w:pPr>
            <w:r>
              <w:rPr>
                <w:rFonts w:ascii="Arial" w:cs="Arial" w:eastAsia="Arial" w:hAnsi="Arial"/>
                <w:sz w:val="20"/>
                <w:szCs w:val="20"/>
                <w:color w:val="auto"/>
                <w:w w:val="87"/>
              </w:rPr>
              <w:t>Base Salary</w:t>
            </w:r>
          </w:p>
        </w:tc>
        <w:tc>
          <w:tcPr>
            <w:tcW w:w="540" w:type="dxa"/>
            <w:vAlign w:val="bottom"/>
            <w:gridSpan w:val="2"/>
          </w:tcPr>
          <w:p>
            <w:pPr>
              <w:jc w:val="right"/>
              <w:ind w:right="161"/>
              <w:spacing w:after="0"/>
              <w:rPr>
                <w:sz w:val="20"/>
                <w:szCs w:val="20"/>
                <w:color w:val="auto"/>
              </w:rPr>
            </w:pPr>
            <w:r>
              <w:rPr>
                <w:rFonts w:ascii="Arial" w:cs="Arial" w:eastAsia="Arial" w:hAnsi="Arial"/>
                <w:sz w:val="20"/>
                <w:szCs w:val="20"/>
                <w:color w:val="auto"/>
              </w:rPr>
              <w:t>2</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80" w:type="dxa"/>
            <w:vAlign w:val="bottom"/>
          </w:tcPr>
          <w:p>
            <w:pPr>
              <w:spacing w:after="0"/>
              <w:rPr>
                <w:sz w:val="19"/>
                <w:szCs w:val="19"/>
                <w:color w:val="auto"/>
              </w:rPr>
            </w:pPr>
          </w:p>
        </w:tc>
      </w:tr>
      <w:tr>
        <w:trPr>
          <w:trHeight w:val="230"/>
        </w:trPr>
        <w:tc>
          <w:tcPr>
            <w:tcW w:w="980" w:type="dxa"/>
            <w:vAlign w:val="bottom"/>
          </w:tcPr>
          <w:p>
            <w:pPr>
              <w:ind w:left="340"/>
              <w:spacing w:after="0"/>
              <w:rPr>
                <w:sz w:val="20"/>
                <w:szCs w:val="20"/>
                <w:color w:val="auto"/>
              </w:rPr>
            </w:pPr>
            <w:r>
              <w:rPr>
                <w:rFonts w:ascii="Arial" w:cs="Arial" w:eastAsia="Arial" w:hAnsi="Arial"/>
                <w:sz w:val="20"/>
                <w:szCs w:val="20"/>
                <w:color w:val="auto"/>
              </w:rPr>
              <w:t>2.5.</w:t>
            </w:r>
          </w:p>
        </w:tc>
        <w:tc>
          <w:tcPr>
            <w:tcW w:w="1760" w:type="dxa"/>
            <w:vAlign w:val="bottom"/>
            <w:gridSpan w:val="6"/>
          </w:tcPr>
          <w:p>
            <w:pPr>
              <w:spacing w:after="0"/>
              <w:rPr>
                <w:sz w:val="20"/>
                <w:szCs w:val="20"/>
                <w:color w:val="auto"/>
              </w:rPr>
            </w:pPr>
            <w:r>
              <w:rPr>
                <w:rFonts w:ascii="Arial" w:cs="Arial" w:eastAsia="Arial" w:hAnsi="Arial"/>
                <w:sz w:val="20"/>
                <w:szCs w:val="20"/>
                <w:color w:val="auto"/>
                <w:w w:val="93"/>
              </w:rPr>
              <w:t>Base Salary Account</w:t>
            </w:r>
          </w:p>
        </w:tc>
        <w:tc>
          <w:tcPr>
            <w:tcW w:w="320" w:type="dxa"/>
            <w:vAlign w:val="bottom"/>
          </w:tcPr>
          <w:p>
            <w:pPr>
              <w:jc w:val="right"/>
              <w:ind w:right="21"/>
              <w:spacing w:after="0"/>
              <w:rPr>
                <w:sz w:val="20"/>
                <w:szCs w:val="20"/>
                <w:color w:val="auto"/>
              </w:rPr>
            </w:pPr>
            <w:r>
              <w:rPr>
                <w:rFonts w:ascii="Arial" w:cs="Arial" w:eastAsia="Arial" w:hAnsi="Arial"/>
                <w:sz w:val="20"/>
                <w:szCs w:val="20"/>
                <w:color w:val="auto"/>
              </w:rPr>
              <w:t>2</w:t>
            </w:r>
          </w:p>
        </w:tc>
        <w:tc>
          <w:tcPr>
            <w:tcW w:w="940" w:type="dxa"/>
            <w:vAlign w:val="bottom"/>
          </w:tcPr>
          <w:p>
            <w:pPr>
              <w:spacing w:after="0"/>
              <w:rPr>
                <w:sz w:val="19"/>
                <w:szCs w:val="19"/>
                <w:color w:val="auto"/>
              </w:rPr>
            </w:pPr>
          </w:p>
        </w:tc>
        <w:tc>
          <w:tcPr>
            <w:tcW w:w="280" w:type="dxa"/>
            <w:vAlign w:val="bottom"/>
          </w:tcPr>
          <w:p>
            <w:pPr>
              <w:spacing w:after="0"/>
              <w:rPr>
                <w:sz w:val="19"/>
                <w:szCs w:val="19"/>
                <w:color w:val="auto"/>
              </w:rPr>
            </w:pPr>
          </w:p>
        </w:tc>
      </w:tr>
      <w:tr>
        <w:trPr>
          <w:trHeight w:val="230"/>
        </w:trPr>
        <w:tc>
          <w:tcPr>
            <w:tcW w:w="980" w:type="dxa"/>
            <w:vAlign w:val="bottom"/>
          </w:tcPr>
          <w:p>
            <w:pPr>
              <w:ind w:left="340"/>
              <w:spacing w:after="0"/>
              <w:rPr>
                <w:sz w:val="20"/>
                <w:szCs w:val="20"/>
                <w:color w:val="auto"/>
              </w:rPr>
            </w:pPr>
            <w:r>
              <w:rPr>
                <w:rFonts w:ascii="Arial" w:cs="Arial" w:eastAsia="Arial" w:hAnsi="Arial"/>
                <w:sz w:val="20"/>
                <w:szCs w:val="20"/>
                <w:color w:val="auto"/>
              </w:rPr>
              <w:t>2.6.</w:t>
            </w:r>
          </w:p>
        </w:tc>
        <w:tc>
          <w:tcPr>
            <w:tcW w:w="3020" w:type="dxa"/>
            <w:vAlign w:val="bottom"/>
            <w:gridSpan w:val="8"/>
          </w:tcPr>
          <w:p>
            <w:pPr>
              <w:spacing w:after="0"/>
              <w:rPr>
                <w:sz w:val="20"/>
                <w:szCs w:val="20"/>
                <w:color w:val="auto"/>
              </w:rPr>
            </w:pPr>
            <w:r>
              <w:rPr>
                <w:rFonts w:ascii="Arial" w:cs="Arial" w:eastAsia="Arial" w:hAnsi="Arial"/>
                <w:sz w:val="20"/>
                <w:szCs w:val="20"/>
                <w:color w:val="auto"/>
              </w:rPr>
              <w:t>Base Salary Deferral Election  2</w:t>
            </w:r>
          </w:p>
        </w:tc>
        <w:tc>
          <w:tcPr>
            <w:tcW w:w="280" w:type="dxa"/>
            <w:vAlign w:val="bottom"/>
          </w:tcPr>
          <w:p>
            <w:pPr>
              <w:spacing w:after="0"/>
              <w:rPr>
                <w:sz w:val="19"/>
                <w:szCs w:val="19"/>
                <w:color w:val="auto"/>
              </w:rPr>
            </w:pPr>
          </w:p>
        </w:tc>
      </w:tr>
      <w:tr>
        <w:trPr>
          <w:trHeight w:val="230"/>
        </w:trPr>
        <w:tc>
          <w:tcPr>
            <w:tcW w:w="980" w:type="dxa"/>
            <w:vAlign w:val="bottom"/>
          </w:tcPr>
          <w:p>
            <w:pPr>
              <w:ind w:left="340"/>
              <w:spacing w:after="0"/>
              <w:rPr>
                <w:sz w:val="20"/>
                <w:szCs w:val="20"/>
                <w:color w:val="auto"/>
              </w:rPr>
            </w:pPr>
            <w:r>
              <w:rPr>
                <w:rFonts w:ascii="Arial" w:cs="Arial" w:eastAsia="Arial" w:hAnsi="Arial"/>
                <w:sz w:val="20"/>
                <w:szCs w:val="20"/>
                <w:color w:val="auto"/>
              </w:rPr>
              <w:t>2.7.</w:t>
            </w:r>
          </w:p>
        </w:tc>
        <w:tc>
          <w:tcPr>
            <w:tcW w:w="960" w:type="dxa"/>
            <w:vAlign w:val="bottom"/>
            <w:gridSpan w:val="3"/>
          </w:tcPr>
          <w:p>
            <w:pPr>
              <w:spacing w:after="0"/>
              <w:rPr>
                <w:sz w:val="20"/>
                <w:szCs w:val="20"/>
                <w:color w:val="auto"/>
              </w:rPr>
            </w:pPr>
            <w:r>
              <w:rPr>
                <w:rFonts w:ascii="Arial" w:cs="Arial" w:eastAsia="Arial" w:hAnsi="Arial"/>
                <w:sz w:val="20"/>
                <w:szCs w:val="20"/>
                <w:color w:val="auto"/>
                <w:w w:val="94"/>
              </w:rPr>
              <w:t>Beneficiary</w:t>
            </w:r>
          </w:p>
        </w:tc>
        <w:tc>
          <w:tcPr>
            <w:tcW w:w="540" w:type="dxa"/>
            <w:vAlign w:val="bottom"/>
            <w:gridSpan w:val="2"/>
          </w:tcPr>
          <w:p>
            <w:pPr>
              <w:jc w:val="right"/>
              <w:ind w:right="181"/>
              <w:spacing w:after="0"/>
              <w:rPr>
                <w:sz w:val="20"/>
                <w:szCs w:val="20"/>
                <w:color w:val="auto"/>
              </w:rPr>
            </w:pPr>
            <w:r>
              <w:rPr>
                <w:rFonts w:ascii="Arial" w:cs="Arial" w:eastAsia="Arial" w:hAnsi="Arial"/>
                <w:sz w:val="20"/>
                <w:szCs w:val="20"/>
                <w:color w:val="auto"/>
              </w:rPr>
              <w:t>2</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80" w:type="dxa"/>
            <w:vAlign w:val="bottom"/>
          </w:tcPr>
          <w:p>
            <w:pPr>
              <w:spacing w:after="0"/>
              <w:rPr>
                <w:sz w:val="19"/>
                <w:szCs w:val="19"/>
                <w:color w:val="auto"/>
              </w:rPr>
            </w:pPr>
          </w:p>
        </w:tc>
      </w:tr>
      <w:tr>
        <w:trPr>
          <w:trHeight w:val="230"/>
        </w:trPr>
        <w:tc>
          <w:tcPr>
            <w:tcW w:w="980" w:type="dxa"/>
            <w:vAlign w:val="bottom"/>
          </w:tcPr>
          <w:p>
            <w:pPr>
              <w:ind w:left="340"/>
              <w:spacing w:after="0"/>
              <w:rPr>
                <w:sz w:val="20"/>
                <w:szCs w:val="20"/>
                <w:color w:val="auto"/>
              </w:rPr>
            </w:pPr>
            <w:r>
              <w:rPr>
                <w:rFonts w:ascii="Arial" w:cs="Arial" w:eastAsia="Arial" w:hAnsi="Arial"/>
                <w:sz w:val="20"/>
                <w:szCs w:val="20"/>
                <w:color w:val="auto"/>
              </w:rPr>
              <w:t>2.8.</w:t>
            </w:r>
          </w:p>
        </w:tc>
        <w:tc>
          <w:tcPr>
            <w:tcW w:w="3020" w:type="dxa"/>
            <w:vAlign w:val="bottom"/>
            <w:gridSpan w:val="8"/>
          </w:tcPr>
          <w:p>
            <w:pPr>
              <w:spacing w:after="0"/>
              <w:rPr>
                <w:sz w:val="20"/>
                <w:szCs w:val="20"/>
                <w:color w:val="auto"/>
              </w:rPr>
            </w:pPr>
            <w:r>
              <w:rPr>
                <w:rFonts w:ascii="Arial" w:cs="Arial" w:eastAsia="Arial" w:hAnsi="Arial"/>
                <w:sz w:val="20"/>
                <w:szCs w:val="20"/>
                <w:color w:val="auto"/>
                <w:w w:val="98"/>
              </w:rPr>
              <w:t>Benefits Administrative Committee</w:t>
            </w:r>
          </w:p>
        </w:tc>
        <w:tc>
          <w:tcPr>
            <w:tcW w:w="280" w:type="dxa"/>
            <w:vAlign w:val="bottom"/>
          </w:tcPr>
          <w:p>
            <w:pPr>
              <w:jc w:val="right"/>
              <w:ind w:right="81"/>
              <w:spacing w:after="0"/>
              <w:rPr>
                <w:sz w:val="20"/>
                <w:szCs w:val="20"/>
                <w:color w:val="auto"/>
              </w:rPr>
            </w:pPr>
            <w:r>
              <w:rPr>
                <w:rFonts w:ascii="Arial" w:cs="Arial" w:eastAsia="Arial" w:hAnsi="Arial"/>
                <w:sz w:val="20"/>
                <w:szCs w:val="20"/>
                <w:color w:val="auto"/>
                <w:w w:val="71"/>
              </w:rPr>
              <w:t>2</w:t>
            </w:r>
          </w:p>
        </w:tc>
      </w:tr>
      <w:tr>
        <w:trPr>
          <w:trHeight w:val="230"/>
        </w:trPr>
        <w:tc>
          <w:tcPr>
            <w:tcW w:w="980" w:type="dxa"/>
            <w:vAlign w:val="bottom"/>
          </w:tcPr>
          <w:p>
            <w:pPr>
              <w:ind w:left="340"/>
              <w:spacing w:after="0"/>
              <w:rPr>
                <w:sz w:val="20"/>
                <w:szCs w:val="20"/>
                <w:color w:val="auto"/>
              </w:rPr>
            </w:pPr>
            <w:r>
              <w:rPr>
                <w:rFonts w:ascii="Arial" w:cs="Arial" w:eastAsia="Arial" w:hAnsi="Arial"/>
                <w:sz w:val="20"/>
                <w:szCs w:val="20"/>
                <w:color w:val="auto"/>
              </w:rPr>
              <w:t>2.9.</w:t>
            </w:r>
          </w:p>
        </w:tc>
        <w:tc>
          <w:tcPr>
            <w:tcW w:w="520" w:type="dxa"/>
            <w:vAlign w:val="bottom"/>
          </w:tcPr>
          <w:p>
            <w:pPr>
              <w:spacing w:after="0"/>
              <w:rPr>
                <w:sz w:val="20"/>
                <w:szCs w:val="20"/>
                <w:color w:val="auto"/>
              </w:rPr>
            </w:pPr>
            <w:r>
              <w:rPr>
                <w:rFonts w:ascii="Arial" w:cs="Arial" w:eastAsia="Arial" w:hAnsi="Arial"/>
                <w:sz w:val="20"/>
                <w:szCs w:val="20"/>
                <w:color w:val="auto"/>
                <w:w w:val="93"/>
              </w:rPr>
              <w:t>Board</w:t>
            </w:r>
          </w:p>
        </w:tc>
        <w:tc>
          <w:tcPr>
            <w:tcW w:w="160" w:type="dxa"/>
            <w:vAlign w:val="bottom"/>
          </w:tcPr>
          <w:p>
            <w:pPr>
              <w:spacing w:after="0"/>
              <w:rPr>
                <w:sz w:val="19"/>
                <w:szCs w:val="19"/>
                <w:color w:val="auto"/>
              </w:rPr>
            </w:pPr>
          </w:p>
        </w:tc>
        <w:tc>
          <w:tcPr>
            <w:tcW w:w="280" w:type="dxa"/>
            <w:vAlign w:val="bottom"/>
          </w:tcPr>
          <w:p>
            <w:pPr>
              <w:jc w:val="right"/>
              <w:ind w:right="83"/>
              <w:spacing w:after="0"/>
              <w:rPr>
                <w:sz w:val="20"/>
                <w:szCs w:val="20"/>
                <w:color w:val="auto"/>
              </w:rPr>
            </w:pPr>
            <w:r>
              <w:rPr>
                <w:rFonts w:ascii="Arial" w:cs="Arial" w:eastAsia="Arial" w:hAnsi="Arial"/>
                <w:sz w:val="20"/>
                <w:szCs w:val="20"/>
                <w:color w:val="auto"/>
                <w:w w:val="71"/>
              </w:rPr>
              <w:t>2</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80" w:type="dxa"/>
            <w:vAlign w:val="bottom"/>
          </w:tcPr>
          <w:p>
            <w:pPr>
              <w:spacing w:after="0"/>
              <w:rPr>
                <w:sz w:val="19"/>
                <w:szCs w:val="19"/>
                <w:color w:val="auto"/>
              </w:rPr>
            </w:pPr>
          </w:p>
        </w:tc>
      </w:tr>
      <w:tr>
        <w:trPr>
          <w:trHeight w:val="230"/>
        </w:trPr>
        <w:tc>
          <w:tcPr>
            <w:tcW w:w="980" w:type="dxa"/>
            <w:vAlign w:val="bottom"/>
          </w:tcPr>
          <w:p>
            <w:pPr>
              <w:ind w:left="340"/>
              <w:spacing w:after="0"/>
              <w:rPr>
                <w:sz w:val="20"/>
                <w:szCs w:val="20"/>
                <w:color w:val="auto"/>
              </w:rPr>
            </w:pPr>
            <w:r>
              <w:rPr>
                <w:rFonts w:ascii="Arial" w:cs="Arial" w:eastAsia="Arial" w:hAnsi="Arial"/>
                <w:sz w:val="20"/>
                <w:szCs w:val="20"/>
                <w:color w:val="auto"/>
              </w:rPr>
              <w:t>2.10.</w:t>
            </w:r>
          </w:p>
        </w:tc>
        <w:tc>
          <w:tcPr>
            <w:tcW w:w="520" w:type="dxa"/>
            <w:vAlign w:val="bottom"/>
          </w:tcPr>
          <w:p>
            <w:pPr>
              <w:spacing w:after="0"/>
              <w:rPr>
                <w:sz w:val="20"/>
                <w:szCs w:val="20"/>
                <w:color w:val="auto"/>
              </w:rPr>
            </w:pPr>
            <w:r>
              <w:rPr>
                <w:rFonts w:ascii="Arial" w:cs="Arial" w:eastAsia="Arial" w:hAnsi="Arial"/>
                <w:sz w:val="20"/>
                <w:szCs w:val="20"/>
                <w:color w:val="auto"/>
                <w:w w:val="86"/>
              </w:rPr>
              <w:t>Cause</w:t>
            </w:r>
          </w:p>
        </w:tc>
        <w:tc>
          <w:tcPr>
            <w:tcW w:w="160" w:type="dxa"/>
            <w:vAlign w:val="bottom"/>
          </w:tcPr>
          <w:p>
            <w:pPr>
              <w:spacing w:after="0"/>
              <w:rPr>
                <w:sz w:val="19"/>
                <w:szCs w:val="19"/>
                <w:color w:val="auto"/>
              </w:rPr>
            </w:pPr>
          </w:p>
        </w:tc>
        <w:tc>
          <w:tcPr>
            <w:tcW w:w="280" w:type="dxa"/>
            <w:vAlign w:val="bottom"/>
          </w:tcPr>
          <w:p>
            <w:pPr>
              <w:jc w:val="right"/>
              <w:ind w:right="83"/>
              <w:spacing w:after="0"/>
              <w:rPr>
                <w:sz w:val="20"/>
                <w:szCs w:val="20"/>
                <w:color w:val="auto"/>
              </w:rPr>
            </w:pPr>
            <w:r>
              <w:rPr>
                <w:rFonts w:ascii="Arial" w:cs="Arial" w:eastAsia="Arial" w:hAnsi="Arial"/>
                <w:sz w:val="20"/>
                <w:szCs w:val="20"/>
                <w:color w:val="auto"/>
                <w:w w:val="71"/>
              </w:rPr>
              <w:t>3</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80" w:type="dxa"/>
            <w:vAlign w:val="bottom"/>
          </w:tcPr>
          <w:p>
            <w:pPr>
              <w:spacing w:after="0"/>
              <w:rPr>
                <w:sz w:val="19"/>
                <w:szCs w:val="19"/>
                <w:color w:val="auto"/>
              </w:rPr>
            </w:pPr>
          </w:p>
        </w:tc>
      </w:tr>
      <w:tr>
        <w:trPr>
          <w:trHeight w:val="230"/>
        </w:trPr>
        <w:tc>
          <w:tcPr>
            <w:tcW w:w="980" w:type="dxa"/>
            <w:vAlign w:val="bottom"/>
          </w:tcPr>
          <w:p>
            <w:pPr>
              <w:ind w:left="340"/>
              <w:spacing w:after="0"/>
              <w:rPr>
                <w:sz w:val="20"/>
                <w:szCs w:val="20"/>
                <w:color w:val="auto"/>
              </w:rPr>
            </w:pPr>
            <w:r>
              <w:rPr>
                <w:rFonts w:ascii="Arial" w:cs="Arial" w:eastAsia="Arial" w:hAnsi="Arial"/>
                <w:sz w:val="20"/>
                <w:szCs w:val="20"/>
                <w:color w:val="auto"/>
              </w:rPr>
              <w:t>2.11.</w:t>
            </w:r>
          </w:p>
        </w:tc>
        <w:tc>
          <w:tcPr>
            <w:tcW w:w="1500" w:type="dxa"/>
            <w:vAlign w:val="bottom"/>
            <w:gridSpan w:val="5"/>
          </w:tcPr>
          <w:p>
            <w:pPr>
              <w:spacing w:after="0"/>
              <w:rPr>
                <w:sz w:val="20"/>
                <w:szCs w:val="20"/>
                <w:color w:val="auto"/>
              </w:rPr>
            </w:pPr>
            <w:r>
              <w:rPr>
                <w:rFonts w:ascii="Arial" w:cs="Arial" w:eastAsia="Arial" w:hAnsi="Arial"/>
                <w:sz w:val="20"/>
                <w:szCs w:val="20"/>
                <w:color w:val="auto"/>
                <w:w w:val="91"/>
              </w:rPr>
              <w:t>Change in Control</w:t>
            </w:r>
          </w:p>
        </w:tc>
        <w:tc>
          <w:tcPr>
            <w:tcW w:w="260" w:type="dxa"/>
            <w:vAlign w:val="bottom"/>
          </w:tcPr>
          <w:p>
            <w:pPr>
              <w:jc w:val="right"/>
              <w:spacing w:after="0"/>
              <w:rPr>
                <w:sz w:val="20"/>
                <w:szCs w:val="20"/>
                <w:color w:val="auto"/>
              </w:rPr>
            </w:pPr>
            <w:r>
              <w:rPr>
                <w:rFonts w:ascii="Arial" w:cs="Arial" w:eastAsia="Arial" w:hAnsi="Arial"/>
                <w:sz w:val="20"/>
                <w:szCs w:val="20"/>
                <w:color w:val="auto"/>
              </w:rPr>
              <w:t>3</w:t>
            </w: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80" w:type="dxa"/>
            <w:vAlign w:val="bottom"/>
          </w:tcPr>
          <w:p>
            <w:pPr>
              <w:spacing w:after="0"/>
              <w:rPr>
                <w:sz w:val="19"/>
                <w:szCs w:val="19"/>
                <w:color w:val="auto"/>
              </w:rPr>
            </w:pPr>
          </w:p>
        </w:tc>
      </w:tr>
      <w:tr>
        <w:trPr>
          <w:trHeight w:val="230"/>
        </w:trPr>
        <w:tc>
          <w:tcPr>
            <w:tcW w:w="980" w:type="dxa"/>
            <w:vAlign w:val="bottom"/>
          </w:tcPr>
          <w:p>
            <w:pPr>
              <w:ind w:left="340"/>
              <w:spacing w:after="0"/>
              <w:rPr>
                <w:sz w:val="20"/>
                <w:szCs w:val="20"/>
                <w:color w:val="auto"/>
              </w:rPr>
            </w:pPr>
            <w:r>
              <w:rPr>
                <w:rFonts w:ascii="Arial" w:cs="Arial" w:eastAsia="Arial" w:hAnsi="Arial"/>
                <w:sz w:val="20"/>
                <w:szCs w:val="20"/>
                <w:color w:val="auto"/>
              </w:rPr>
              <w:t>2.12.</w:t>
            </w:r>
          </w:p>
        </w:tc>
        <w:tc>
          <w:tcPr>
            <w:tcW w:w="520" w:type="dxa"/>
            <w:vAlign w:val="bottom"/>
          </w:tcPr>
          <w:p>
            <w:pPr>
              <w:spacing w:after="0"/>
              <w:rPr>
                <w:sz w:val="20"/>
                <w:szCs w:val="20"/>
                <w:color w:val="auto"/>
              </w:rPr>
            </w:pPr>
            <w:r>
              <w:rPr>
                <w:rFonts w:ascii="Arial" w:cs="Arial" w:eastAsia="Arial" w:hAnsi="Arial"/>
                <w:sz w:val="20"/>
                <w:szCs w:val="20"/>
                <w:color w:val="auto"/>
              </w:rPr>
              <w:t>Code</w:t>
            </w:r>
          </w:p>
        </w:tc>
        <w:tc>
          <w:tcPr>
            <w:tcW w:w="440" w:type="dxa"/>
            <w:vAlign w:val="bottom"/>
            <w:gridSpan w:val="2"/>
          </w:tcPr>
          <w:p>
            <w:pPr>
              <w:jc w:val="right"/>
              <w:ind w:right="143"/>
              <w:spacing w:after="0"/>
              <w:rPr>
                <w:sz w:val="20"/>
                <w:szCs w:val="20"/>
                <w:color w:val="auto"/>
              </w:rPr>
            </w:pPr>
            <w:r>
              <w:rPr>
                <w:rFonts w:ascii="Arial" w:cs="Arial" w:eastAsia="Arial" w:hAnsi="Arial"/>
                <w:sz w:val="20"/>
                <w:szCs w:val="20"/>
                <w:color w:val="auto"/>
              </w:rPr>
              <w:t>3</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80" w:type="dxa"/>
            <w:vAlign w:val="bottom"/>
          </w:tcPr>
          <w:p>
            <w:pPr>
              <w:spacing w:after="0"/>
              <w:rPr>
                <w:sz w:val="19"/>
                <w:szCs w:val="19"/>
                <w:color w:val="auto"/>
              </w:rPr>
            </w:pPr>
          </w:p>
        </w:tc>
      </w:tr>
      <w:tr>
        <w:trPr>
          <w:trHeight w:val="230"/>
        </w:trPr>
        <w:tc>
          <w:tcPr>
            <w:tcW w:w="980" w:type="dxa"/>
            <w:vAlign w:val="bottom"/>
          </w:tcPr>
          <w:p>
            <w:pPr>
              <w:ind w:left="340"/>
              <w:spacing w:after="0"/>
              <w:rPr>
                <w:sz w:val="20"/>
                <w:szCs w:val="20"/>
                <w:color w:val="auto"/>
              </w:rPr>
            </w:pPr>
            <w:r>
              <w:rPr>
                <w:rFonts w:ascii="Arial" w:cs="Arial" w:eastAsia="Arial" w:hAnsi="Arial"/>
                <w:sz w:val="20"/>
                <w:szCs w:val="20"/>
                <w:color w:val="auto"/>
              </w:rPr>
              <w:t>2.13.</w:t>
            </w:r>
          </w:p>
        </w:tc>
        <w:tc>
          <w:tcPr>
            <w:tcW w:w="960" w:type="dxa"/>
            <w:vAlign w:val="bottom"/>
            <w:gridSpan w:val="3"/>
          </w:tcPr>
          <w:p>
            <w:pPr>
              <w:spacing w:after="0"/>
              <w:rPr>
                <w:sz w:val="20"/>
                <w:szCs w:val="20"/>
                <w:color w:val="auto"/>
              </w:rPr>
            </w:pPr>
            <w:r>
              <w:rPr>
                <w:rFonts w:ascii="Arial" w:cs="Arial" w:eastAsia="Arial" w:hAnsi="Arial"/>
                <w:sz w:val="20"/>
                <w:szCs w:val="20"/>
                <w:color w:val="auto"/>
                <w:w w:val="97"/>
              </w:rPr>
              <w:t>Committee</w:t>
            </w:r>
          </w:p>
        </w:tc>
        <w:tc>
          <w:tcPr>
            <w:tcW w:w="540" w:type="dxa"/>
            <w:vAlign w:val="bottom"/>
            <w:gridSpan w:val="2"/>
          </w:tcPr>
          <w:p>
            <w:pPr>
              <w:jc w:val="right"/>
              <w:ind w:right="221"/>
              <w:spacing w:after="0"/>
              <w:rPr>
                <w:sz w:val="20"/>
                <w:szCs w:val="20"/>
                <w:color w:val="auto"/>
              </w:rPr>
            </w:pPr>
            <w:r>
              <w:rPr>
                <w:rFonts w:ascii="Arial" w:cs="Arial" w:eastAsia="Arial" w:hAnsi="Arial"/>
                <w:sz w:val="20"/>
                <w:szCs w:val="20"/>
                <w:color w:val="auto"/>
              </w:rPr>
              <w:t>3</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80" w:type="dxa"/>
            <w:vAlign w:val="bottom"/>
          </w:tcPr>
          <w:p>
            <w:pPr>
              <w:spacing w:after="0"/>
              <w:rPr>
                <w:sz w:val="19"/>
                <w:szCs w:val="19"/>
                <w:color w:val="auto"/>
              </w:rPr>
            </w:pPr>
          </w:p>
        </w:tc>
      </w:tr>
      <w:tr>
        <w:trPr>
          <w:trHeight w:val="230"/>
        </w:trPr>
        <w:tc>
          <w:tcPr>
            <w:tcW w:w="980" w:type="dxa"/>
            <w:vAlign w:val="bottom"/>
          </w:tcPr>
          <w:p>
            <w:pPr>
              <w:ind w:left="340"/>
              <w:spacing w:after="0"/>
              <w:rPr>
                <w:sz w:val="20"/>
                <w:szCs w:val="20"/>
                <w:color w:val="auto"/>
              </w:rPr>
            </w:pPr>
            <w:r>
              <w:rPr>
                <w:rFonts w:ascii="Arial" w:cs="Arial" w:eastAsia="Arial" w:hAnsi="Arial"/>
                <w:sz w:val="20"/>
                <w:szCs w:val="20"/>
                <w:color w:val="auto"/>
              </w:rPr>
              <w:t>2.14.</w:t>
            </w:r>
          </w:p>
        </w:tc>
        <w:tc>
          <w:tcPr>
            <w:tcW w:w="960" w:type="dxa"/>
            <w:vAlign w:val="bottom"/>
            <w:gridSpan w:val="3"/>
          </w:tcPr>
          <w:p>
            <w:pPr>
              <w:spacing w:after="0"/>
              <w:rPr>
                <w:sz w:val="20"/>
                <w:szCs w:val="20"/>
                <w:color w:val="auto"/>
              </w:rPr>
            </w:pPr>
            <w:r>
              <w:rPr>
                <w:rFonts w:ascii="Arial" w:cs="Arial" w:eastAsia="Arial" w:hAnsi="Arial"/>
                <w:sz w:val="20"/>
                <w:szCs w:val="20"/>
                <w:color w:val="auto"/>
              </w:rPr>
              <w:t>Company</w:t>
            </w:r>
          </w:p>
        </w:tc>
        <w:tc>
          <w:tcPr>
            <w:tcW w:w="200" w:type="dxa"/>
            <w:vAlign w:val="bottom"/>
          </w:tcPr>
          <w:p>
            <w:pPr>
              <w:jc w:val="right"/>
              <w:ind w:right="1"/>
              <w:spacing w:after="0"/>
              <w:rPr>
                <w:sz w:val="20"/>
                <w:szCs w:val="20"/>
                <w:color w:val="auto"/>
              </w:rPr>
            </w:pPr>
            <w:r>
              <w:rPr>
                <w:rFonts w:ascii="Arial" w:cs="Arial" w:eastAsia="Arial" w:hAnsi="Arial"/>
                <w:sz w:val="20"/>
                <w:szCs w:val="20"/>
                <w:color w:val="auto"/>
                <w:w w:val="71"/>
              </w:rPr>
              <w:t>3</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80" w:type="dxa"/>
            <w:vAlign w:val="bottom"/>
          </w:tcPr>
          <w:p>
            <w:pPr>
              <w:spacing w:after="0"/>
              <w:rPr>
                <w:sz w:val="19"/>
                <w:szCs w:val="19"/>
                <w:color w:val="auto"/>
              </w:rPr>
            </w:pPr>
          </w:p>
        </w:tc>
      </w:tr>
      <w:tr>
        <w:trPr>
          <w:trHeight w:val="230"/>
        </w:trPr>
        <w:tc>
          <w:tcPr>
            <w:tcW w:w="980" w:type="dxa"/>
            <w:vAlign w:val="bottom"/>
          </w:tcPr>
          <w:p>
            <w:pPr>
              <w:ind w:left="340"/>
              <w:spacing w:after="0"/>
              <w:rPr>
                <w:sz w:val="20"/>
                <w:szCs w:val="20"/>
                <w:color w:val="auto"/>
              </w:rPr>
            </w:pPr>
            <w:r>
              <w:rPr>
                <w:rFonts w:ascii="Arial" w:cs="Arial" w:eastAsia="Arial" w:hAnsi="Arial"/>
                <w:sz w:val="20"/>
                <w:szCs w:val="20"/>
                <w:color w:val="auto"/>
              </w:rPr>
              <w:t>2.15.</w:t>
            </w:r>
          </w:p>
        </w:tc>
        <w:tc>
          <w:tcPr>
            <w:tcW w:w="1760" w:type="dxa"/>
            <w:vAlign w:val="bottom"/>
            <w:gridSpan w:val="6"/>
          </w:tcPr>
          <w:p>
            <w:pPr>
              <w:spacing w:after="0"/>
              <w:rPr>
                <w:sz w:val="20"/>
                <w:szCs w:val="20"/>
                <w:color w:val="auto"/>
              </w:rPr>
            </w:pPr>
            <w:r>
              <w:rPr>
                <w:rFonts w:ascii="Arial" w:cs="Arial" w:eastAsia="Arial" w:hAnsi="Arial"/>
                <w:sz w:val="20"/>
                <w:szCs w:val="20"/>
                <w:color w:val="auto"/>
                <w:w w:val="90"/>
              </w:rPr>
              <w:t>Company Stock Fund</w:t>
            </w:r>
          </w:p>
        </w:tc>
        <w:tc>
          <w:tcPr>
            <w:tcW w:w="320" w:type="dxa"/>
            <w:vAlign w:val="bottom"/>
          </w:tcPr>
          <w:p>
            <w:pPr>
              <w:jc w:val="right"/>
              <w:spacing w:after="0"/>
              <w:rPr>
                <w:sz w:val="20"/>
                <w:szCs w:val="20"/>
                <w:color w:val="auto"/>
              </w:rPr>
            </w:pPr>
            <w:r>
              <w:rPr>
                <w:rFonts w:ascii="Arial" w:cs="Arial" w:eastAsia="Arial" w:hAnsi="Arial"/>
                <w:sz w:val="20"/>
                <w:szCs w:val="20"/>
                <w:color w:val="auto"/>
              </w:rPr>
              <w:t>3</w:t>
            </w:r>
          </w:p>
        </w:tc>
        <w:tc>
          <w:tcPr>
            <w:tcW w:w="940" w:type="dxa"/>
            <w:vAlign w:val="bottom"/>
          </w:tcPr>
          <w:p>
            <w:pPr>
              <w:spacing w:after="0"/>
              <w:rPr>
                <w:sz w:val="19"/>
                <w:szCs w:val="19"/>
                <w:color w:val="auto"/>
              </w:rPr>
            </w:pPr>
          </w:p>
        </w:tc>
        <w:tc>
          <w:tcPr>
            <w:tcW w:w="280" w:type="dxa"/>
            <w:vAlign w:val="bottom"/>
          </w:tcPr>
          <w:p>
            <w:pPr>
              <w:spacing w:after="0"/>
              <w:rPr>
                <w:sz w:val="19"/>
                <w:szCs w:val="19"/>
                <w:color w:val="auto"/>
              </w:rPr>
            </w:pPr>
          </w:p>
        </w:tc>
      </w:tr>
      <w:tr>
        <w:trPr>
          <w:trHeight w:val="230"/>
        </w:trPr>
        <w:tc>
          <w:tcPr>
            <w:tcW w:w="980" w:type="dxa"/>
            <w:vAlign w:val="bottom"/>
          </w:tcPr>
          <w:p>
            <w:pPr>
              <w:ind w:left="340"/>
              <w:spacing w:after="0"/>
              <w:rPr>
                <w:sz w:val="20"/>
                <w:szCs w:val="20"/>
                <w:color w:val="auto"/>
              </w:rPr>
            </w:pPr>
            <w:r>
              <w:rPr>
                <w:rFonts w:ascii="Arial" w:cs="Arial" w:eastAsia="Arial" w:hAnsi="Arial"/>
                <w:sz w:val="20"/>
                <w:szCs w:val="20"/>
                <w:color w:val="auto"/>
              </w:rPr>
              <w:t>2.16.</w:t>
            </w:r>
          </w:p>
        </w:tc>
        <w:tc>
          <w:tcPr>
            <w:tcW w:w="1160" w:type="dxa"/>
            <w:vAlign w:val="bottom"/>
            <w:gridSpan w:val="4"/>
          </w:tcPr>
          <w:p>
            <w:pPr>
              <w:spacing w:after="0"/>
              <w:rPr>
                <w:sz w:val="20"/>
                <w:szCs w:val="20"/>
                <w:color w:val="auto"/>
              </w:rPr>
            </w:pPr>
            <w:r>
              <w:rPr>
                <w:rFonts w:ascii="Arial" w:cs="Arial" w:eastAsia="Arial" w:hAnsi="Arial"/>
                <w:sz w:val="20"/>
                <w:szCs w:val="20"/>
                <w:color w:val="auto"/>
                <w:w w:val="88"/>
              </w:rPr>
              <w:t>Compensation</w:t>
            </w:r>
          </w:p>
        </w:tc>
        <w:tc>
          <w:tcPr>
            <w:tcW w:w="340" w:type="dxa"/>
            <w:vAlign w:val="bottom"/>
          </w:tcPr>
          <w:p>
            <w:pPr>
              <w:jc w:val="right"/>
              <w:spacing w:after="0"/>
              <w:rPr>
                <w:sz w:val="20"/>
                <w:szCs w:val="20"/>
                <w:color w:val="auto"/>
              </w:rPr>
            </w:pPr>
            <w:r>
              <w:rPr>
                <w:rFonts w:ascii="Arial" w:cs="Arial" w:eastAsia="Arial" w:hAnsi="Arial"/>
                <w:sz w:val="20"/>
                <w:szCs w:val="20"/>
                <w:color w:val="auto"/>
              </w:rPr>
              <w:t>3</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80" w:type="dxa"/>
            <w:vAlign w:val="bottom"/>
          </w:tcPr>
          <w:p>
            <w:pPr>
              <w:spacing w:after="0"/>
              <w:rPr>
                <w:sz w:val="19"/>
                <w:szCs w:val="19"/>
                <w:color w:val="auto"/>
              </w:rPr>
            </w:pPr>
          </w:p>
        </w:tc>
      </w:tr>
      <w:tr>
        <w:trPr>
          <w:trHeight w:val="230"/>
        </w:trPr>
        <w:tc>
          <w:tcPr>
            <w:tcW w:w="980" w:type="dxa"/>
            <w:vAlign w:val="bottom"/>
          </w:tcPr>
          <w:p>
            <w:pPr>
              <w:ind w:left="340"/>
              <w:spacing w:after="0"/>
              <w:rPr>
                <w:sz w:val="20"/>
                <w:szCs w:val="20"/>
                <w:color w:val="auto"/>
              </w:rPr>
            </w:pPr>
            <w:r>
              <w:rPr>
                <w:rFonts w:ascii="Arial" w:cs="Arial" w:eastAsia="Arial" w:hAnsi="Arial"/>
                <w:sz w:val="20"/>
                <w:szCs w:val="20"/>
                <w:color w:val="auto"/>
              </w:rPr>
              <w:t>2.17.</w:t>
            </w:r>
          </w:p>
        </w:tc>
        <w:tc>
          <w:tcPr>
            <w:tcW w:w="960" w:type="dxa"/>
            <w:vAlign w:val="bottom"/>
            <w:gridSpan w:val="3"/>
          </w:tcPr>
          <w:p>
            <w:pPr>
              <w:spacing w:after="0"/>
              <w:rPr>
                <w:sz w:val="20"/>
                <w:szCs w:val="20"/>
                <w:color w:val="auto"/>
              </w:rPr>
            </w:pPr>
            <w:r>
              <w:rPr>
                <w:rFonts w:ascii="Arial" w:cs="Arial" w:eastAsia="Arial" w:hAnsi="Arial"/>
                <w:sz w:val="20"/>
                <w:szCs w:val="20"/>
                <w:color w:val="auto"/>
                <w:w w:val="89"/>
              </w:rPr>
              <w:t>Corporation</w:t>
            </w:r>
          </w:p>
        </w:tc>
        <w:tc>
          <w:tcPr>
            <w:tcW w:w="200" w:type="dxa"/>
            <w:vAlign w:val="bottom"/>
          </w:tcPr>
          <w:p>
            <w:pPr>
              <w:spacing w:after="0"/>
              <w:rPr>
                <w:sz w:val="19"/>
                <w:szCs w:val="19"/>
                <w:color w:val="auto"/>
              </w:rPr>
            </w:pPr>
          </w:p>
        </w:tc>
        <w:tc>
          <w:tcPr>
            <w:tcW w:w="340" w:type="dxa"/>
            <w:vAlign w:val="bottom"/>
          </w:tcPr>
          <w:p>
            <w:pPr>
              <w:jc w:val="right"/>
              <w:ind w:right="141"/>
              <w:spacing w:after="0"/>
              <w:rPr>
                <w:sz w:val="20"/>
                <w:szCs w:val="20"/>
                <w:color w:val="auto"/>
              </w:rPr>
            </w:pPr>
            <w:r>
              <w:rPr>
                <w:rFonts w:ascii="Arial" w:cs="Arial" w:eastAsia="Arial" w:hAnsi="Arial"/>
                <w:sz w:val="20"/>
                <w:szCs w:val="20"/>
                <w:color w:val="auto"/>
                <w:w w:val="71"/>
              </w:rPr>
              <w:t>3</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80" w:type="dxa"/>
            <w:vAlign w:val="bottom"/>
          </w:tcPr>
          <w:p>
            <w:pPr>
              <w:spacing w:after="0"/>
              <w:rPr>
                <w:sz w:val="19"/>
                <w:szCs w:val="19"/>
                <w:color w:val="auto"/>
              </w:rPr>
            </w:pPr>
          </w:p>
        </w:tc>
      </w:tr>
      <w:tr>
        <w:trPr>
          <w:trHeight w:val="230"/>
        </w:trPr>
        <w:tc>
          <w:tcPr>
            <w:tcW w:w="980" w:type="dxa"/>
            <w:vAlign w:val="bottom"/>
          </w:tcPr>
          <w:p>
            <w:pPr>
              <w:ind w:left="340"/>
              <w:spacing w:after="0"/>
              <w:rPr>
                <w:sz w:val="20"/>
                <w:szCs w:val="20"/>
                <w:color w:val="auto"/>
              </w:rPr>
            </w:pPr>
            <w:r>
              <w:rPr>
                <w:rFonts w:ascii="Arial" w:cs="Arial" w:eastAsia="Arial" w:hAnsi="Arial"/>
                <w:sz w:val="20"/>
                <w:szCs w:val="20"/>
                <w:color w:val="auto"/>
              </w:rPr>
              <w:t>2.18.</w:t>
            </w:r>
          </w:p>
        </w:tc>
        <w:tc>
          <w:tcPr>
            <w:tcW w:w="1760" w:type="dxa"/>
            <w:vAlign w:val="bottom"/>
            <w:gridSpan w:val="6"/>
          </w:tcPr>
          <w:p>
            <w:pPr>
              <w:spacing w:after="0"/>
              <w:rPr>
                <w:sz w:val="20"/>
                <w:szCs w:val="20"/>
                <w:color w:val="auto"/>
              </w:rPr>
            </w:pPr>
            <w:r>
              <w:rPr>
                <w:rFonts w:ascii="Arial" w:cs="Arial" w:eastAsia="Arial" w:hAnsi="Arial"/>
                <w:sz w:val="20"/>
                <w:szCs w:val="20"/>
                <w:color w:val="auto"/>
                <w:w w:val="93"/>
              </w:rPr>
              <w:t>Disabled or Disability</w:t>
            </w:r>
          </w:p>
        </w:tc>
        <w:tc>
          <w:tcPr>
            <w:tcW w:w="320" w:type="dxa"/>
            <w:vAlign w:val="bottom"/>
          </w:tcPr>
          <w:p>
            <w:pPr>
              <w:jc w:val="right"/>
              <w:spacing w:after="0"/>
              <w:rPr>
                <w:sz w:val="20"/>
                <w:szCs w:val="20"/>
                <w:color w:val="auto"/>
              </w:rPr>
            </w:pPr>
            <w:r>
              <w:rPr>
                <w:rFonts w:ascii="Arial" w:cs="Arial" w:eastAsia="Arial" w:hAnsi="Arial"/>
                <w:sz w:val="20"/>
                <w:szCs w:val="20"/>
                <w:color w:val="auto"/>
              </w:rPr>
              <w:t>3</w:t>
            </w:r>
          </w:p>
        </w:tc>
        <w:tc>
          <w:tcPr>
            <w:tcW w:w="940" w:type="dxa"/>
            <w:vAlign w:val="bottom"/>
          </w:tcPr>
          <w:p>
            <w:pPr>
              <w:spacing w:after="0"/>
              <w:rPr>
                <w:sz w:val="19"/>
                <w:szCs w:val="19"/>
                <w:color w:val="auto"/>
              </w:rPr>
            </w:pPr>
          </w:p>
        </w:tc>
        <w:tc>
          <w:tcPr>
            <w:tcW w:w="280" w:type="dxa"/>
            <w:vAlign w:val="bottom"/>
          </w:tcPr>
          <w:p>
            <w:pPr>
              <w:spacing w:after="0"/>
              <w:rPr>
                <w:sz w:val="19"/>
                <w:szCs w:val="19"/>
                <w:color w:val="auto"/>
              </w:rPr>
            </w:pPr>
          </w:p>
        </w:tc>
      </w:tr>
      <w:tr>
        <w:trPr>
          <w:trHeight w:val="230"/>
        </w:trPr>
        <w:tc>
          <w:tcPr>
            <w:tcW w:w="980" w:type="dxa"/>
            <w:vAlign w:val="bottom"/>
          </w:tcPr>
          <w:p>
            <w:pPr>
              <w:ind w:left="340"/>
              <w:spacing w:after="0"/>
              <w:rPr>
                <w:sz w:val="20"/>
                <w:szCs w:val="20"/>
                <w:color w:val="auto"/>
              </w:rPr>
            </w:pPr>
            <w:r>
              <w:rPr>
                <w:rFonts w:ascii="Arial" w:cs="Arial" w:eastAsia="Arial" w:hAnsi="Arial"/>
                <w:sz w:val="20"/>
                <w:szCs w:val="20"/>
                <w:color w:val="auto"/>
              </w:rPr>
              <w:t>2.19.</w:t>
            </w:r>
          </w:p>
        </w:tc>
        <w:tc>
          <w:tcPr>
            <w:tcW w:w="680" w:type="dxa"/>
            <w:vAlign w:val="bottom"/>
            <w:gridSpan w:val="2"/>
          </w:tcPr>
          <w:p>
            <w:pPr>
              <w:spacing w:after="0"/>
              <w:rPr>
                <w:sz w:val="20"/>
                <w:szCs w:val="20"/>
                <w:color w:val="auto"/>
              </w:rPr>
            </w:pPr>
            <w:r>
              <w:rPr>
                <w:rFonts w:ascii="Arial" w:cs="Arial" w:eastAsia="Arial" w:hAnsi="Arial"/>
                <w:sz w:val="20"/>
                <w:szCs w:val="20"/>
                <w:color w:val="auto"/>
              </w:rPr>
              <w:t>ERISA</w:t>
            </w:r>
          </w:p>
        </w:tc>
        <w:tc>
          <w:tcPr>
            <w:tcW w:w="280" w:type="dxa"/>
            <w:vAlign w:val="bottom"/>
          </w:tcPr>
          <w:p>
            <w:pPr>
              <w:jc w:val="right"/>
              <w:ind w:right="3"/>
              <w:spacing w:after="0"/>
              <w:rPr>
                <w:sz w:val="20"/>
                <w:szCs w:val="20"/>
                <w:color w:val="auto"/>
              </w:rPr>
            </w:pPr>
            <w:r>
              <w:rPr>
                <w:rFonts w:ascii="Arial" w:cs="Arial" w:eastAsia="Arial" w:hAnsi="Arial"/>
                <w:sz w:val="20"/>
                <w:szCs w:val="20"/>
                <w:color w:val="auto"/>
              </w:rPr>
              <w:t>4</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80" w:type="dxa"/>
            <w:vAlign w:val="bottom"/>
          </w:tcPr>
          <w:p>
            <w:pPr>
              <w:spacing w:after="0"/>
              <w:rPr>
                <w:sz w:val="19"/>
                <w:szCs w:val="19"/>
                <w:color w:val="auto"/>
              </w:rPr>
            </w:pPr>
          </w:p>
        </w:tc>
      </w:tr>
      <w:tr>
        <w:trPr>
          <w:trHeight w:val="230"/>
        </w:trPr>
        <w:tc>
          <w:tcPr>
            <w:tcW w:w="980" w:type="dxa"/>
            <w:vAlign w:val="bottom"/>
          </w:tcPr>
          <w:p>
            <w:pPr>
              <w:ind w:left="340"/>
              <w:spacing w:after="0"/>
              <w:rPr>
                <w:sz w:val="20"/>
                <w:szCs w:val="20"/>
                <w:color w:val="auto"/>
              </w:rPr>
            </w:pPr>
            <w:r>
              <w:rPr>
                <w:rFonts w:ascii="Arial" w:cs="Arial" w:eastAsia="Arial" w:hAnsi="Arial"/>
                <w:sz w:val="20"/>
                <w:szCs w:val="20"/>
                <w:color w:val="auto"/>
              </w:rPr>
              <w:t>2.20.</w:t>
            </w:r>
          </w:p>
        </w:tc>
        <w:tc>
          <w:tcPr>
            <w:tcW w:w="1160" w:type="dxa"/>
            <w:vAlign w:val="bottom"/>
            <w:gridSpan w:val="4"/>
          </w:tcPr>
          <w:p>
            <w:pPr>
              <w:spacing w:after="0"/>
              <w:rPr>
                <w:sz w:val="20"/>
                <w:szCs w:val="20"/>
                <w:color w:val="auto"/>
              </w:rPr>
            </w:pPr>
            <w:r>
              <w:rPr>
                <w:rFonts w:ascii="Arial" w:cs="Arial" w:eastAsia="Arial" w:hAnsi="Arial"/>
                <w:sz w:val="20"/>
                <w:szCs w:val="20"/>
                <w:color w:val="auto"/>
                <w:w w:val="91"/>
              </w:rPr>
              <w:t>Effective Date</w:t>
            </w:r>
          </w:p>
        </w:tc>
        <w:tc>
          <w:tcPr>
            <w:tcW w:w="340" w:type="dxa"/>
            <w:vAlign w:val="bottom"/>
          </w:tcPr>
          <w:p>
            <w:pPr>
              <w:jc w:val="right"/>
              <w:spacing w:after="0"/>
              <w:rPr>
                <w:sz w:val="20"/>
                <w:szCs w:val="20"/>
                <w:color w:val="auto"/>
              </w:rPr>
            </w:pPr>
            <w:r>
              <w:rPr>
                <w:rFonts w:ascii="Arial" w:cs="Arial" w:eastAsia="Arial" w:hAnsi="Arial"/>
                <w:sz w:val="20"/>
                <w:szCs w:val="20"/>
                <w:color w:val="auto"/>
              </w:rPr>
              <w:t>4</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80" w:type="dxa"/>
            <w:vAlign w:val="bottom"/>
          </w:tcPr>
          <w:p>
            <w:pPr>
              <w:spacing w:after="0"/>
              <w:rPr>
                <w:sz w:val="19"/>
                <w:szCs w:val="19"/>
                <w:color w:val="auto"/>
              </w:rPr>
            </w:pPr>
          </w:p>
        </w:tc>
      </w:tr>
      <w:tr>
        <w:trPr>
          <w:trHeight w:val="230"/>
        </w:trPr>
        <w:tc>
          <w:tcPr>
            <w:tcW w:w="980" w:type="dxa"/>
            <w:vAlign w:val="bottom"/>
          </w:tcPr>
          <w:p>
            <w:pPr>
              <w:ind w:left="340"/>
              <w:spacing w:after="0"/>
              <w:rPr>
                <w:sz w:val="20"/>
                <w:szCs w:val="20"/>
                <w:color w:val="auto"/>
              </w:rPr>
            </w:pPr>
            <w:r>
              <w:rPr>
                <w:rFonts w:ascii="Arial" w:cs="Arial" w:eastAsia="Arial" w:hAnsi="Arial"/>
                <w:sz w:val="20"/>
                <w:szCs w:val="20"/>
                <w:color w:val="auto"/>
              </w:rPr>
              <w:t>2.21.</w:t>
            </w:r>
          </w:p>
        </w:tc>
        <w:tc>
          <w:tcPr>
            <w:tcW w:w="1500" w:type="dxa"/>
            <w:vAlign w:val="bottom"/>
            <w:gridSpan w:val="5"/>
          </w:tcPr>
          <w:p>
            <w:pPr>
              <w:spacing w:after="0"/>
              <w:rPr>
                <w:sz w:val="20"/>
                <w:szCs w:val="20"/>
                <w:color w:val="auto"/>
              </w:rPr>
            </w:pPr>
            <w:r>
              <w:rPr>
                <w:rFonts w:ascii="Arial" w:cs="Arial" w:eastAsia="Arial" w:hAnsi="Arial"/>
                <w:sz w:val="20"/>
                <w:szCs w:val="20"/>
                <w:color w:val="auto"/>
                <w:w w:val="93"/>
              </w:rPr>
              <w:t>Eligible Employee</w:t>
            </w:r>
          </w:p>
        </w:tc>
        <w:tc>
          <w:tcPr>
            <w:tcW w:w="580" w:type="dxa"/>
            <w:vAlign w:val="bottom"/>
            <w:gridSpan w:val="2"/>
          </w:tcPr>
          <w:p>
            <w:pPr>
              <w:jc w:val="right"/>
              <w:ind w:right="201"/>
              <w:spacing w:after="0"/>
              <w:rPr>
                <w:sz w:val="20"/>
                <w:szCs w:val="20"/>
                <w:color w:val="auto"/>
              </w:rPr>
            </w:pPr>
            <w:r>
              <w:rPr>
                <w:rFonts w:ascii="Arial" w:cs="Arial" w:eastAsia="Arial" w:hAnsi="Arial"/>
                <w:sz w:val="20"/>
                <w:szCs w:val="20"/>
                <w:color w:val="auto"/>
              </w:rPr>
              <w:t>4</w:t>
            </w:r>
          </w:p>
        </w:tc>
        <w:tc>
          <w:tcPr>
            <w:tcW w:w="940" w:type="dxa"/>
            <w:vAlign w:val="bottom"/>
          </w:tcPr>
          <w:p>
            <w:pPr>
              <w:spacing w:after="0"/>
              <w:rPr>
                <w:sz w:val="19"/>
                <w:szCs w:val="19"/>
                <w:color w:val="auto"/>
              </w:rPr>
            </w:pPr>
          </w:p>
        </w:tc>
        <w:tc>
          <w:tcPr>
            <w:tcW w:w="280" w:type="dxa"/>
            <w:vAlign w:val="bottom"/>
          </w:tcPr>
          <w:p>
            <w:pPr>
              <w:spacing w:after="0"/>
              <w:rPr>
                <w:sz w:val="19"/>
                <w:szCs w:val="19"/>
                <w:color w:val="auto"/>
              </w:rPr>
            </w:pPr>
          </w:p>
        </w:tc>
      </w:tr>
      <w:tr>
        <w:trPr>
          <w:trHeight w:val="230"/>
        </w:trPr>
        <w:tc>
          <w:tcPr>
            <w:tcW w:w="980" w:type="dxa"/>
            <w:vAlign w:val="bottom"/>
          </w:tcPr>
          <w:p>
            <w:pPr>
              <w:ind w:left="340"/>
              <w:spacing w:after="0"/>
              <w:rPr>
                <w:sz w:val="20"/>
                <w:szCs w:val="20"/>
                <w:color w:val="auto"/>
              </w:rPr>
            </w:pPr>
            <w:r>
              <w:rPr>
                <w:rFonts w:ascii="Arial" w:cs="Arial" w:eastAsia="Arial" w:hAnsi="Arial"/>
                <w:sz w:val="20"/>
                <w:szCs w:val="20"/>
                <w:color w:val="auto"/>
              </w:rPr>
              <w:t>2.22.</w:t>
            </w:r>
          </w:p>
        </w:tc>
        <w:tc>
          <w:tcPr>
            <w:tcW w:w="960" w:type="dxa"/>
            <w:vAlign w:val="bottom"/>
            <w:gridSpan w:val="3"/>
          </w:tcPr>
          <w:p>
            <w:pPr>
              <w:spacing w:after="0"/>
              <w:rPr>
                <w:sz w:val="20"/>
                <w:szCs w:val="20"/>
                <w:color w:val="auto"/>
              </w:rPr>
            </w:pPr>
            <w:r>
              <w:rPr>
                <w:rFonts w:ascii="Arial" w:cs="Arial" w:eastAsia="Arial" w:hAnsi="Arial"/>
                <w:sz w:val="20"/>
                <w:szCs w:val="20"/>
                <w:color w:val="auto"/>
              </w:rPr>
              <w:t>Employee</w:t>
            </w:r>
          </w:p>
        </w:tc>
        <w:tc>
          <w:tcPr>
            <w:tcW w:w="200" w:type="dxa"/>
            <w:vAlign w:val="bottom"/>
          </w:tcPr>
          <w:p>
            <w:pPr>
              <w:jc w:val="right"/>
              <w:spacing w:after="0"/>
              <w:rPr>
                <w:sz w:val="20"/>
                <w:szCs w:val="20"/>
                <w:color w:val="auto"/>
              </w:rPr>
            </w:pPr>
            <w:r>
              <w:rPr>
                <w:rFonts w:ascii="Arial" w:cs="Arial" w:eastAsia="Arial" w:hAnsi="Arial"/>
                <w:sz w:val="20"/>
                <w:szCs w:val="20"/>
                <w:color w:val="auto"/>
              </w:rPr>
              <w:t>4</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80" w:type="dxa"/>
            <w:vAlign w:val="bottom"/>
          </w:tcPr>
          <w:p>
            <w:pPr>
              <w:spacing w:after="0"/>
              <w:rPr>
                <w:sz w:val="19"/>
                <w:szCs w:val="19"/>
                <w:color w:val="auto"/>
              </w:rPr>
            </w:pPr>
          </w:p>
        </w:tc>
      </w:tr>
      <w:tr>
        <w:trPr>
          <w:trHeight w:val="230"/>
        </w:trPr>
        <w:tc>
          <w:tcPr>
            <w:tcW w:w="980" w:type="dxa"/>
            <w:vAlign w:val="bottom"/>
          </w:tcPr>
          <w:p>
            <w:pPr>
              <w:ind w:left="340"/>
              <w:spacing w:after="0"/>
              <w:rPr>
                <w:sz w:val="20"/>
                <w:szCs w:val="20"/>
                <w:color w:val="auto"/>
              </w:rPr>
            </w:pPr>
            <w:r>
              <w:rPr>
                <w:rFonts w:ascii="Arial" w:cs="Arial" w:eastAsia="Arial" w:hAnsi="Arial"/>
                <w:sz w:val="20"/>
                <w:szCs w:val="20"/>
                <w:color w:val="auto"/>
              </w:rPr>
              <w:t>2.23.</w:t>
            </w:r>
          </w:p>
        </w:tc>
        <w:tc>
          <w:tcPr>
            <w:tcW w:w="2080" w:type="dxa"/>
            <w:vAlign w:val="bottom"/>
            <w:gridSpan w:val="7"/>
          </w:tcPr>
          <w:p>
            <w:pPr>
              <w:spacing w:after="0"/>
              <w:rPr>
                <w:sz w:val="20"/>
                <w:szCs w:val="20"/>
                <w:color w:val="auto"/>
              </w:rPr>
            </w:pPr>
            <w:r>
              <w:rPr>
                <w:rFonts w:ascii="Arial" w:cs="Arial" w:eastAsia="Arial" w:hAnsi="Arial"/>
                <w:sz w:val="20"/>
                <w:szCs w:val="20"/>
                <w:color w:val="auto"/>
                <w:w w:val="99"/>
              </w:rPr>
              <w:t>Employer or Employers</w:t>
            </w:r>
          </w:p>
        </w:tc>
        <w:tc>
          <w:tcPr>
            <w:tcW w:w="940" w:type="dxa"/>
            <w:vAlign w:val="bottom"/>
          </w:tcPr>
          <w:p>
            <w:pPr>
              <w:jc w:val="right"/>
              <w:ind w:right="721"/>
              <w:spacing w:after="0"/>
              <w:rPr>
                <w:sz w:val="20"/>
                <w:szCs w:val="20"/>
                <w:color w:val="auto"/>
              </w:rPr>
            </w:pPr>
            <w:r>
              <w:rPr>
                <w:rFonts w:ascii="Arial" w:cs="Arial" w:eastAsia="Arial" w:hAnsi="Arial"/>
                <w:sz w:val="20"/>
                <w:szCs w:val="20"/>
                <w:color w:val="auto"/>
                <w:w w:val="89"/>
              </w:rPr>
              <w:t>4</w:t>
            </w:r>
          </w:p>
        </w:tc>
        <w:tc>
          <w:tcPr>
            <w:tcW w:w="280" w:type="dxa"/>
            <w:vAlign w:val="bottom"/>
          </w:tcPr>
          <w:p>
            <w:pPr>
              <w:spacing w:after="0"/>
              <w:rPr>
                <w:sz w:val="19"/>
                <w:szCs w:val="19"/>
                <w:color w:val="auto"/>
              </w:rPr>
            </w:pPr>
          </w:p>
        </w:tc>
      </w:tr>
      <w:tr>
        <w:trPr>
          <w:trHeight w:val="230"/>
        </w:trPr>
        <w:tc>
          <w:tcPr>
            <w:tcW w:w="980" w:type="dxa"/>
            <w:vAlign w:val="bottom"/>
          </w:tcPr>
          <w:p>
            <w:pPr>
              <w:ind w:left="340"/>
              <w:spacing w:after="0"/>
              <w:rPr>
                <w:sz w:val="20"/>
                <w:szCs w:val="20"/>
                <w:color w:val="auto"/>
              </w:rPr>
            </w:pPr>
            <w:r>
              <w:rPr>
                <w:rFonts w:ascii="Arial" w:cs="Arial" w:eastAsia="Arial" w:hAnsi="Arial"/>
                <w:sz w:val="20"/>
                <w:szCs w:val="20"/>
                <w:color w:val="auto"/>
              </w:rPr>
              <w:t>2.24.</w:t>
            </w:r>
          </w:p>
        </w:tc>
        <w:tc>
          <w:tcPr>
            <w:tcW w:w="1500" w:type="dxa"/>
            <w:vAlign w:val="bottom"/>
            <w:gridSpan w:val="5"/>
          </w:tcPr>
          <w:p>
            <w:pPr>
              <w:spacing w:after="0"/>
              <w:rPr>
                <w:sz w:val="20"/>
                <w:szCs w:val="20"/>
                <w:color w:val="auto"/>
              </w:rPr>
            </w:pPr>
            <w:r>
              <w:rPr>
                <w:rFonts w:ascii="Arial" w:cs="Arial" w:eastAsia="Arial" w:hAnsi="Arial"/>
                <w:sz w:val="20"/>
                <w:szCs w:val="20"/>
                <w:color w:val="auto"/>
                <w:w w:val="97"/>
              </w:rPr>
              <w:t>ERP Eligible Pay</w:t>
            </w:r>
          </w:p>
        </w:tc>
        <w:tc>
          <w:tcPr>
            <w:tcW w:w="260" w:type="dxa"/>
            <w:vAlign w:val="bottom"/>
          </w:tcPr>
          <w:p>
            <w:pPr>
              <w:jc w:val="right"/>
              <w:spacing w:after="0"/>
              <w:rPr>
                <w:sz w:val="20"/>
                <w:szCs w:val="20"/>
                <w:color w:val="auto"/>
              </w:rPr>
            </w:pPr>
            <w:r>
              <w:rPr>
                <w:rFonts w:ascii="Arial" w:cs="Arial" w:eastAsia="Arial" w:hAnsi="Arial"/>
                <w:sz w:val="20"/>
                <w:szCs w:val="20"/>
                <w:color w:val="auto"/>
              </w:rPr>
              <w:t>4</w:t>
            </w: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80" w:type="dxa"/>
            <w:vAlign w:val="bottom"/>
          </w:tcPr>
          <w:p>
            <w:pPr>
              <w:spacing w:after="0"/>
              <w:rPr>
                <w:sz w:val="19"/>
                <w:szCs w:val="19"/>
                <w:color w:val="auto"/>
              </w:rPr>
            </w:pPr>
          </w:p>
        </w:tc>
      </w:tr>
      <w:tr>
        <w:trPr>
          <w:trHeight w:val="230"/>
        </w:trPr>
        <w:tc>
          <w:tcPr>
            <w:tcW w:w="980" w:type="dxa"/>
            <w:vAlign w:val="bottom"/>
          </w:tcPr>
          <w:p>
            <w:pPr>
              <w:ind w:left="340"/>
              <w:spacing w:after="0"/>
              <w:rPr>
                <w:sz w:val="20"/>
                <w:szCs w:val="20"/>
                <w:color w:val="auto"/>
              </w:rPr>
            </w:pPr>
            <w:r>
              <w:rPr>
                <w:rFonts w:ascii="Arial" w:cs="Arial" w:eastAsia="Arial" w:hAnsi="Arial"/>
                <w:sz w:val="20"/>
                <w:szCs w:val="20"/>
                <w:color w:val="auto"/>
              </w:rPr>
              <w:t>2.25.</w:t>
            </w:r>
          </w:p>
        </w:tc>
        <w:tc>
          <w:tcPr>
            <w:tcW w:w="3020" w:type="dxa"/>
            <w:vAlign w:val="bottom"/>
            <w:gridSpan w:val="8"/>
          </w:tcPr>
          <w:p>
            <w:pPr>
              <w:spacing w:after="0"/>
              <w:rPr>
                <w:sz w:val="20"/>
                <w:szCs w:val="20"/>
                <w:color w:val="auto"/>
              </w:rPr>
            </w:pPr>
            <w:r>
              <w:rPr>
                <w:rFonts w:ascii="Arial" w:cs="Arial" w:eastAsia="Arial" w:hAnsi="Arial"/>
                <w:sz w:val="20"/>
                <w:szCs w:val="20"/>
                <w:color w:val="auto"/>
              </w:rPr>
              <w:t>Investment Committee  4</w:t>
            </w:r>
          </w:p>
        </w:tc>
        <w:tc>
          <w:tcPr>
            <w:tcW w:w="280" w:type="dxa"/>
            <w:vAlign w:val="bottom"/>
          </w:tcPr>
          <w:p>
            <w:pPr>
              <w:spacing w:after="0"/>
              <w:rPr>
                <w:sz w:val="19"/>
                <w:szCs w:val="19"/>
                <w:color w:val="auto"/>
              </w:rPr>
            </w:pPr>
          </w:p>
        </w:tc>
      </w:tr>
      <w:tr>
        <w:trPr>
          <w:trHeight w:val="230"/>
        </w:trPr>
        <w:tc>
          <w:tcPr>
            <w:tcW w:w="980" w:type="dxa"/>
            <w:vAlign w:val="bottom"/>
          </w:tcPr>
          <w:p>
            <w:pPr>
              <w:ind w:left="340"/>
              <w:spacing w:after="0"/>
              <w:rPr>
                <w:sz w:val="20"/>
                <w:szCs w:val="20"/>
                <w:color w:val="auto"/>
              </w:rPr>
            </w:pPr>
            <w:r>
              <w:rPr>
                <w:rFonts w:ascii="Arial" w:cs="Arial" w:eastAsia="Arial" w:hAnsi="Arial"/>
                <w:sz w:val="20"/>
                <w:szCs w:val="20"/>
                <w:color w:val="auto"/>
              </w:rPr>
              <w:t>2.26.</w:t>
            </w:r>
          </w:p>
        </w:tc>
        <w:tc>
          <w:tcPr>
            <w:tcW w:w="1500" w:type="dxa"/>
            <w:vAlign w:val="bottom"/>
            <w:gridSpan w:val="5"/>
          </w:tcPr>
          <w:p>
            <w:pPr>
              <w:spacing w:after="0"/>
              <w:rPr>
                <w:sz w:val="20"/>
                <w:szCs w:val="20"/>
                <w:color w:val="auto"/>
              </w:rPr>
            </w:pPr>
            <w:r>
              <w:rPr>
                <w:rFonts w:ascii="Arial" w:cs="Arial" w:eastAsia="Arial" w:hAnsi="Arial"/>
                <w:sz w:val="20"/>
                <w:szCs w:val="20"/>
                <w:color w:val="auto"/>
                <w:w w:val="99"/>
              </w:rPr>
              <w:t>Investment Fund</w:t>
            </w:r>
          </w:p>
        </w:tc>
        <w:tc>
          <w:tcPr>
            <w:tcW w:w="260" w:type="dxa"/>
            <w:vAlign w:val="bottom"/>
          </w:tcPr>
          <w:p>
            <w:pPr>
              <w:jc w:val="right"/>
              <w:ind w:right="21"/>
              <w:spacing w:after="0"/>
              <w:rPr>
                <w:sz w:val="20"/>
                <w:szCs w:val="20"/>
                <w:color w:val="auto"/>
              </w:rPr>
            </w:pPr>
            <w:r>
              <w:rPr>
                <w:rFonts w:ascii="Arial" w:cs="Arial" w:eastAsia="Arial" w:hAnsi="Arial"/>
                <w:sz w:val="20"/>
                <w:szCs w:val="20"/>
                <w:color w:val="auto"/>
              </w:rPr>
              <w:t>4</w:t>
            </w: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80" w:type="dxa"/>
            <w:vAlign w:val="bottom"/>
          </w:tcPr>
          <w:p>
            <w:pPr>
              <w:spacing w:after="0"/>
              <w:rPr>
                <w:sz w:val="19"/>
                <w:szCs w:val="19"/>
                <w:color w:val="auto"/>
              </w:rPr>
            </w:pPr>
          </w:p>
        </w:tc>
      </w:tr>
      <w:tr>
        <w:trPr>
          <w:trHeight w:val="230"/>
        </w:trPr>
        <w:tc>
          <w:tcPr>
            <w:tcW w:w="980" w:type="dxa"/>
            <w:vAlign w:val="bottom"/>
          </w:tcPr>
          <w:p>
            <w:pPr>
              <w:ind w:left="340"/>
              <w:spacing w:after="0"/>
              <w:rPr>
                <w:sz w:val="20"/>
                <w:szCs w:val="20"/>
                <w:color w:val="auto"/>
              </w:rPr>
            </w:pPr>
            <w:r>
              <w:rPr>
                <w:rFonts w:ascii="Arial" w:cs="Arial" w:eastAsia="Arial" w:hAnsi="Arial"/>
                <w:sz w:val="20"/>
                <w:szCs w:val="20"/>
                <w:color w:val="auto"/>
              </w:rPr>
              <w:t>2.27.</w:t>
            </w:r>
          </w:p>
        </w:tc>
        <w:tc>
          <w:tcPr>
            <w:tcW w:w="520" w:type="dxa"/>
            <w:vAlign w:val="bottom"/>
          </w:tcPr>
          <w:p>
            <w:pPr>
              <w:spacing w:after="0"/>
              <w:rPr>
                <w:sz w:val="20"/>
                <w:szCs w:val="20"/>
                <w:color w:val="auto"/>
              </w:rPr>
            </w:pPr>
            <w:r>
              <w:rPr>
                <w:rFonts w:ascii="Arial" w:cs="Arial" w:eastAsia="Arial" w:hAnsi="Arial"/>
                <w:sz w:val="20"/>
                <w:szCs w:val="20"/>
                <w:color w:val="auto"/>
              </w:rPr>
              <w:t>LTIP</w:t>
            </w:r>
          </w:p>
        </w:tc>
        <w:tc>
          <w:tcPr>
            <w:tcW w:w="440" w:type="dxa"/>
            <w:vAlign w:val="bottom"/>
            <w:gridSpan w:val="2"/>
          </w:tcPr>
          <w:p>
            <w:pPr>
              <w:jc w:val="right"/>
              <w:ind w:right="183"/>
              <w:spacing w:after="0"/>
              <w:rPr>
                <w:sz w:val="20"/>
                <w:szCs w:val="20"/>
                <w:color w:val="auto"/>
              </w:rPr>
            </w:pPr>
            <w:r>
              <w:rPr>
                <w:rFonts w:ascii="Arial" w:cs="Arial" w:eastAsia="Arial" w:hAnsi="Arial"/>
                <w:sz w:val="20"/>
                <w:szCs w:val="20"/>
                <w:color w:val="auto"/>
              </w:rPr>
              <w:t>4</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80" w:type="dxa"/>
            <w:vAlign w:val="bottom"/>
          </w:tcPr>
          <w:p>
            <w:pPr>
              <w:spacing w:after="0"/>
              <w:rPr>
                <w:sz w:val="19"/>
                <w:szCs w:val="19"/>
                <w:color w:val="auto"/>
              </w:rPr>
            </w:pPr>
          </w:p>
        </w:tc>
      </w:tr>
      <w:tr>
        <w:trPr>
          <w:trHeight w:val="230"/>
        </w:trPr>
        <w:tc>
          <w:tcPr>
            <w:tcW w:w="980" w:type="dxa"/>
            <w:vAlign w:val="bottom"/>
          </w:tcPr>
          <w:p>
            <w:pPr>
              <w:ind w:left="340"/>
              <w:spacing w:after="0"/>
              <w:rPr>
                <w:sz w:val="20"/>
                <w:szCs w:val="20"/>
                <w:color w:val="auto"/>
              </w:rPr>
            </w:pPr>
            <w:r>
              <w:rPr>
                <w:rFonts w:ascii="Arial" w:cs="Arial" w:eastAsia="Arial" w:hAnsi="Arial"/>
                <w:sz w:val="20"/>
                <w:szCs w:val="20"/>
                <w:color w:val="auto"/>
              </w:rPr>
              <w:t>2.28.</w:t>
            </w:r>
          </w:p>
        </w:tc>
        <w:tc>
          <w:tcPr>
            <w:tcW w:w="1760" w:type="dxa"/>
            <w:vAlign w:val="bottom"/>
            <w:gridSpan w:val="6"/>
          </w:tcPr>
          <w:p>
            <w:pPr>
              <w:spacing w:after="0"/>
              <w:rPr>
                <w:sz w:val="20"/>
                <w:szCs w:val="20"/>
                <w:color w:val="auto"/>
              </w:rPr>
            </w:pPr>
            <w:r>
              <w:rPr>
                <w:rFonts w:ascii="Arial" w:cs="Arial" w:eastAsia="Arial" w:hAnsi="Arial"/>
                <w:sz w:val="20"/>
                <w:szCs w:val="20"/>
                <w:color w:val="auto"/>
              </w:rPr>
              <w:t>LTI Offset Payment</w:t>
            </w:r>
          </w:p>
        </w:tc>
        <w:tc>
          <w:tcPr>
            <w:tcW w:w="320" w:type="dxa"/>
            <w:vAlign w:val="bottom"/>
          </w:tcPr>
          <w:p>
            <w:pPr>
              <w:jc w:val="right"/>
              <w:ind w:right="121"/>
              <w:spacing w:after="0"/>
              <w:rPr>
                <w:sz w:val="20"/>
                <w:szCs w:val="20"/>
                <w:color w:val="auto"/>
              </w:rPr>
            </w:pPr>
            <w:r>
              <w:rPr>
                <w:rFonts w:ascii="Arial" w:cs="Arial" w:eastAsia="Arial" w:hAnsi="Arial"/>
                <w:sz w:val="20"/>
                <w:szCs w:val="20"/>
                <w:color w:val="auto"/>
                <w:w w:val="71"/>
              </w:rPr>
              <w:t>5</w:t>
            </w:r>
          </w:p>
        </w:tc>
        <w:tc>
          <w:tcPr>
            <w:tcW w:w="940" w:type="dxa"/>
            <w:vAlign w:val="bottom"/>
          </w:tcPr>
          <w:p>
            <w:pPr>
              <w:spacing w:after="0"/>
              <w:rPr>
                <w:sz w:val="19"/>
                <w:szCs w:val="19"/>
                <w:color w:val="auto"/>
              </w:rPr>
            </w:pPr>
          </w:p>
        </w:tc>
        <w:tc>
          <w:tcPr>
            <w:tcW w:w="280" w:type="dxa"/>
            <w:vAlign w:val="bottom"/>
          </w:tcPr>
          <w:p>
            <w:pPr>
              <w:spacing w:after="0"/>
              <w:rPr>
                <w:sz w:val="19"/>
                <w:szCs w:val="19"/>
                <w:color w:val="auto"/>
              </w:rPr>
            </w:pPr>
          </w:p>
        </w:tc>
      </w:tr>
      <w:tr>
        <w:trPr>
          <w:trHeight w:val="230"/>
        </w:trPr>
        <w:tc>
          <w:tcPr>
            <w:tcW w:w="980" w:type="dxa"/>
            <w:vAlign w:val="bottom"/>
          </w:tcPr>
          <w:p>
            <w:pPr>
              <w:ind w:left="340"/>
              <w:spacing w:after="0"/>
              <w:rPr>
                <w:sz w:val="20"/>
                <w:szCs w:val="20"/>
                <w:color w:val="auto"/>
              </w:rPr>
            </w:pPr>
            <w:r>
              <w:rPr>
                <w:rFonts w:ascii="Arial" w:cs="Arial" w:eastAsia="Arial" w:hAnsi="Arial"/>
                <w:sz w:val="20"/>
                <w:szCs w:val="20"/>
                <w:color w:val="auto"/>
              </w:rPr>
              <w:t>2.29.</w:t>
            </w:r>
          </w:p>
        </w:tc>
        <w:tc>
          <w:tcPr>
            <w:tcW w:w="1500" w:type="dxa"/>
            <w:vAlign w:val="bottom"/>
            <w:gridSpan w:val="5"/>
          </w:tcPr>
          <w:p>
            <w:pPr>
              <w:spacing w:after="0"/>
              <w:rPr>
                <w:sz w:val="20"/>
                <w:szCs w:val="20"/>
                <w:color w:val="auto"/>
              </w:rPr>
            </w:pPr>
            <w:r>
              <w:rPr>
                <w:rFonts w:ascii="Arial" w:cs="Arial" w:eastAsia="Arial" w:hAnsi="Arial"/>
                <w:sz w:val="20"/>
                <w:szCs w:val="20"/>
                <w:color w:val="auto"/>
                <w:w w:val="93"/>
              </w:rPr>
              <w:t>Matching Account</w:t>
            </w:r>
          </w:p>
        </w:tc>
        <w:tc>
          <w:tcPr>
            <w:tcW w:w="580" w:type="dxa"/>
            <w:vAlign w:val="bottom"/>
            <w:gridSpan w:val="2"/>
          </w:tcPr>
          <w:p>
            <w:pPr>
              <w:jc w:val="right"/>
              <w:ind w:right="201"/>
              <w:spacing w:after="0"/>
              <w:rPr>
                <w:sz w:val="20"/>
                <w:szCs w:val="20"/>
                <w:color w:val="auto"/>
              </w:rPr>
            </w:pPr>
            <w:r>
              <w:rPr>
                <w:rFonts w:ascii="Arial" w:cs="Arial" w:eastAsia="Arial" w:hAnsi="Arial"/>
                <w:sz w:val="20"/>
                <w:szCs w:val="20"/>
                <w:color w:val="auto"/>
              </w:rPr>
              <w:t>5</w:t>
            </w:r>
          </w:p>
        </w:tc>
        <w:tc>
          <w:tcPr>
            <w:tcW w:w="940" w:type="dxa"/>
            <w:vAlign w:val="bottom"/>
          </w:tcPr>
          <w:p>
            <w:pPr>
              <w:spacing w:after="0"/>
              <w:rPr>
                <w:sz w:val="19"/>
                <w:szCs w:val="19"/>
                <w:color w:val="auto"/>
              </w:rPr>
            </w:pPr>
          </w:p>
        </w:tc>
        <w:tc>
          <w:tcPr>
            <w:tcW w:w="280" w:type="dxa"/>
            <w:vAlign w:val="bottom"/>
          </w:tcPr>
          <w:p>
            <w:pPr>
              <w:spacing w:after="0"/>
              <w:rPr>
                <w:sz w:val="19"/>
                <w:szCs w:val="19"/>
                <w:color w:val="auto"/>
              </w:rPr>
            </w:pPr>
          </w:p>
        </w:tc>
      </w:tr>
      <w:tr>
        <w:trPr>
          <w:trHeight w:val="230"/>
        </w:trPr>
        <w:tc>
          <w:tcPr>
            <w:tcW w:w="980" w:type="dxa"/>
            <w:vAlign w:val="bottom"/>
          </w:tcPr>
          <w:p>
            <w:pPr>
              <w:ind w:left="340"/>
              <w:spacing w:after="0"/>
              <w:rPr>
                <w:sz w:val="20"/>
                <w:szCs w:val="20"/>
                <w:color w:val="auto"/>
              </w:rPr>
            </w:pPr>
            <w:r>
              <w:rPr>
                <w:rFonts w:ascii="Arial" w:cs="Arial" w:eastAsia="Arial" w:hAnsi="Arial"/>
                <w:sz w:val="20"/>
                <w:szCs w:val="20"/>
                <w:color w:val="auto"/>
              </w:rPr>
              <w:t>2.30.</w:t>
            </w:r>
          </w:p>
        </w:tc>
        <w:tc>
          <w:tcPr>
            <w:tcW w:w="3020" w:type="dxa"/>
            <w:vAlign w:val="bottom"/>
            <w:gridSpan w:val="8"/>
          </w:tcPr>
          <w:p>
            <w:pPr>
              <w:spacing w:after="0"/>
              <w:rPr>
                <w:sz w:val="20"/>
                <w:szCs w:val="20"/>
                <w:color w:val="auto"/>
              </w:rPr>
            </w:pPr>
            <w:r>
              <w:rPr>
                <w:rFonts w:ascii="Arial" w:cs="Arial" w:eastAsia="Arial" w:hAnsi="Arial"/>
                <w:sz w:val="20"/>
                <w:szCs w:val="20"/>
                <w:color w:val="auto"/>
                <w:w w:val="90"/>
              </w:rPr>
              <w:t>Outside Benchmark Investment Fund</w:t>
            </w:r>
          </w:p>
        </w:tc>
        <w:tc>
          <w:tcPr>
            <w:tcW w:w="280" w:type="dxa"/>
            <w:vAlign w:val="bottom"/>
          </w:tcPr>
          <w:p>
            <w:pPr>
              <w:jc w:val="right"/>
              <w:spacing w:after="0"/>
              <w:rPr>
                <w:sz w:val="20"/>
                <w:szCs w:val="20"/>
                <w:color w:val="auto"/>
              </w:rPr>
            </w:pPr>
            <w:r>
              <w:rPr>
                <w:rFonts w:ascii="Arial" w:cs="Arial" w:eastAsia="Arial" w:hAnsi="Arial"/>
                <w:sz w:val="20"/>
                <w:szCs w:val="20"/>
                <w:color w:val="auto"/>
              </w:rPr>
              <w:t>5</w:t>
            </w:r>
          </w:p>
        </w:tc>
      </w:tr>
      <w:tr>
        <w:trPr>
          <w:trHeight w:val="230"/>
        </w:trPr>
        <w:tc>
          <w:tcPr>
            <w:tcW w:w="980" w:type="dxa"/>
            <w:vAlign w:val="bottom"/>
          </w:tcPr>
          <w:p>
            <w:pPr>
              <w:ind w:left="340"/>
              <w:spacing w:after="0"/>
              <w:rPr>
                <w:sz w:val="20"/>
                <w:szCs w:val="20"/>
                <w:color w:val="auto"/>
              </w:rPr>
            </w:pPr>
            <w:r>
              <w:rPr>
                <w:rFonts w:ascii="Arial" w:cs="Arial" w:eastAsia="Arial" w:hAnsi="Arial"/>
                <w:sz w:val="20"/>
                <w:szCs w:val="20"/>
                <w:color w:val="auto"/>
              </w:rPr>
              <w:t>2.31.</w:t>
            </w:r>
          </w:p>
        </w:tc>
        <w:tc>
          <w:tcPr>
            <w:tcW w:w="680" w:type="dxa"/>
            <w:vAlign w:val="bottom"/>
            <w:gridSpan w:val="2"/>
          </w:tcPr>
          <w:p>
            <w:pPr>
              <w:spacing w:after="0"/>
              <w:rPr>
                <w:sz w:val="20"/>
                <w:szCs w:val="20"/>
                <w:color w:val="auto"/>
              </w:rPr>
            </w:pPr>
            <w:r>
              <w:rPr>
                <w:rFonts w:ascii="Arial" w:cs="Arial" w:eastAsia="Arial" w:hAnsi="Arial"/>
                <w:sz w:val="20"/>
                <w:szCs w:val="20"/>
                <w:color w:val="auto"/>
                <w:w w:val="85"/>
              </w:rPr>
              <w:t>Pay Cap</w:t>
            </w:r>
          </w:p>
        </w:tc>
        <w:tc>
          <w:tcPr>
            <w:tcW w:w="280" w:type="dxa"/>
            <w:vAlign w:val="bottom"/>
          </w:tcPr>
          <w:p>
            <w:pPr>
              <w:jc w:val="right"/>
              <w:spacing w:after="0"/>
              <w:rPr>
                <w:sz w:val="20"/>
                <w:szCs w:val="20"/>
                <w:color w:val="auto"/>
              </w:rPr>
            </w:pPr>
            <w:r>
              <w:rPr>
                <w:rFonts w:ascii="Arial" w:cs="Arial" w:eastAsia="Arial" w:hAnsi="Arial"/>
                <w:sz w:val="20"/>
                <w:szCs w:val="20"/>
                <w:color w:val="auto"/>
              </w:rPr>
              <w:t>5</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80" w:type="dxa"/>
            <w:vAlign w:val="bottom"/>
          </w:tcPr>
          <w:p>
            <w:pPr>
              <w:spacing w:after="0"/>
              <w:rPr>
                <w:sz w:val="19"/>
                <w:szCs w:val="19"/>
                <w:color w:val="auto"/>
              </w:rPr>
            </w:pPr>
          </w:p>
        </w:tc>
      </w:tr>
      <w:tr>
        <w:trPr>
          <w:trHeight w:val="230"/>
        </w:trPr>
        <w:tc>
          <w:tcPr>
            <w:tcW w:w="980" w:type="dxa"/>
            <w:vAlign w:val="bottom"/>
          </w:tcPr>
          <w:p>
            <w:pPr>
              <w:ind w:left="340"/>
              <w:spacing w:after="0"/>
              <w:rPr>
                <w:sz w:val="20"/>
                <w:szCs w:val="20"/>
                <w:color w:val="auto"/>
              </w:rPr>
            </w:pPr>
            <w:r>
              <w:rPr>
                <w:rFonts w:ascii="Arial" w:cs="Arial" w:eastAsia="Arial" w:hAnsi="Arial"/>
                <w:sz w:val="20"/>
                <w:szCs w:val="20"/>
                <w:color w:val="auto"/>
              </w:rPr>
              <w:t>2.32.</w:t>
            </w:r>
          </w:p>
        </w:tc>
        <w:tc>
          <w:tcPr>
            <w:tcW w:w="960" w:type="dxa"/>
            <w:vAlign w:val="bottom"/>
            <w:gridSpan w:val="3"/>
          </w:tcPr>
          <w:p>
            <w:pPr>
              <w:spacing w:after="0"/>
              <w:rPr>
                <w:sz w:val="20"/>
                <w:szCs w:val="20"/>
                <w:color w:val="auto"/>
              </w:rPr>
            </w:pPr>
            <w:r>
              <w:rPr>
                <w:rFonts w:ascii="Arial" w:cs="Arial" w:eastAsia="Arial" w:hAnsi="Arial"/>
                <w:sz w:val="20"/>
                <w:szCs w:val="20"/>
                <w:color w:val="auto"/>
                <w:w w:val="99"/>
              </w:rPr>
              <w:t>Participant</w:t>
            </w:r>
          </w:p>
        </w:tc>
        <w:tc>
          <w:tcPr>
            <w:tcW w:w="200" w:type="dxa"/>
            <w:vAlign w:val="bottom"/>
          </w:tcPr>
          <w:p>
            <w:pPr>
              <w:jc w:val="right"/>
              <w:spacing w:after="0"/>
              <w:rPr>
                <w:sz w:val="20"/>
                <w:szCs w:val="20"/>
                <w:color w:val="auto"/>
              </w:rPr>
            </w:pPr>
            <w:r>
              <w:rPr>
                <w:rFonts w:ascii="Arial" w:cs="Arial" w:eastAsia="Arial" w:hAnsi="Arial"/>
                <w:sz w:val="20"/>
                <w:szCs w:val="20"/>
                <w:color w:val="auto"/>
              </w:rPr>
              <w:t>5</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80" w:type="dxa"/>
            <w:vAlign w:val="bottom"/>
          </w:tcPr>
          <w:p>
            <w:pPr>
              <w:spacing w:after="0"/>
              <w:rPr>
                <w:sz w:val="19"/>
                <w:szCs w:val="19"/>
                <w:color w:val="auto"/>
              </w:rPr>
            </w:pPr>
          </w:p>
        </w:tc>
      </w:tr>
      <w:tr>
        <w:trPr>
          <w:trHeight w:val="230"/>
        </w:trPr>
        <w:tc>
          <w:tcPr>
            <w:tcW w:w="980" w:type="dxa"/>
            <w:vAlign w:val="bottom"/>
          </w:tcPr>
          <w:p>
            <w:pPr>
              <w:ind w:left="340"/>
              <w:spacing w:after="0"/>
              <w:rPr>
                <w:sz w:val="20"/>
                <w:szCs w:val="20"/>
                <w:color w:val="auto"/>
              </w:rPr>
            </w:pPr>
            <w:r>
              <w:rPr>
                <w:rFonts w:ascii="Arial" w:cs="Arial" w:eastAsia="Arial" w:hAnsi="Arial"/>
                <w:sz w:val="20"/>
                <w:szCs w:val="20"/>
                <w:color w:val="auto"/>
              </w:rPr>
              <w:t>2.33.</w:t>
            </w:r>
          </w:p>
        </w:tc>
        <w:tc>
          <w:tcPr>
            <w:tcW w:w="1760" w:type="dxa"/>
            <w:vAlign w:val="bottom"/>
            <w:gridSpan w:val="6"/>
          </w:tcPr>
          <w:p>
            <w:pPr>
              <w:spacing w:after="0"/>
              <w:rPr>
                <w:sz w:val="20"/>
                <w:szCs w:val="20"/>
                <w:color w:val="auto"/>
              </w:rPr>
            </w:pPr>
            <w:r>
              <w:rPr>
                <w:rFonts w:ascii="Arial" w:cs="Arial" w:eastAsia="Arial" w:hAnsi="Arial"/>
                <w:sz w:val="20"/>
                <w:szCs w:val="20"/>
                <w:color w:val="auto"/>
                <w:w w:val="98"/>
              </w:rPr>
              <w:t>Performance Award</w:t>
            </w:r>
          </w:p>
        </w:tc>
        <w:tc>
          <w:tcPr>
            <w:tcW w:w="320" w:type="dxa"/>
            <w:vAlign w:val="bottom"/>
          </w:tcPr>
          <w:p>
            <w:pPr>
              <w:jc w:val="right"/>
              <w:ind w:right="101"/>
              <w:spacing w:after="0"/>
              <w:rPr>
                <w:sz w:val="20"/>
                <w:szCs w:val="20"/>
                <w:color w:val="auto"/>
              </w:rPr>
            </w:pPr>
            <w:r>
              <w:rPr>
                <w:rFonts w:ascii="Arial" w:cs="Arial" w:eastAsia="Arial" w:hAnsi="Arial"/>
                <w:sz w:val="20"/>
                <w:szCs w:val="20"/>
                <w:color w:val="auto"/>
                <w:w w:val="89"/>
              </w:rPr>
              <w:t>5</w:t>
            </w:r>
          </w:p>
        </w:tc>
        <w:tc>
          <w:tcPr>
            <w:tcW w:w="940" w:type="dxa"/>
            <w:vAlign w:val="bottom"/>
          </w:tcPr>
          <w:p>
            <w:pPr>
              <w:spacing w:after="0"/>
              <w:rPr>
                <w:sz w:val="19"/>
                <w:szCs w:val="19"/>
                <w:color w:val="auto"/>
              </w:rPr>
            </w:pPr>
          </w:p>
        </w:tc>
        <w:tc>
          <w:tcPr>
            <w:tcW w:w="280" w:type="dxa"/>
            <w:vAlign w:val="bottom"/>
          </w:tcPr>
          <w:p>
            <w:pPr>
              <w:spacing w:after="0"/>
              <w:rPr>
                <w:sz w:val="19"/>
                <w:szCs w:val="19"/>
                <w:color w:val="auto"/>
              </w:rPr>
            </w:pPr>
          </w:p>
        </w:tc>
      </w:tr>
      <w:tr>
        <w:trPr>
          <w:trHeight w:val="230"/>
        </w:trPr>
        <w:tc>
          <w:tcPr>
            <w:tcW w:w="980" w:type="dxa"/>
            <w:vAlign w:val="bottom"/>
          </w:tcPr>
          <w:p>
            <w:pPr>
              <w:ind w:left="340"/>
              <w:spacing w:after="0"/>
              <w:rPr>
                <w:sz w:val="20"/>
                <w:szCs w:val="20"/>
                <w:color w:val="auto"/>
              </w:rPr>
            </w:pPr>
            <w:r>
              <w:rPr>
                <w:rFonts w:ascii="Arial" w:cs="Arial" w:eastAsia="Arial" w:hAnsi="Arial"/>
                <w:sz w:val="20"/>
                <w:szCs w:val="20"/>
                <w:color w:val="auto"/>
              </w:rPr>
              <w:t>2.34.</w:t>
            </w:r>
          </w:p>
        </w:tc>
        <w:tc>
          <w:tcPr>
            <w:tcW w:w="3020" w:type="dxa"/>
            <w:vAlign w:val="bottom"/>
            <w:gridSpan w:val="8"/>
          </w:tcPr>
          <w:p>
            <w:pPr>
              <w:spacing w:after="0"/>
              <w:rPr>
                <w:sz w:val="20"/>
                <w:szCs w:val="20"/>
                <w:color w:val="auto"/>
              </w:rPr>
            </w:pPr>
            <w:r>
              <w:rPr>
                <w:rFonts w:ascii="Arial" w:cs="Arial" w:eastAsia="Arial" w:hAnsi="Arial"/>
                <w:sz w:val="20"/>
                <w:szCs w:val="20"/>
                <w:color w:val="auto"/>
                <w:w w:val="90"/>
              </w:rPr>
              <w:t>Performance Award Deferral Election</w:t>
            </w:r>
          </w:p>
        </w:tc>
        <w:tc>
          <w:tcPr>
            <w:tcW w:w="280" w:type="dxa"/>
            <w:vAlign w:val="bottom"/>
          </w:tcPr>
          <w:p>
            <w:pPr>
              <w:jc w:val="right"/>
              <w:spacing w:after="0"/>
              <w:rPr>
                <w:sz w:val="20"/>
                <w:szCs w:val="20"/>
                <w:color w:val="auto"/>
              </w:rPr>
            </w:pPr>
            <w:r>
              <w:rPr>
                <w:rFonts w:ascii="Arial" w:cs="Arial" w:eastAsia="Arial" w:hAnsi="Arial"/>
                <w:sz w:val="20"/>
                <w:szCs w:val="20"/>
                <w:color w:val="auto"/>
              </w:rPr>
              <w:t>5</w:t>
            </w:r>
          </w:p>
        </w:tc>
      </w:tr>
      <w:tr>
        <w:trPr>
          <w:trHeight w:val="230"/>
        </w:trPr>
        <w:tc>
          <w:tcPr>
            <w:tcW w:w="980" w:type="dxa"/>
            <w:vAlign w:val="bottom"/>
          </w:tcPr>
          <w:p>
            <w:pPr>
              <w:ind w:left="340"/>
              <w:spacing w:after="0"/>
              <w:rPr>
                <w:sz w:val="20"/>
                <w:szCs w:val="20"/>
                <w:color w:val="auto"/>
              </w:rPr>
            </w:pPr>
            <w:r>
              <w:rPr>
                <w:rFonts w:ascii="Arial" w:cs="Arial" w:eastAsia="Arial" w:hAnsi="Arial"/>
                <w:sz w:val="20"/>
                <w:szCs w:val="20"/>
                <w:color w:val="auto"/>
              </w:rPr>
              <w:t>2.35.</w:t>
            </w:r>
          </w:p>
        </w:tc>
        <w:tc>
          <w:tcPr>
            <w:tcW w:w="520" w:type="dxa"/>
            <w:vAlign w:val="bottom"/>
          </w:tcPr>
          <w:p>
            <w:pPr>
              <w:spacing w:after="0"/>
              <w:rPr>
                <w:sz w:val="20"/>
                <w:szCs w:val="20"/>
                <w:color w:val="auto"/>
              </w:rPr>
            </w:pPr>
            <w:r>
              <w:rPr>
                <w:rFonts w:ascii="Arial" w:cs="Arial" w:eastAsia="Arial" w:hAnsi="Arial"/>
                <w:sz w:val="20"/>
                <w:szCs w:val="20"/>
                <w:color w:val="auto"/>
              </w:rPr>
              <w:t>Plan</w:t>
            </w:r>
          </w:p>
        </w:tc>
        <w:tc>
          <w:tcPr>
            <w:tcW w:w="160" w:type="dxa"/>
            <w:vAlign w:val="bottom"/>
          </w:tcPr>
          <w:p>
            <w:pPr>
              <w:jc w:val="right"/>
              <w:spacing w:after="0"/>
              <w:rPr>
                <w:sz w:val="20"/>
                <w:szCs w:val="20"/>
                <w:color w:val="auto"/>
              </w:rPr>
            </w:pPr>
            <w:r>
              <w:rPr>
                <w:rFonts w:ascii="Arial" w:cs="Arial" w:eastAsia="Arial" w:hAnsi="Arial"/>
                <w:sz w:val="20"/>
                <w:szCs w:val="20"/>
                <w:color w:val="auto"/>
                <w:w w:val="89"/>
              </w:rPr>
              <w:t>5</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80" w:type="dxa"/>
            <w:vAlign w:val="bottom"/>
          </w:tcPr>
          <w:p>
            <w:pPr>
              <w:spacing w:after="0"/>
              <w:rPr>
                <w:sz w:val="19"/>
                <w:szCs w:val="19"/>
                <w:color w:val="auto"/>
              </w:rPr>
            </w:pPr>
          </w:p>
        </w:tc>
      </w:tr>
      <w:tr>
        <w:trPr>
          <w:trHeight w:val="230"/>
        </w:trPr>
        <w:tc>
          <w:tcPr>
            <w:tcW w:w="980" w:type="dxa"/>
            <w:vAlign w:val="bottom"/>
          </w:tcPr>
          <w:p>
            <w:pPr>
              <w:ind w:left="340"/>
              <w:spacing w:after="0"/>
              <w:rPr>
                <w:sz w:val="20"/>
                <w:szCs w:val="20"/>
                <w:color w:val="auto"/>
              </w:rPr>
            </w:pPr>
            <w:r>
              <w:rPr>
                <w:rFonts w:ascii="Arial" w:cs="Arial" w:eastAsia="Arial" w:hAnsi="Arial"/>
                <w:sz w:val="20"/>
                <w:szCs w:val="20"/>
                <w:color w:val="auto"/>
              </w:rPr>
              <w:t>2.36.</w:t>
            </w:r>
          </w:p>
        </w:tc>
        <w:tc>
          <w:tcPr>
            <w:tcW w:w="960" w:type="dxa"/>
            <w:vAlign w:val="bottom"/>
            <w:gridSpan w:val="3"/>
          </w:tcPr>
          <w:p>
            <w:pPr>
              <w:spacing w:after="0"/>
              <w:rPr>
                <w:sz w:val="20"/>
                <w:szCs w:val="20"/>
                <w:color w:val="auto"/>
              </w:rPr>
            </w:pPr>
            <w:r>
              <w:rPr>
                <w:rFonts w:ascii="Arial" w:cs="Arial" w:eastAsia="Arial" w:hAnsi="Arial"/>
                <w:sz w:val="20"/>
                <w:szCs w:val="20"/>
                <w:color w:val="auto"/>
              </w:rPr>
              <w:t>Plan Year</w:t>
            </w:r>
          </w:p>
        </w:tc>
        <w:tc>
          <w:tcPr>
            <w:tcW w:w="200" w:type="dxa"/>
            <w:vAlign w:val="bottom"/>
          </w:tcPr>
          <w:p>
            <w:pPr>
              <w:jc w:val="right"/>
              <w:ind w:right="1"/>
              <w:spacing w:after="0"/>
              <w:rPr>
                <w:sz w:val="20"/>
                <w:szCs w:val="20"/>
                <w:color w:val="auto"/>
              </w:rPr>
            </w:pPr>
            <w:r>
              <w:rPr>
                <w:rFonts w:ascii="Arial" w:cs="Arial" w:eastAsia="Arial" w:hAnsi="Arial"/>
                <w:sz w:val="20"/>
                <w:szCs w:val="20"/>
                <w:color w:val="auto"/>
                <w:w w:val="71"/>
              </w:rPr>
              <w:t>5</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80" w:type="dxa"/>
            <w:vAlign w:val="bottom"/>
          </w:tcPr>
          <w:p>
            <w:pPr>
              <w:spacing w:after="0"/>
              <w:rPr>
                <w:sz w:val="19"/>
                <w:szCs w:val="19"/>
                <w:color w:val="auto"/>
              </w:rPr>
            </w:pPr>
          </w:p>
        </w:tc>
      </w:tr>
      <w:tr>
        <w:trPr>
          <w:trHeight w:val="230"/>
        </w:trPr>
        <w:tc>
          <w:tcPr>
            <w:tcW w:w="980" w:type="dxa"/>
            <w:vAlign w:val="bottom"/>
          </w:tcPr>
          <w:p>
            <w:pPr>
              <w:ind w:left="340"/>
              <w:spacing w:after="0"/>
              <w:rPr>
                <w:sz w:val="20"/>
                <w:szCs w:val="20"/>
                <w:color w:val="auto"/>
              </w:rPr>
            </w:pPr>
            <w:r>
              <w:rPr>
                <w:rFonts w:ascii="Arial" w:cs="Arial" w:eastAsia="Arial" w:hAnsi="Arial"/>
                <w:sz w:val="20"/>
                <w:szCs w:val="20"/>
                <w:color w:val="auto"/>
              </w:rPr>
              <w:t>2.37.</w:t>
            </w:r>
          </w:p>
        </w:tc>
        <w:tc>
          <w:tcPr>
            <w:tcW w:w="1160" w:type="dxa"/>
            <w:vAlign w:val="bottom"/>
            <w:gridSpan w:val="4"/>
          </w:tcPr>
          <w:p>
            <w:pPr>
              <w:spacing w:after="0"/>
              <w:rPr>
                <w:sz w:val="20"/>
                <w:szCs w:val="20"/>
                <w:color w:val="auto"/>
              </w:rPr>
            </w:pPr>
            <w:r>
              <w:rPr>
                <w:rFonts w:ascii="Arial" w:cs="Arial" w:eastAsia="Arial" w:hAnsi="Arial"/>
                <w:sz w:val="20"/>
                <w:szCs w:val="20"/>
                <w:color w:val="auto"/>
                <w:w w:val="91"/>
              </w:rPr>
              <w:t>Qualified Plan</w:t>
            </w:r>
          </w:p>
        </w:tc>
        <w:tc>
          <w:tcPr>
            <w:tcW w:w="340" w:type="dxa"/>
            <w:vAlign w:val="bottom"/>
          </w:tcPr>
          <w:p>
            <w:pPr>
              <w:jc w:val="right"/>
              <w:spacing w:after="0"/>
              <w:rPr>
                <w:sz w:val="20"/>
                <w:szCs w:val="20"/>
                <w:color w:val="auto"/>
              </w:rPr>
            </w:pPr>
            <w:r>
              <w:rPr>
                <w:rFonts w:ascii="Arial" w:cs="Arial" w:eastAsia="Arial" w:hAnsi="Arial"/>
                <w:sz w:val="20"/>
                <w:szCs w:val="20"/>
                <w:color w:val="auto"/>
              </w:rPr>
              <w:t>6</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80" w:type="dxa"/>
            <w:vAlign w:val="bottom"/>
          </w:tcPr>
          <w:p>
            <w:pPr>
              <w:spacing w:after="0"/>
              <w:rPr>
                <w:sz w:val="19"/>
                <w:szCs w:val="19"/>
                <w:color w:val="auto"/>
              </w:rPr>
            </w:pPr>
          </w:p>
        </w:tc>
      </w:tr>
      <w:tr>
        <w:trPr>
          <w:trHeight w:val="230"/>
        </w:trPr>
        <w:tc>
          <w:tcPr>
            <w:tcW w:w="980" w:type="dxa"/>
            <w:vAlign w:val="bottom"/>
          </w:tcPr>
          <w:p>
            <w:pPr>
              <w:ind w:left="340"/>
              <w:spacing w:after="0"/>
              <w:rPr>
                <w:sz w:val="20"/>
                <w:szCs w:val="20"/>
                <w:color w:val="auto"/>
              </w:rPr>
            </w:pPr>
            <w:r>
              <w:rPr>
                <w:rFonts w:ascii="Arial" w:cs="Arial" w:eastAsia="Arial" w:hAnsi="Arial"/>
                <w:sz w:val="20"/>
                <w:szCs w:val="20"/>
                <w:color w:val="auto"/>
              </w:rPr>
              <w:t>2.38.</w:t>
            </w:r>
          </w:p>
        </w:tc>
        <w:tc>
          <w:tcPr>
            <w:tcW w:w="1500" w:type="dxa"/>
            <w:vAlign w:val="bottom"/>
            <w:gridSpan w:val="5"/>
          </w:tcPr>
          <w:p>
            <w:pPr>
              <w:spacing w:after="0"/>
              <w:rPr>
                <w:sz w:val="20"/>
                <w:szCs w:val="20"/>
                <w:color w:val="auto"/>
              </w:rPr>
            </w:pPr>
            <w:r>
              <w:rPr>
                <w:rFonts w:ascii="Arial" w:cs="Arial" w:eastAsia="Arial" w:hAnsi="Arial"/>
                <w:sz w:val="20"/>
                <w:szCs w:val="20"/>
                <w:color w:val="auto"/>
              </w:rPr>
              <w:t>Retention Award</w:t>
            </w:r>
          </w:p>
        </w:tc>
        <w:tc>
          <w:tcPr>
            <w:tcW w:w="260" w:type="dxa"/>
            <w:vAlign w:val="bottom"/>
          </w:tcPr>
          <w:p>
            <w:pPr>
              <w:jc w:val="right"/>
              <w:ind w:right="21"/>
              <w:spacing w:after="0"/>
              <w:rPr>
                <w:sz w:val="20"/>
                <w:szCs w:val="20"/>
                <w:color w:val="auto"/>
              </w:rPr>
            </w:pPr>
            <w:r>
              <w:rPr>
                <w:rFonts w:ascii="Arial" w:cs="Arial" w:eastAsia="Arial" w:hAnsi="Arial"/>
                <w:sz w:val="20"/>
                <w:szCs w:val="20"/>
                <w:color w:val="auto"/>
              </w:rPr>
              <w:t>6</w:t>
            </w: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80" w:type="dxa"/>
            <w:vAlign w:val="bottom"/>
          </w:tcPr>
          <w:p>
            <w:pPr>
              <w:spacing w:after="0"/>
              <w:rPr>
                <w:sz w:val="19"/>
                <w:szCs w:val="19"/>
                <w:color w:val="auto"/>
              </w:rPr>
            </w:pPr>
          </w:p>
        </w:tc>
      </w:tr>
      <w:tr>
        <w:trPr>
          <w:trHeight w:val="250"/>
        </w:trPr>
        <w:tc>
          <w:tcPr>
            <w:tcW w:w="980" w:type="dxa"/>
            <w:vAlign w:val="bottom"/>
          </w:tcPr>
          <w:p>
            <w:pPr>
              <w:ind w:left="340"/>
              <w:spacing w:after="0"/>
              <w:rPr>
                <w:sz w:val="20"/>
                <w:szCs w:val="20"/>
                <w:color w:val="auto"/>
              </w:rPr>
            </w:pPr>
            <w:r>
              <w:rPr>
                <w:rFonts w:ascii="Arial" w:cs="Arial" w:eastAsia="Arial" w:hAnsi="Arial"/>
                <w:sz w:val="20"/>
                <w:szCs w:val="20"/>
                <w:color w:val="auto"/>
              </w:rPr>
              <w:t>2.39.</w:t>
            </w:r>
          </w:p>
        </w:tc>
        <w:tc>
          <w:tcPr>
            <w:tcW w:w="2080" w:type="dxa"/>
            <w:vAlign w:val="bottom"/>
            <w:gridSpan w:val="7"/>
          </w:tcPr>
          <w:p>
            <w:pPr>
              <w:spacing w:after="0"/>
              <w:rPr>
                <w:sz w:val="20"/>
                <w:szCs w:val="20"/>
                <w:color w:val="auto"/>
              </w:rPr>
            </w:pPr>
            <w:r>
              <w:rPr>
                <w:rFonts w:ascii="Arial" w:cs="Arial" w:eastAsia="Arial" w:hAnsi="Arial"/>
                <w:sz w:val="20"/>
                <w:szCs w:val="20"/>
                <w:color w:val="auto"/>
                <w:w w:val="91"/>
              </w:rPr>
              <w:t>Retention Award Account</w:t>
            </w:r>
          </w:p>
        </w:tc>
        <w:tc>
          <w:tcPr>
            <w:tcW w:w="940" w:type="dxa"/>
            <w:vAlign w:val="bottom"/>
          </w:tcPr>
          <w:p>
            <w:pPr>
              <w:jc w:val="right"/>
              <w:ind w:right="561"/>
              <w:spacing w:after="0"/>
              <w:rPr>
                <w:sz w:val="20"/>
                <w:szCs w:val="20"/>
                <w:color w:val="auto"/>
              </w:rPr>
            </w:pPr>
            <w:r>
              <w:rPr>
                <w:rFonts w:ascii="Arial" w:cs="Arial" w:eastAsia="Arial" w:hAnsi="Arial"/>
                <w:sz w:val="20"/>
                <w:szCs w:val="20"/>
                <w:color w:val="auto"/>
              </w:rPr>
              <w:t>6</w:t>
            </w:r>
          </w:p>
        </w:tc>
        <w:tc>
          <w:tcPr>
            <w:tcW w:w="280" w:type="dxa"/>
            <w:vAlign w:val="bottom"/>
          </w:tcPr>
          <w:p>
            <w:pPr>
              <w:spacing w:after="0"/>
              <w:rPr>
                <w:sz w:val="21"/>
                <w:szCs w:val="21"/>
                <w:color w:val="auto"/>
              </w:rPr>
            </w:pPr>
          </w:p>
        </w:tc>
      </w:tr>
    </w:tbl>
    <w:p>
      <w:pPr>
        <w:spacing w:after="0" w:line="231" w:lineRule="exact"/>
        <w:rPr>
          <w:sz w:val="20"/>
          <w:szCs w:val="20"/>
          <w:color w:val="auto"/>
        </w:rPr>
      </w:pPr>
    </w:p>
    <w:p>
      <w:pPr>
        <w:ind w:left="8440"/>
        <w:spacing w:after="0"/>
        <w:rPr>
          <w:sz w:val="20"/>
          <w:szCs w:val="20"/>
          <w:color w:val="auto"/>
        </w:rPr>
      </w:pPr>
      <w:r>
        <w:rPr>
          <w:rFonts w:ascii="Arial" w:cs="Arial" w:eastAsia="Arial" w:hAnsi="Arial"/>
          <w:sz w:val="22"/>
          <w:szCs w:val="22"/>
          <w:color w:val="auto"/>
        </w:rPr>
        <w:t>i</w:t>
      </w:r>
    </w:p>
    <w:p>
      <w:pPr>
        <w:sectPr>
          <w:pgSz w:w="11900" w:h="16838" w:orient="portrait"/>
          <w:cols w:equalWidth="0" w:num="1">
            <w:col w:w="11420"/>
          </w:cols>
          <w:pgMar w:left="240" w:top="1098" w:right="239" w:bottom="144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230"/>
        </w:trPr>
        <w:tc>
          <w:tcPr>
            <w:tcW w:w="900" w:type="dxa"/>
            <w:vAlign w:val="bottom"/>
          </w:tcPr>
          <w:p>
            <w:pPr>
              <w:ind w:left="340"/>
              <w:spacing w:after="0"/>
              <w:rPr>
                <w:sz w:val="20"/>
                <w:szCs w:val="20"/>
                <w:color w:val="auto"/>
              </w:rPr>
            </w:pPr>
            <w:r>
              <w:rPr>
                <w:rFonts w:ascii="Arial" w:cs="Arial" w:eastAsia="Arial" w:hAnsi="Arial"/>
                <w:sz w:val="20"/>
                <w:szCs w:val="20"/>
                <w:color w:val="auto"/>
              </w:rPr>
              <w:t>2.40.</w:t>
            </w:r>
          </w:p>
        </w:tc>
        <w:tc>
          <w:tcPr>
            <w:tcW w:w="1780" w:type="dxa"/>
            <w:vAlign w:val="bottom"/>
            <w:gridSpan w:val="3"/>
          </w:tcPr>
          <w:p>
            <w:pPr>
              <w:ind w:left="80"/>
              <w:spacing w:after="0"/>
              <w:rPr>
                <w:sz w:val="20"/>
                <w:szCs w:val="20"/>
                <w:color w:val="auto"/>
              </w:rPr>
            </w:pPr>
            <w:r>
              <w:rPr>
                <w:rFonts w:ascii="Arial" w:cs="Arial" w:eastAsia="Arial" w:hAnsi="Arial"/>
                <w:sz w:val="20"/>
                <w:szCs w:val="20"/>
                <w:color w:val="auto"/>
                <w:w w:val="95"/>
              </w:rPr>
              <w:t>Retirement Account</w:t>
            </w:r>
          </w:p>
        </w:tc>
        <w:tc>
          <w:tcPr>
            <w:tcW w:w="400" w:type="dxa"/>
            <w:vAlign w:val="bottom"/>
          </w:tcPr>
          <w:p>
            <w:pPr>
              <w:jc w:val="right"/>
              <w:ind w:right="101"/>
              <w:spacing w:after="0"/>
              <w:rPr>
                <w:sz w:val="20"/>
                <w:szCs w:val="20"/>
                <w:color w:val="auto"/>
              </w:rPr>
            </w:pPr>
            <w:r>
              <w:rPr>
                <w:rFonts w:ascii="Arial" w:cs="Arial" w:eastAsia="Arial" w:hAnsi="Arial"/>
                <w:sz w:val="20"/>
                <w:szCs w:val="20"/>
                <w:color w:val="auto"/>
              </w:rPr>
              <w:t>6</w:t>
            </w: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230"/>
        </w:trPr>
        <w:tc>
          <w:tcPr>
            <w:tcW w:w="900" w:type="dxa"/>
            <w:vAlign w:val="bottom"/>
          </w:tcPr>
          <w:p>
            <w:pPr>
              <w:ind w:left="340"/>
              <w:spacing w:after="0"/>
              <w:rPr>
                <w:sz w:val="20"/>
                <w:szCs w:val="20"/>
                <w:color w:val="auto"/>
              </w:rPr>
            </w:pPr>
            <w:r>
              <w:rPr>
                <w:rFonts w:ascii="Arial" w:cs="Arial" w:eastAsia="Arial" w:hAnsi="Arial"/>
                <w:sz w:val="20"/>
                <w:szCs w:val="20"/>
                <w:color w:val="auto"/>
              </w:rPr>
              <w:t>2.41.</w:t>
            </w:r>
          </w:p>
        </w:tc>
        <w:tc>
          <w:tcPr>
            <w:tcW w:w="2180" w:type="dxa"/>
            <w:vAlign w:val="bottom"/>
            <w:gridSpan w:val="4"/>
          </w:tcPr>
          <w:p>
            <w:pPr>
              <w:ind w:left="80"/>
              <w:spacing w:after="0"/>
              <w:rPr>
                <w:sz w:val="20"/>
                <w:szCs w:val="20"/>
                <w:color w:val="auto"/>
              </w:rPr>
            </w:pPr>
            <w:r>
              <w:rPr>
                <w:rFonts w:ascii="Arial" w:cs="Arial" w:eastAsia="Arial" w:hAnsi="Arial"/>
                <w:sz w:val="20"/>
                <w:szCs w:val="20"/>
                <w:color w:val="auto"/>
                <w:w w:val="98"/>
              </w:rPr>
              <w:t>Retirement Contribution</w:t>
            </w:r>
          </w:p>
        </w:tc>
        <w:tc>
          <w:tcPr>
            <w:tcW w:w="240" w:type="dxa"/>
            <w:vAlign w:val="bottom"/>
          </w:tcPr>
          <w:p>
            <w:pPr>
              <w:jc w:val="right"/>
              <w:spacing w:after="0"/>
              <w:rPr>
                <w:sz w:val="20"/>
                <w:szCs w:val="20"/>
                <w:color w:val="auto"/>
              </w:rPr>
            </w:pPr>
            <w:r>
              <w:rPr>
                <w:rFonts w:ascii="Arial" w:cs="Arial" w:eastAsia="Arial" w:hAnsi="Arial"/>
                <w:sz w:val="20"/>
                <w:szCs w:val="20"/>
                <w:color w:val="auto"/>
              </w:rPr>
              <w:t>6</w:t>
            </w: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230"/>
        </w:trPr>
        <w:tc>
          <w:tcPr>
            <w:tcW w:w="900" w:type="dxa"/>
            <w:vAlign w:val="bottom"/>
          </w:tcPr>
          <w:p>
            <w:pPr>
              <w:ind w:left="340"/>
              <w:spacing w:after="0"/>
              <w:rPr>
                <w:sz w:val="20"/>
                <w:szCs w:val="20"/>
                <w:color w:val="auto"/>
              </w:rPr>
            </w:pPr>
            <w:r>
              <w:rPr>
                <w:rFonts w:ascii="Arial" w:cs="Arial" w:eastAsia="Arial" w:hAnsi="Arial"/>
                <w:sz w:val="20"/>
                <w:szCs w:val="20"/>
                <w:color w:val="auto"/>
              </w:rPr>
              <w:t>2.42.</w:t>
            </w:r>
          </w:p>
        </w:tc>
        <w:tc>
          <w:tcPr>
            <w:tcW w:w="1780" w:type="dxa"/>
            <w:vAlign w:val="bottom"/>
            <w:gridSpan w:val="3"/>
          </w:tcPr>
          <w:p>
            <w:pPr>
              <w:ind w:left="80"/>
              <w:spacing w:after="0"/>
              <w:rPr>
                <w:sz w:val="20"/>
                <w:szCs w:val="20"/>
                <w:color w:val="auto"/>
              </w:rPr>
            </w:pPr>
            <w:r>
              <w:rPr>
                <w:rFonts w:ascii="Arial" w:cs="Arial" w:eastAsia="Arial" w:hAnsi="Arial"/>
                <w:sz w:val="20"/>
                <w:szCs w:val="20"/>
                <w:color w:val="auto"/>
                <w:w w:val="95"/>
              </w:rPr>
              <w:t>RSP Compensation</w:t>
            </w:r>
          </w:p>
        </w:tc>
        <w:tc>
          <w:tcPr>
            <w:tcW w:w="400" w:type="dxa"/>
            <w:vAlign w:val="bottom"/>
          </w:tcPr>
          <w:p>
            <w:pPr>
              <w:jc w:val="right"/>
              <w:ind w:right="161"/>
              <w:spacing w:after="0"/>
              <w:rPr>
                <w:sz w:val="20"/>
                <w:szCs w:val="20"/>
                <w:color w:val="auto"/>
              </w:rPr>
            </w:pPr>
            <w:r>
              <w:rPr>
                <w:rFonts w:ascii="Arial" w:cs="Arial" w:eastAsia="Arial" w:hAnsi="Arial"/>
                <w:sz w:val="20"/>
                <w:szCs w:val="20"/>
                <w:color w:val="auto"/>
              </w:rPr>
              <w:t>6</w:t>
            </w: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230"/>
        </w:trPr>
        <w:tc>
          <w:tcPr>
            <w:tcW w:w="900" w:type="dxa"/>
            <w:vAlign w:val="bottom"/>
          </w:tcPr>
          <w:p>
            <w:pPr>
              <w:ind w:left="340"/>
              <w:spacing w:after="0"/>
              <w:rPr>
                <w:sz w:val="20"/>
                <w:szCs w:val="20"/>
                <w:color w:val="auto"/>
              </w:rPr>
            </w:pPr>
            <w:r>
              <w:rPr>
                <w:rFonts w:ascii="Arial" w:cs="Arial" w:eastAsia="Arial" w:hAnsi="Arial"/>
                <w:sz w:val="20"/>
                <w:szCs w:val="20"/>
                <w:color w:val="auto"/>
              </w:rPr>
              <w:t>2.43.</w:t>
            </w:r>
          </w:p>
        </w:tc>
        <w:tc>
          <w:tcPr>
            <w:tcW w:w="2180" w:type="dxa"/>
            <w:vAlign w:val="bottom"/>
            <w:gridSpan w:val="4"/>
          </w:tcPr>
          <w:p>
            <w:pPr>
              <w:ind w:left="80"/>
              <w:spacing w:after="0"/>
              <w:rPr>
                <w:sz w:val="20"/>
                <w:szCs w:val="20"/>
                <w:color w:val="auto"/>
              </w:rPr>
            </w:pPr>
            <w:r>
              <w:rPr>
                <w:rFonts w:ascii="Arial" w:cs="Arial" w:eastAsia="Arial" w:hAnsi="Arial"/>
                <w:sz w:val="20"/>
                <w:szCs w:val="20"/>
                <w:color w:val="auto"/>
                <w:w w:val="96"/>
              </w:rPr>
              <w:t>Separation from Service</w:t>
            </w:r>
          </w:p>
        </w:tc>
        <w:tc>
          <w:tcPr>
            <w:tcW w:w="240" w:type="dxa"/>
            <w:vAlign w:val="bottom"/>
          </w:tcPr>
          <w:p>
            <w:pPr>
              <w:jc w:val="right"/>
              <w:ind w:right="17"/>
              <w:spacing w:after="0"/>
              <w:rPr>
                <w:sz w:val="20"/>
                <w:szCs w:val="20"/>
                <w:color w:val="auto"/>
              </w:rPr>
            </w:pPr>
            <w:r>
              <w:rPr>
                <w:rFonts w:ascii="Arial" w:cs="Arial" w:eastAsia="Arial" w:hAnsi="Arial"/>
                <w:sz w:val="20"/>
                <w:szCs w:val="20"/>
                <w:color w:val="auto"/>
                <w:w w:val="89"/>
              </w:rPr>
              <w:t>6</w:t>
            </w: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230"/>
        </w:trPr>
        <w:tc>
          <w:tcPr>
            <w:tcW w:w="900" w:type="dxa"/>
            <w:vAlign w:val="bottom"/>
          </w:tcPr>
          <w:p>
            <w:pPr>
              <w:ind w:left="340"/>
              <w:spacing w:after="0"/>
              <w:rPr>
                <w:sz w:val="20"/>
                <w:szCs w:val="20"/>
                <w:color w:val="auto"/>
              </w:rPr>
            </w:pPr>
            <w:r>
              <w:rPr>
                <w:rFonts w:ascii="Arial" w:cs="Arial" w:eastAsia="Arial" w:hAnsi="Arial"/>
                <w:sz w:val="20"/>
                <w:szCs w:val="20"/>
                <w:color w:val="auto"/>
              </w:rPr>
              <w:t>2.44.</w:t>
            </w:r>
          </w:p>
        </w:tc>
        <w:tc>
          <w:tcPr>
            <w:tcW w:w="1440" w:type="dxa"/>
            <w:vAlign w:val="bottom"/>
            <w:gridSpan w:val="2"/>
          </w:tcPr>
          <w:p>
            <w:pPr>
              <w:ind w:left="80"/>
              <w:spacing w:after="0"/>
              <w:rPr>
                <w:sz w:val="20"/>
                <w:szCs w:val="20"/>
                <w:color w:val="auto"/>
              </w:rPr>
            </w:pPr>
            <w:r>
              <w:rPr>
                <w:rFonts w:ascii="Arial" w:cs="Arial" w:eastAsia="Arial" w:hAnsi="Arial"/>
                <w:sz w:val="20"/>
                <w:szCs w:val="20"/>
                <w:color w:val="auto"/>
                <w:w w:val="97"/>
              </w:rPr>
              <w:t>Statutory Limits</w:t>
            </w:r>
          </w:p>
        </w:tc>
        <w:tc>
          <w:tcPr>
            <w:tcW w:w="340" w:type="dxa"/>
            <w:vAlign w:val="bottom"/>
          </w:tcPr>
          <w:p>
            <w:pPr>
              <w:ind w:left="140"/>
              <w:spacing w:after="0"/>
              <w:rPr>
                <w:sz w:val="20"/>
                <w:szCs w:val="20"/>
                <w:color w:val="auto"/>
              </w:rPr>
            </w:pPr>
            <w:r>
              <w:rPr>
                <w:rFonts w:ascii="Arial" w:cs="Arial" w:eastAsia="Arial" w:hAnsi="Arial"/>
                <w:sz w:val="20"/>
                <w:szCs w:val="20"/>
                <w:color w:val="auto"/>
              </w:rPr>
              <w:t>7</w:t>
            </w: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230"/>
        </w:trPr>
        <w:tc>
          <w:tcPr>
            <w:tcW w:w="900" w:type="dxa"/>
            <w:vAlign w:val="bottom"/>
          </w:tcPr>
          <w:p>
            <w:pPr>
              <w:ind w:left="340"/>
              <w:spacing w:after="0"/>
              <w:rPr>
                <w:sz w:val="20"/>
                <w:szCs w:val="20"/>
                <w:color w:val="auto"/>
              </w:rPr>
            </w:pPr>
            <w:r>
              <w:rPr>
                <w:rFonts w:ascii="Arial" w:cs="Arial" w:eastAsia="Arial" w:hAnsi="Arial"/>
                <w:sz w:val="20"/>
                <w:szCs w:val="20"/>
                <w:color w:val="auto"/>
              </w:rPr>
              <w:t>2.45.</w:t>
            </w:r>
          </w:p>
        </w:tc>
        <w:tc>
          <w:tcPr>
            <w:tcW w:w="2840" w:type="dxa"/>
            <w:vAlign w:val="bottom"/>
            <w:gridSpan w:val="6"/>
          </w:tcPr>
          <w:p>
            <w:pPr>
              <w:ind w:left="80"/>
              <w:spacing w:after="0"/>
              <w:rPr>
                <w:sz w:val="20"/>
                <w:szCs w:val="20"/>
                <w:color w:val="auto"/>
              </w:rPr>
            </w:pPr>
            <w:r>
              <w:rPr>
                <w:rFonts w:ascii="Arial" w:cs="Arial" w:eastAsia="Arial" w:hAnsi="Arial"/>
                <w:sz w:val="20"/>
                <w:szCs w:val="20"/>
                <w:color w:val="auto"/>
                <w:w w:val="95"/>
              </w:rPr>
              <w:t>Supplemental Retirement Award</w:t>
            </w:r>
          </w:p>
        </w:tc>
        <w:tc>
          <w:tcPr>
            <w:tcW w:w="720" w:type="dxa"/>
            <w:vAlign w:val="bottom"/>
          </w:tcPr>
          <w:p>
            <w:pPr>
              <w:jc w:val="right"/>
              <w:ind w:right="494"/>
              <w:spacing w:after="0"/>
              <w:rPr>
                <w:sz w:val="20"/>
                <w:szCs w:val="20"/>
                <w:color w:val="auto"/>
              </w:rPr>
            </w:pPr>
            <w:r>
              <w:rPr>
                <w:rFonts w:ascii="Arial" w:cs="Arial" w:eastAsia="Arial" w:hAnsi="Arial"/>
                <w:sz w:val="20"/>
                <w:szCs w:val="20"/>
                <w:color w:val="auto"/>
                <w:w w:val="89"/>
              </w:rPr>
              <w:t>7</w:t>
            </w:r>
          </w:p>
        </w:tc>
        <w:tc>
          <w:tcPr>
            <w:tcW w:w="9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230"/>
        </w:trPr>
        <w:tc>
          <w:tcPr>
            <w:tcW w:w="900" w:type="dxa"/>
            <w:vAlign w:val="bottom"/>
          </w:tcPr>
          <w:p>
            <w:pPr>
              <w:ind w:left="340"/>
              <w:spacing w:after="0"/>
              <w:rPr>
                <w:sz w:val="20"/>
                <w:szCs w:val="20"/>
                <w:color w:val="auto"/>
              </w:rPr>
            </w:pPr>
            <w:r>
              <w:rPr>
                <w:rFonts w:ascii="Arial" w:cs="Arial" w:eastAsia="Arial" w:hAnsi="Arial"/>
                <w:sz w:val="20"/>
                <w:szCs w:val="20"/>
                <w:color w:val="auto"/>
              </w:rPr>
              <w:t>2.46.</w:t>
            </w:r>
          </w:p>
        </w:tc>
        <w:tc>
          <w:tcPr>
            <w:tcW w:w="3560" w:type="dxa"/>
            <w:vAlign w:val="bottom"/>
            <w:gridSpan w:val="7"/>
          </w:tcPr>
          <w:p>
            <w:pPr>
              <w:ind w:left="80"/>
              <w:spacing w:after="0"/>
              <w:rPr>
                <w:sz w:val="20"/>
                <w:szCs w:val="20"/>
                <w:color w:val="auto"/>
              </w:rPr>
            </w:pPr>
            <w:r>
              <w:rPr>
                <w:rFonts w:ascii="Arial" w:cs="Arial" w:eastAsia="Arial" w:hAnsi="Arial"/>
                <w:sz w:val="20"/>
                <w:szCs w:val="20"/>
                <w:color w:val="auto"/>
                <w:w w:val="94"/>
              </w:rPr>
              <w:t>Supplemental Retirement Award Account</w:t>
            </w:r>
          </w:p>
        </w:tc>
        <w:tc>
          <w:tcPr>
            <w:tcW w:w="920" w:type="dxa"/>
            <w:vAlign w:val="bottom"/>
          </w:tcPr>
          <w:p>
            <w:pPr>
              <w:jc w:val="right"/>
              <w:ind w:right="694"/>
              <w:spacing w:after="0"/>
              <w:rPr>
                <w:sz w:val="20"/>
                <w:szCs w:val="20"/>
                <w:color w:val="auto"/>
              </w:rPr>
            </w:pPr>
            <w:r>
              <w:rPr>
                <w:rFonts w:ascii="Arial" w:cs="Arial" w:eastAsia="Arial" w:hAnsi="Arial"/>
                <w:sz w:val="20"/>
                <w:szCs w:val="20"/>
                <w:color w:val="auto"/>
                <w:w w:val="89"/>
              </w:rPr>
              <w:t>7</w:t>
            </w: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230"/>
        </w:trPr>
        <w:tc>
          <w:tcPr>
            <w:tcW w:w="900" w:type="dxa"/>
            <w:vAlign w:val="bottom"/>
          </w:tcPr>
          <w:p>
            <w:pPr>
              <w:ind w:left="340"/>
              <w:spacing w:after="0"/>
              <w:rPr>
                <w:sz w:val="20"/>
                <w:szCs w:val="20"/>
                <w:color w:val="auto"/>
              </w:rPr>
            </w:pPr>
            <w:r>
              <w:rPr>
                <w:rFonts w:ascii="Arial" w:cs="Arial" w:eastAsia="Arial" w:hAnsi="Arial"/>
                <w:sz w:val="20"/>
                <w:szCs w:val="20"/>
                <w:color w:val="auto"/>
              </w:rPr>
              <w:t>2.47.</w:t>
            </w:r>
          </w:p>
        </w:tc>
        <w:tc>
          <w:tcPr>
            <w:tcW w:w="2180" w:type="dxa"/>
            <w:vAlign w:val="bottom"/>
            <w:gridSpan w:val="4"/>
          </w:tcPr>
          <w:p>
            <w:pPr>
              <w:ind w:left="80"/>
              <w:spacing w:after="0"/>
              <w:rPr>
                <w:sz w:val="20"/>
                <w:szCs w:val="20"/>
                <w:color w:val="auto"/>
              </w:rPr>
            </w:pPr>
            <w:r>
              <w:rPr>
                <w:rFonts w:ascii="Arial" w:cs="Arial" w:eastAsia="Arial" w:hAnsi="Arial"/>
                <w:sz w:val="20"/>
                <w:szCs w:val="20"/>
                <w:color w:val="auto"/>
                <w:w w:val="95"/>
              </w:rPr>
              <w:t>Transitional Contribution</w:t>
            </w:r>
          </w:p>
        </w:tc>
        <w:tc>
          <w:tcPr>
            <w:tcW w:w="240" w:type="dxa"/>
            <w:vAlign w:val="bottom"/>
          </w:tcPr>
          <w:p>
            <w:pPr>
              <w:jc w:val="right"/>
              <w:spacing w:after="0"/>
              <w:rPr>
                <w:sz w:val="20"/>
                <w:szCs w:val="20"/>
                <w:color w:val="auto"/>
              </w:rPr>
            </w:pPr>
            <w:r>
              <w:rPr>
                <w:rFonts w:ascii="Arial" w:cs="Arial" w:eastAsia="Arial" w:hAnsi="Arial"/>
                <w:sz w:val="20"/>
                <w:szCs w:val="20"/>
                <w:color w:val="auto"/>
              </w:rPr>
              <w:t>7</w:t>
            </w: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230"/>
        </w:trPr>
        <w:tc>
          <w:tcPr>
            <w:tcW w:w="900" w:type="dxa"/>
            <w:vAlign w:val="bottom"/>
          </w:tcPr>
          <w:p>
            <w:pPr>
              <w:ind w:left="340"/>
              <w:spacing w:after="0"/>
              <w:rPr>
                <w:sz w:val="20"/>
                <w:szCs w:val="20"/>
                <w:color w:val="auto"/>
              </w:rPr>
            </w:pPr>
            <w:r>
              <w:rPr>
                <w:rFonts w:ascii="Arial" w:cs="Arial" w:eastAsia="Arial" w:hAnsi="Arial"/>
                <w:sz w:val="20"/>
                <w:szCs w:val="20"/>
                <w:color w:val="auto"/>
              </w:rPr>
              <w:t>2.48.</w:t>
            </w:r>
          </w:p>
        </w:tc>
        <w:tc>
          <w:tcPr>
            <w:tcW w:w="3560" w:type="dxa"/>
            <w:vAlign w:val="bottom"/>
            <w:gridSpan w:val="7"/>
          </w:tcPr>
          <w:p>
            <w:pPr>
              <w:ind w:left="80"/>
              <w:spacing w:after="0"/>
              <w:rPr>
                <w:sz w:val="20"/>
                <w:szCs w:val="20"/>
                <w:color w:val="auto"/>
              </w:rPr>
            </w:pPr>
            <w:r>
              <w:rPr>
                <w:rFonts w:ascii="Arial" w:cs="Arial" w:eastAsia="Arial" w:hAnsi="Arial"/>
                <w:sz w:val="20"/>
                <w:szCs w:val="20"/>
                <w:color w:val="auto"/>
              </w:rPr>
              <w:t>Transitional Contributions Account  7</w:t>
            </w:r>
          </w:p>
        </w:tc>
        <w:tc>
          <w:tcPr>
            <w:tcW w:w="9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250"/>
        </w:trPr>
        <w:tc>
          <w:tcPr>
            <w:tcW w:w="900" w:type="dxa"/>
            <w:vAlign w:val="bottom"/>
          </w:tcPr>
          <w:p>
            <w:pPr>
              <w:ind w:left="340"/>
              <w:spacing w:after="0"/>
              <w:rPr>
                <w:sz w:val="20"/>
                <w:szCs w:val="20"/>
                <w:color w:val="auto"/>
              </w:rPr>
            </w:pPr>
            <w:r>
              <w:rPr>
                <w:rFonts w:ascii="Arial" w:cs="Arial" w:eastAsia="Arial" w:hAnsi="Arial"/>
                <w:sz w:val="20"/>
                <w:szCs w:val="20"/>
                <w:color w:val="auto"/>
              </w:rPr>
              <w:t>2.49.</w:t>
            </w:r>
          </w:p>
        </w:tc>
        <w:tc>
          <w:tcPr>
            <w:tcW w:w="1440" w:type="dxa"/>
            <w:vAlign w:val="bottom"/>
            <w:gridSpan w:val="2"/>
          </w:tcPr>
          <w:p>
            <w:pPr>
              <w:ind w:left="80"/>
              <w:spacing w:after="0"/>
              <w:rPr>
                <w:sz w:val="20"/>
                <w:szCs w:val="20"/>
                <w:color w:val="auto"/>
              </w:rPr>
            </w:pPr>
            <w:r>
              <w:rPr>
                <w:rFonts w:ascii="Arial" w:cs="Arial" w:eastAsia="Arial" w:hAnsi="Arial"/>
                <w:sz w:val="20"/>
                <w:szCs w:val="20"/>
                <w:color w:val="auto"/>
                <w:w w:val="91"/>
              </w:rPr>
              <w:t>Years of Service</w:t>
            </w:r>
          </w:p>
        </w:tc>
        <w:tc>
          <w:tcPr>
            <w:tcW w:w="340" w:type="dxa"/>
            <w:vAlign w:val="bottom"/>
          </w:tcPr>
          <w:p>
            <w:pPr>
              <w:ind w:left="140"/>
              <w:spacing w:after="0"/>
              <w:rPr>
                <w:sz w:val="20"/>
                <w:szCs w:val="20"/>
                <w:color w:val="auto"/>
              </w:rPr>
            </w:pPr>
            <w:r>
              <w:rPr>
                <w:rFonts w:ascii="Arial" w:cs="Arial" w:eastAsia="Arial" w:hAnsi="Arial"/>
                <w:sz w:val="20"/>
                <w:szCs w:val="20"/>
                <w:color w:val="auto"/>
              </w:rPr>
              <w:t>8</w:t>
            </w: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40" w:type="dxa"/>
            <w:vAlign w:val="bottom"/>
          </w:tcPr>
          <w:p>
            <w:pPr>
              <w:spacing w:after="0"/>
              <w:rPr>
                <w:sz w:val="21"/>
                <w:szCs w:val="21"/>
                <w:color w:val="auto"/>
              </w:rPr>
            </w:pPr>
          </w:p>
        </w:tc>
      </w:tr>
      <w:tr>
        <w:trPr>
          <w:trHeight w:val="501"/>
        </w:trPr>
        <w:tc>
          <w:tcPr>
            <w:tcW w:w="1580" w:type="dxa"/>
            <w:vAlign w:val="bottom"/>
            <w:gridSpan w:val="2"/>
          </w:tcPr>
          <w:p>
            <w:pPr>
              <w:spacing w:after="0"/>
              <w:rPr>
                <w:sz w:val="20"/>
                <w:szCs w:val="20"/>
                <w:color w:val="auto"/>
              </w:rPr>
            </w:pPr>
            <w:r>
              <w:rPr>
                <w:rFonts w:ascii="Arial" w:cs="Arial" w:eastAsia="Arial" w:hAnsi="Arial"/>
                <w:sz w:val="22"/>
                <w:szCs w:val="22"/>
                <w:color w:val="auto"/>
              </w:rPr>
              <w:t>SECTION 3</w:t>
            </w: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75"/>
        </w:trPr>
        <w:tc>
          <w:tcPr>
            <w:tcW w:w="1580" w:type="dxa"/>
            <w:vAlign w:val="bottom"/>
            <w:gridSpan w:val="2"/>
          </w:tcPr>
          <w:p>
            <w:pPr>
              <w:spacing w:after="0"/>
              <w:rPr>
                <w:sz w:val="20"/>
                <w:szCs w:val="20"/>
                <w:color w:val="auto"/>
              </w:rPr>
            </w:pPr>
            <w:r>
              <w:rPr>
                <w:rFonts w:ascii="Arial" w:cs="Arial" w:eastAsia="Arial" w:hAnsi="Arial"/>
                <w:sz w:val="22"/>
                <w:szCs w:val="22"/>
                <w:color w:val="auto"/>
              </w:rPr>
              <w:t>Participants  8</w:t>
            </w:r>
          </w:p>
        </w:tc>
        <w:tc>
          <w:tcPr>
            <w:tcW w:w="7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40" w:type="dxa"/>
            <w:vAlign w:val="bottom"/>
          </w:tcPr>
          <w:p>
            <w:pPr>
              <w:spacing w:after="0"/>
              <w:rPr>
                <w:sz w:val="23"/>
                <w:szCs w:val="23"/>
                <w:color w:val="auto"/>
              </w:rPr>
            </w:pPr>
          </w:p>
        </w:tc>
      </w:tr>
      <w:tr>
        <w:trPr>
          <w:trHeight w:val="495"/>
        </w:trPr>
        <w:tc>
          <w:tcPr>
            <w:tcW w:w="1580" w:type="dxa"/>
            <w:vAlign w:val="bottom"/>
            <w:gridSpan w:val="2"/>
          </w:tcPr>
          <w:p>
            <w:pPr>
              <w:spacing w:after="0"/>
              <w:rPr>
                <w:sz w:val="20"/>
                <w:szCs w:val="20"/>
                <w:color w:val="auto"/>
              </w:rPr>
            </w:pPr>
            <w:r>
              <w:rPr>
                <w:rFonts w:ascii="Arial" w:cs="Arial" w:eastAsia="Arial" w:hAnsi="Arial"/>
                <w:sz w:val="22"/>
                <w:szCs w:val="22"/>
                <w:color w:val="auto"/>
              </w:rPr>
              <w:t>SECTION 4</w:t>
            </w: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57"/>
        </w:trPr>
        <w:tc>
          <w:tcPr>
            <w:tcW w:w="900" w:type="dxa"/>
            <w:vAlign w:val="bottom"/>
          </w:tcPr>
          <w:p>
            <w:pPr>
              <w:spacing w:after="0"/>
              <w:rPr>
                <w:sz w:val="20"/>
                <w:szCs w:val="20"/>
                <w:color w:val="auto"/>
              </w:rPr>
            </w:pPr>
            <w:r>
              <w:rPr>
                <w:rFonts w:ascii="Arial" w:cs="Arial" w:eastAsia="Arial" w:hAnsi="Arial"/>
                <w:sz w:val="22"/>
                <w:szCs w:val="22"/>
                <w:color w:val="auto"/>
                <w:w w:val="97"/>
              </w:rPr>
              <w:t>Accounts</w:t>
            </w:r>
          </w:p>
        </w:tc>
        <w:tc>
          <w:tcPr>
            <w:tcW w:w="680" w:type="dxa"/>
            <w:vAlign w:val="bottom"/>
          </w:tcPr>
          <w:p>
            <w:pPr>
              <w:ind w:left="140"/>
              <w:spacing w:after="0"/>
              <w:rPr>
                <w:sz w:val="20"/>
                <w:szCs w:val="20"/>
                <w:color w:val="auto"/>
              </w:rPr>
            </w:pPr>
            <w:r>
              <w:rPr>
                <w:rFonts w:ascii="Arial" w:cs="Arial" w:eastAsia="Arial" w:hAnsi="Arial"/>
                <w:sz w:val="22"/>
                <w:szCs w:val="22"/>
                <w:color w:val="auto"/>
              </w:rPr>
              <w:t>8</w:t>
            </w:r>
          </w:p>
        </w:tc>
        <w:tc>
          <w:tcPr>
            <w:tcW w:w="7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40" w:type="dxa"/>
            <w:vAlign w:val="bottom"/>
          </w:tcPr>
          <w:p>
            <w:pPr>
              <w:spacing w:after="0"/>
              <w:rPr>
                <w:sz w:val="22"/>
                <w:szCs w:val="22"/>
                <w:color w:val="auto"/>
              </w:rPr>
            </w:pPr>
          </w:p>
        </w:tc>
      </w:tr>
      <w:tr>
        <w:trPr>
          <w:trHeight w:val="257"/>
        </w:trPr>
        <w:tc>
          <w:tcPr>
            <w:tcW w:w="900" w:type="dxa"/>
            <w:vAlign w:val="bottom"/>
          </w:tcPr>
          <w:p>
            <w:pPr>
              <w:ind w:left="340"/>
              <w:spacing w:after="0"/>
              <w:rPr>
                <w:sz w:val="20"/>
                <w:szCs w:val="20"/>
                <w:color w:val="auto"/>
              </w:rPr>
            </w:pPr>
            <w:r>
              <w:rPr>
                <w:rFonts w:ascii="Arial" w:cs="Arial" w:eastAsia="Arial" w:hAnsi="Arial"/>
                <w:sz w:val="22"/>
                <w:szCs w:val="22"/>
                <w:color w:val="auto"/>
              </w:rPr>
              <w:t>4.1.</w:t>
            </w:r>
          </w:p>
        </w:tc>
        <w:tc>
          <w:tcPr>
            <w:tcW w:w="2420" w:type="dxa"/>
            <w:vAlign w:val="bottom"/>
            <w:gridSpan w:val="5"/>
          </w:tcPr>
          <w:p>
            <w:pPr>
              <w:ind w:left="80"/>
              <w:spacing w:after="0"/>
              <w:rPr>
                <w:sz w:val="20"/>
                <w:szCs w:val="20"/>
                <w:color w:val="auto"/>
              </w:rPr>
            </w:pPr>
            <w:r>
              <w:rPr>
                <w:rFonts w:ascii="Arial" w:cs="Arial" w:eastAsia="Arial" w:hAnsi="Arial"/>
                <w:sz w:val="22"/>
                <w:szCs w:val="22"/>
                <w:color w:val="auto"/>
                <w:w w:val="89"/>
              </w:rPr>
              <w:t>Establishment of Accounts</w:t>
            </w:r>
          </w:p>
        </w:tc>
        <w:tc>
          <w:tcPr>
            <w:tcW w:w="420" w:type="dxa"/>
            <w:vAlign w:val="bottom"/>
          </w:tcPr>
          <w:p>
            <w:pPr>
              <w:jc w:val="right"/>
              <w:spacing w:after="0"/>
              <w:rPr>
                <w:sz w:val="20"/>
                <w:szCs w:val="20"/>
                <w:color w:val="auto"/>
              </w:rPr>
            </w:pPr>
            <w:r>
              <w:rPr>
                <w:rFonts w:ascii="Arial" w:cs="Arial" w:eastAsia="Arial" w:hAnsi="Arial"/>
                <w:sz w:val="22"/>
                <w:szCs w:val="22"/>
                <w:color w:val="auto"/>
              </w:rPr>
              <w:t>8</w:t>
            </w:r>
          </w:p>
        </w:tc>
        <w:tc>
          <w:tcPr>
            <w:tcW w:w="7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40" w:type="dxa"/>
            <w:vAlign w:val="bottom"/>
          </w:tcPr>
          <w:p>
            <w:pPr>
              <w:spacing w:after="0"/>
              <w:rPr>
                <w:sz w:val="22"/>
                <w:szCs w:val="22"/>
                <w:color w:val="auto"/>
              </w:rPr>
            </w:pPr>
          </w:p>
        </w:tc>
      </w:tr>
      <w:tr>
        <w:trPr>
          <w:trHeight w:val="257"/>
        </w:trPr>
        <w:tc>
          <w:tcPr>
            <w:tcW w:w="900" w:type="dxa"/>
            <w:vAlign w:val="bottom"/>
          </w:tcPr>
          <w:p>
            <w:pPr>
              <w:ind w:left="340"/>
              <w:spacing w:after="0"/>
              <w:rPr>
                <w:sz w:val="20"/>
                <w:szCs w:val="20"/>
                <w:color w:val="auto"/>
              </w:rPr>
            </w:pPr>
            <w:r>
              <w:rPr>
                <w:rFonts w:ascii="Arial" w:cs="Arial" w:eastAsia="Arial" w:hAnsi="Arial"/>
                <w:sz w:val="22"/>
                <w:szCs w:val="22"/>
                <w:color w:val="auto"/>
              </w:rPr>
              <w:t>4.2.</w:t>
            </w:r>
          </w:p>
        </w:tc>
        <w:tc>
          <w:tcPr>
            <w:tcW w:w="4840" w:type="dxa"/>
            <w:vAlign w:val="bottom"/>
            <w:gridSpan w:val="9"/>
          </w:tcPr>
          <w:p>
            <w:pPr>
              <w:ind w:left="80"/>
              <w:spacing w:after="0"/>
              <w:rPr>
                <w:sz w:val="20"/>
                <w:szCs w:val="20"/>
                <w:color w:val="auto"/>
              </w:rPr>
            </w:pPr>
            <w:r>
              <w:rPr>
                <w:rFonts w:ascii="Arial" w:cs="Arial" w:eastAsia="Arial" w:hAnsi="Arial"/>
                <w:sz w:val="22"/>
                <w:szCs w:val="22"/>
                <w:color w:val="auto"/>
                <w:w w:val="93"/>
              </w:rPr>
              <w:t>Election of Participant to Defer Performance Awards</w:t>
            </w:r>
          </w:p>
        </w:tc>
        <w:tc>
          <w:tcPr>
            <w:tcW w:w="240" w:type="dxa"/>
            <w:vAlign w:val="bottom"/>
          </w:tcPr>
          <w:p>
            <w:pPr>
              <w:ind w:left="40"/>
              <w:spacing w:after="0"/>
              <w:rPr>
                <w:sz w:val="20"/>
                <w:szCs w:val="20"/>
                <w:color w:val="auto"/>
              </w:rPr>
            </w:pPr>
            <w:r>
              <w:rPr>
                <w:rFonts w:ascii="Arial" w:cs="Arial" w:eastAsia="Arial" w:hAnsi="Arial"/>
                <w:sz w:val="22"/>
                <w:szCs w:val="22"/>
                <w:color w:val="auto"/>
              </w:rPr>
              <w:t>8</w:t>
            </w:r>
          </w:p>
        </w:tc>
      </w:tr>
      <w:tr>
        <w:trPr>
          <w:trHeight w:val="257"/>
        </w:trPr>
        <w:tc>
          <w:tcPr>
            <w:tcW w:w="900" w:type="dxa"/>
            <w:vAlign w:val="bottom"/>
          </w:tcPr>
          <w:p>
            <w:pPr>
              <w:ind w:left="340"/>
              <w:spacing w:after="0"/>
              <w:rPr>
                <w:sz w:val="20"/>
                <w:szCs w:val="20"/>
                <w:color w:val="auto"/>
              </w:rPr>
            </w:pPr>
            <w:r>
              <w:rPr>
                <w:rFonts w:ascii="Arial" w:cs="Arial" w:eastAsia="Arial" w:hAnsi="Arial"/>
                <w:sz w:val="22"/>
                <w:szCs w:val="22"/>
                <w:color w:val="auto"/>
              </w:rPr>
              <w:t>4.3.</w:t>
            </w:r>
          </w:p>
        </w:tc>
        <w:tc>
          <w:tcPr>
            <w:tcW w:w="4480" w:type="dxa"/>
            <w:vAlign w:val="bottom"/>
            <w:gridSpan w:val="8"/>
          </w:tcPr>
          <w:p>
            <w:pPr>
              <w:ind w:left="80"/>
              <w:spacing w:after="0"/>
              <w:rPr>
                <w:sz w:val="20"/>
                <w:szCs w:val="20"/>
                <w:color w:val="auto"/>
              </w:rPr>
            </w:pPr>
            <w:r>
              <w:rPr>
                <w:rFonts w:ascii="Arial" w:cs="Arial" w:eastAsia="Arial" w:hAnsi="Arial"/>
                <w:sz w:val="22"/>
                <w:szCs w:val="22"/>
                <w:color w:val="auto"/>
                <w:w w:val="98"/>
              </w:rPr>
              <w:t>Election of Participant to Defer Base Salary  9</w:t>
            </w:r>
          </w:p>
        </w:tc>
        <w:tc>
          <w:tcPr>
            <w:tcW w:w="360" w:type="dxa"/>
            <w:vAlign w:val="bottom"/>
          </w:tcPr>
          <w:p>
            <w:pPr>
              <w:spacing w:after="0"/>
              <w:rPr>
                <w:sz w:val="22"/>
                <w:szCs w:val="22"/>
                <w:color w:val="auto"/>
              </w:rPr>
            </w:pPr>
          </w:p>
        </w:tc>
        <w:tc>
          <w:tcPr>
            <w:tcW w:w="240" w:type="dxa"/>
            <w:vAlign w:val="bottom"/>
          </w:tcPr>
          <w:p>
            <w:pPr>
              <w:spacing w:after="0"/>
              <w:rPr>
                <w:sz w:val="22"/>
                <w:szCs w:val="22"/>
                <w:color w:val="auto"/>
              </w:rPr>
            </w:pPr>
          </w:p>
        </w:tc>
      </w:tr>
      <w:tr>
        <w:trPr>
          <w:trHeight w:val="257"/>
        </w:trPr>
        <w:tc>
          <w:tcPr>
            <w:tcW w:w="900" w:type="dxa"/>
            <w:vAlign w:val="bottom"/>
          </w:tcPr>
          <w:p>
            <w:pPr>
              <w:ind w:left="340"/>
              <w:spacing w:after="0"/>
              <w:rPr>
                <w:sz w:val="20"/>
                <w:szCs w:val="20"/>
                <w:color w:val="auto"/>
              </w:rPr>
            </w:pPr>
            <w:r>
              <w:rPr>
                <w:rFonts w:ascii="Arial" w:cs="Arial" w:eastAsia="Arial" w:hAnsi="Arial"/>
                <w:sz w:val="22"/>
                <w:szCs w:val="22"/>
                <w:color w:val="auto"/>
              </w:rPr>
              <w:t>4.4.</w:t>
            </w:r>
          </w:p>
        </w:tc>
        <w:tc>
          <w:tcPr>
            <w:tcW w:w="2180" w:type="dxa"/>
            <w:vAlign w:val="bottom"/>
            <w:gridSpan w:val="4"/>
          </w:tcPr>
          <w:p>
            <w:pPr>
              <w:ind w:left="80"/>
              <w:spacing w:after="0"/>
              <w:rPr>
                <w:sz w:val="20"/>
                <w:szCs w:val="20"/>
                <w:color w:val="auto"/>
              </w:rPr>
            </w:pPr>
            <w:r>
              <w:rPr>
                <w:rFonts w:ascii="Arial" w:cs="Arial" w:eastAsia="Arial" w:hAnsi="Arial"/>
                <w:sz w:val="22"/>
                <w:szCs w:val="22"/>
                <w:color w:val="auto"/>
                <w:w w:val="90"/>
              </w:rPr>
              <w:t>Employer Contributions</w:t>
            </w:r>
          </w:p>
        </w:tc>
        <w:tc>
          <w:tcPr>
            <w:tcW w:w="660" w:type="dxa"/>
            <w:vAlign w:val="bottom"/>
            <w:gridSpan w:val="2"/>
          </w:tcPr>
          <w:p>
            <w:pPr>
              <w:jc w:val="right"/>
              <w:ind w:right="132"/>
              <w:spacing w:after="0"/>
              <w:rPr>
                <w:sz w:val="20"/>
                <w:szCs w:val="20"/>
                <w:color w:val="auto"/>
              </w:rPr>
            </w:pPr>
            <w:r>
              <w:rPr>
                <w:rFonts w:ascii="Arial" w:cs="Arial" w:eastAsia="Arial" w:hAnsi="Arial"/>
                <w:sz w:val="22"/>
                <w:szCs w:val="22"/>
                <w:color w:val="auto"/>
              </w:rPr>
              <w:t>10</w:t>
            </w:r>
          </w:p>
        </w:tc>
        <w:tc>
          <w:tcPr>
            <w:tcW w:w="7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40" w:type="dxa"/>
            <w:vAlign w:val="bottom"/>
          </w:tcPr>
          <w:p>
            <w:pPr>
              <w:spacing w:after="0"/>
              <w:rPr>
                <w:sz w:val="22"/>
                <w:szCs w:val="22"/>
                <w:color w:val="auto"/>
              </w:rPr>
            </w:pPr>
          </w:p>
        </w:tc>
      </w:tr>
      <w:tr>
        <w:trPr>
          <w:trHeight w:val="257"/>
        </w:trPr>
        <w:tc>
          <w:tcPr>
            <w:tcW w:w="900" w:type="dxa"/>
            <w:vAlign w:val="bottom"/>
          </w:tcPr>
          <w:p>
            <w:pPr>
              <w:ind w:left="340"/>
              <w:spacing w:after="0"/>
              <w:rPr>
                <w:sz w:val="20"/>
                <w:szCs w:val="20"/>
                <w:color w:val="auto"/>
              </w:rPr>
            </w:pPr>
            <w:r>
              <w:rPr>
                <w:rFonts w:ascii="Arial" w:cs="Arial" w:eastAsia="Arial" w:hAnsi="Arial"/>
                <w:sz w:val="22"/>
                <w:szCs w:val="22"/>
                <w:color w:val="auto"/>
              </w:rPr>
              <w:t>4.5.</w:t>
            </w:r>
          </w:p>
        </w:tc>
        <w:tc>
          <w:tcPr>
            <w:tcW w:w="2840" w:type="dxa"/>
            <w:vAlign w:val="bottom"/>
            <w:gridSpan w:val="6"/>
          </w:tcPr>
          <w:p>
            <w:pPr>
              <w:ind w:left="80"/>
              <w:spacing w:after="0"/>
              <w:rPr>
                <w:sz w:val="20"/>
                <w:szCs w:val="20"/>
                <w:color w:val="auto"/>
              </w:rPr>
            </w:pPr>
            <w:r>
              <w:rPr>
                <w:rFonts w:ascii="Arial" w:cs="Arial" w:eastAsia="Arial" w:hAnsi="Arial"/>
                <w:sz w:val="22"/>
                <w:szCs w:val="22"/>
                <w:color w:val="auto"/>
                <w:w w:val="93"/>
              </w:rPr>
              <w:t>Benchmark Investment Funds</w:t>
            </w:r>
          </w:p>
        </w:tc>
        <w:tc>
          <w:tcPr>
            <w:tcW w:w="720" w:type="dxa"/>
            <w:vAlign w:val="bottom"/>
          </w:tcPr>
          <w:p>
            <w:pPr>
              <w:jc w:val="right"/>
              <w:ind w:right="354"/>
              <w:spacing w:after="0"/>
              <w:rPr>
                <w:sz w:val="20"/>
                <w:szCs w:val="20"/>
                <w:color w:val="auto"/>
              </w:rPr>
            </w:pPr>
            <w:r>
              <w:rPr>
                <w:rFonts w:ascii="Arial" w:cs="Arial" w:eastAsia="Arial" w:hAnsi="Arial"/>
                <w:sz w:val="22"/>
                <w:szCs w:val="22"/>
                <w:color w:val="auto"/>
                <w:w w:val="97"/>
              </w:rPr>
              <w:t>11</w:t>
            </w:r>
          </w:p>
        </w:tc>
        <w:tc>
          <w:tcPr>
            <w:tcW w:w="9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40" w:type="dxa"/>
            <w:vAlign w:val="bottom"/>
          </w:tcPr>
          <w:p>
            <w:pPr>
              <w:spacing w:after="0"/>
              <w:rPr>
                <w:sz w:val="22"/>
                <w:szCs w:val="22"/>
                <w:color w:val="auto"/>
              </w:rPr>
            </w:pPr>
          </w:p>
        </w:tc>
      </w:tr>
      <w:tr>
        <w:trPr>
          <w:trHeight w:val="257"/>
        </w:trPr>
        <w:tc>
          <w:tcPr>
            <w:tcW w:w="900" w:type="dxa"/>
            <w:vAlign w:val="bottom"/>
          </w:tcPr>
          <w:p>
            <w:pPr>
              <w:ind w:left="340"/>
              <w:spacing w:after="0"/>
              <w:rPr>
                <w:sz w:val="20"/>
                <w:szCs w:val="20"/>
                <w:color w:val="auto"/>
              </w:rPr>
            </w:pPr>
            <w:r>
              <w:rPr>
                <w:rFonts w:ascii="Arial" w:cs="Arial" w:eastAsia="Arial" w:hAnsi="Arial"/>
                <w:sz w:val="22"/>
                <w:szCs w:val="22"/>
                <w:color w:val="auto"/>
              </w:rPr>
              <w:t>4.6.</w:t>
            </w:r>
          </w:p>
        </w:tc>
        <w:tc>
          <w:tcPr>
            <w:tcW w:w="3560" w:type="dxa"/>
            <w:vAlign w:val="bottom"/>
            <w:gridSpan w:val="7"/>
          </w:tcPr>
          <w:p>
            <w:pPr>
              <w:ind w:left="80"/>
              <w:spacing w:after="0"/>
              <w:rPr>
                <w:sz w:val="20"/>
                <w:szCs w:val="20"/>
                <w:color w:val="auto"/>
              </w:rPr>
            </w:pPr>
            <w:r>
              <w:rPr>
                <w:rFonts w:ascii="Arial" w:cs="Arial" w:eastAsia="Arial" w:hAnsi="Arial"/>
                <w:sz w:val="22"/>
                <w:szCs w:val="22"/>
                <w:color w:val="auto"/>
                <w:w w:val="92"/>
              </w:rPr>
              <w:t>Outside Benchmark Investment Funds</w:t>
            </w:r>
          </w:p>
        </w:tc>
        <w:tc>
          <w:tcPr>
            <w:tcW w:w="920" w:type="dxa"/>
            <w:vAlign w:val="bottom"/>
          </w:tcPr>
          <w:p>
            <w:pPr>
              <w:jc w:val="right"/>
              <w:ind w:right="554"/>
              <w:spacing w:after="0"/>
              <w:rPr>
                <w:sz w:val="20"/>
                <w:szCs w:val="20"/>
                <w:color w:val="auto"/>
              </w:rPr>
            </w:pPr>
            <w:r>
              <w:rPr>
                <w:rFonts w:ascii="Arial" w:cs="Arial" w:eastAsia="Arial" w:hAnsi="Arial"/>
                <w:sz w:val="22"/>
                <w:szCs w:val="22"/>
                <w:color w:val="auto"/>
                <w:w w:val="97"/>
              </w:rPr>
              <w:t>11</w:t>
            </w:r>
          </w:p>
        </w:tc>
        <w:tc>
          <w:tcPr>
            <w:tcW w:w="360" w:type="dxa"/>
            <w:vAlign w:val="bottom"/>
          </w:tcPr>
          <w:p>
            <w:pPr>
              <w:spacing w:after="0"/>
              <w:rPr>
                <w:sz w:val="22"/>
                <w:szCs w:val="22"/>
                <w:color w:val="auto"/>
              </w:rPr>
            </w:pPr>
          </w:p>
        </w:tc>
        <w:tc>
          <w:tcPr>
            <w:tcW w:w="240" w:type="dxa"/>
            <w:vAlign w:val="bottom"/>
          </w:tcPr>
          <w:p>
            <w:pPr>
              <w:spacing w:after="0"/>
              <w:rPr>
                <w:sz w:val="22"/>
                <w:szCs w:val="22"/>
                <w:color w:val="auto"/>
              </w:rPr>
            </w:pPr>
          </w:p>
        </w:tc>
      </w:tr>
      <w:tr>
        <w:trPr>
          <w:trHeight w:val="257"/>
        </w:trPr>
        <w:tc>
          <w:tcPr>
            <w:tcW w:w="900" w:type="dxa"/>
            <w:vAlign w:val="bottom"/>
          </w:tcPr>
          <w:p>
            <w:pPr>
              <w:ind w:left="340"/>
              <w:spacing w:after="0"/>
              <w:rPr>
                <w:sz w:val="20"/>
                <w:szCs w:val="20"/>
                <w:color w:val="auto"/>
              </w:rPr>
            </w:pPr>
            <w:r>
              <w:rPr>
                <w:rFonts w:ascii="Arial" w:cs="Arial" w:eastAsia="Arial" w:hAnsi="Arial"/>
                <w:sz w:val="22"/>
                <w:szCs w:val="22"/>
                <w:color w:val="auto"/>
              </w:rPr>
              <w:t>4.7.</w:t>
            </w:r>
          </w:p>
        </w:tc>
        <w:tc>
          <w:tcPr>
            <w:tcW w:w="2180" w:type="dxa"/>
            <w:vAlign w:val="bottom"/>
            <w:gridSpan w:val="4"/>
          </w:tcPr>
          <w:p>
            <w:pPr>
              <w:ind w:left="80"/>
              <w:spacing w:after="0"/>
              <w:rPr>
                <w:sz w:val="20"/>
                <w:szCs w:val="20"/>
                <w:color w:val="auto"/>
              </w:rPr>
            </w:pPr>
            <w:r>
              <w:rPr>
                <w:rFonts w:ascii="Arial" w:cs="Arial" w:eastAsia="Arial" w:hAnsi="Arial"/>
                <w:sz w:val="22"/>
                <w:szCs w:val="22"/>
                <w:color w:val="auto"/>
                <w:w w:val="98"/>
              </w:rPr>
              <w:t>Company Stock Fund</w:t>
            </w:r>
          </w:p>
        </w:tc>
        <w:tc>
          <w:tcPr>
            <w:tcW w:w="240" w:type="dxa"/>
            <w:vAlign w:val="bottom"/>
          </w:tcPr>
          <w:p>
            <w:pPr>
              <w:jc w:val="right"/>
              <w:spacing w:after="0"/>
              <w:rPr>
                <w:sz w:val="20"/>
                <w:szCs w:val="20"/>
                <w:color w:val="auto"/>
              </w:rPr>
            </w:pPr>
            <w:r>
              <w:rPr>
                <w:rFonts w:ascii="Arial" w:cs="Arial" w:eastAsia="Arial" w:hAnsi="Arial"/>
                <w:sz w:val="22"/>
                <w:szCs w:val="22"/>
                <w:color w:val="auto"/>
                <w:w w:val="73"/>
              </w:rPr>
              <w:t>11</w:t>
            </w:r>
          </w:p>
        </w:tc>
        <w:tc>
          <w:tcPr>
            <w:tcW w:w="4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40" w:type="dxa"/>
            <w:vAlign w:val="bottom"/>
          </w:tcPr>
          <w:p>
            <w:pPr>
              <w:spacing w:after="0"/>
              <w:rPr>
                <w:sz w:val="22"/>
                <w:szCs w:val="22"/>
                <w:color w:val="auto"/>
              </w:rPr>
            </w:pPr>
          </w:p>
        </w:tc>
      </w:tr>
      <w:tr>
        <w:trPr>
          <w:trHeight w:val="257"/>
        </w:trPr>
        <w:tc>
          <w:tcPr>
            <w:tcW w:w="900" w:type="dxa"/>
            <w:vAlign w:val="bottom"/>
          </w:tcPr>
          <w:p>
            <w:pPr>
              <w:ind w:left="340"/>
              <w:spacing w:after="0"/>
              <w:rPr>
                <w:sz w:val="20"/>
                <w:szCs w:val="20"/>
                <w:color w:val="auto"/>
              </w:rPr>
            </w:pPr>
            <w:r>
              <w:rPr>
                <w:rFonts w:ascii="Arial" w:cs="Arial" w:eastAsia="Arial" w:hAnsi="Arial"/>
                <w:sz w:val="22"/>
                <w:szCs w:val="22"/>
                <w:color w:val="auto"/>
              </w:rPr>
              <w:t>4.8.</w:t>
            </w:r>
          </w:p>
        </w:tc>
        <w:tc>
          <w:tcPr>
            <w:tcW w:w="4480" w:type="dxa"/>
            <w:vAlign w:val="bottom"/>
            <w:gridSpan w:val="8"/>
          </w:tcPr>
          <w:p>
            <w:pPr>
              <w:ind w:left="80"/>
              <w:spacing w:after="0"/>
              <w:rPr>
                <w:sz w:val="20"/>
                <w:szCs w:val="20"/>
                <w:color w:val="auto"/>
              </w:rPr>
            </w:pPr>
            <w:r>
              <w:rPr>
                <w:rFonts w:ascii="Arial" w:cs="Arial" w:eastAsia="Arial" w:hAnsi="Arial"/>
                <w:sz w:val="22"/>
                <w:szCs w:val="22"/>
                <w:color w:val="auto"/>
                <w:w w:val="90"/>
              </w:rPr>
              <w:t>Adjustment of Account Balances and Other Rules</w:t>
            </w:r>
          </w:p>
        </w:tc>
        <w:tc>
          <w:tcPr>
            <w:tcW w:w="360" w:type="dxa"/>
            <w:vAlign w:val="bottom"/>
          </w:tcPr>
          <w:p>
            <w:pPr>
              <w:jc w:val="right"/>
              <w:spacing w:after="0"/>
              <w:rPr>
                <w:sz w:val="20"/>
                <w:szCs w:val="20"/>
                <w:color w:val="auto"/>
              </w:rPr>
            </w:pPr>
            <w:r>
              <w:rPr>
                <w:rFonts w:ascii="Arial" w:cs="Arial" w:eastAsia="Arial" w:hAnsi="Arial"/>
                <w:sz w:val="22"/>
                <w:szCs w:val="22"/>
                <w:color w:val="auto"/>
              </w:rPr>
              <w:t>11</w:t>
            </w:r>
          </w:p>
        </w:tc>
        <w:tc>
          <w:tcPr>
            <w:tcW w:w="240" w:type="dxa"/>
            <w:vAlign w:val="bottom"/>
          </w:tcPr>
          <w:p>
            <w:pPr>
              <w:spacing w:after="0"/>
              <w:rPr>
                <w:sz w:val="22"/>
                <w:szCs w:val="22"/>
                <w:color w:val="auto"/>
              </w:rPr>
            </w:pPr>
          </w:p>
        </w:tc>
      </w:tr>
      <w:tr>
        <w:trPr>
          <w:trHeight w:val="275"/>
        </w:trPr>
        <w:tc>
          <w:tcPr>
            <w:tcW w:w="900" w:type="dxa"/>
            <w:vAlign w:val="bottom"/>
          </w:tcPr>
          <w:p>
            <w:pPr>
              <w:ind w:left="340"/>
              <w:spacing w:after="0"/>
              <w:rPr>
                <w:sz w:val="20"/>
                <w:szCs w:val="20"/>
                <w:color w:val="auto"/>
              </w:rPr>
            </w:pPr>
            <w:r>
              <w:rPr>
                <w:rFonts w:ascii="Arial" w:cs="Arial" w:eastAsia="Arial" w:hAnsi="Arial"/>
                <w:sz w:val="22"/>
                <w:szCs w:val="22"/>
                <w:color w:val="auto"/>
              </w:rPr>
              <w:t>4.9.</w:t>
            </w:r>
          </w:p>
        </w:tc>
        <w:tc>
          <w:tcPr>
            <w:tcW w:w="680" w:type="dxa"/>
            <w:vAlign w:val="bottom"/>
          </w:tcPr>
          <w:p>
            <w:pPr>
              <w:ind w:left="80"/>
              <w:spacing w:after="0"/>
              <w:rPr>
                <w:sz w:val="20"/>
                <w:szCs w:val="20"/>
                <w:color w:val="auto"/>
              </w:rPr>
            </w:pPr>
            <w:r>
              <w:rPr>
                <w:rFonts w:ascii="Arial" w:cs="Arial" w:eastAsia="Arial" w:hAnsi="Arial"/>
                <w:sz w:val="22"/>
                <w:szCs w:val="22"/>
                <w:color w:val="auto"/>
              </w:rPr>
              <w:t>FICA</w:t>
            </w:r>
          </w:p>
        </w:tc>
        <w:tc>
          <w:tcPr>
            <w:tcW w:w="760" w:type="dxa"/>
            <w:vAlign w:val="bottom"/>
          </w:tcPr>
          <w:p>
            <w:pPr>
              <w:jc w:val="right"/>
              <w:ind w:right="332"/>
              <w:spacing w:after="0"/>
              <w:rPr>
                <w:sz w:val="20"/>
                <w:szCs w:val="20"/>
                <w:color w:val="auto"/>
              </w:rPr>
            </w:pPr>
            <w:r>
              <w:rPr>
                <w:rFonts w:ascii="Arial" w:cs="Arial" w:eastAsia="Arial" w:hAnsi="Arial"/>
                <w:sz w:val="22"/>
                <w:szCs w:val="22"/>
                <w:color w:val="auto"/>
              </w:rPr>
              <w:t>12</w:t>
            </w:r>
          </w:p>
        </w:tc>
        <w:tc>
          <w:tcPr>
            <w:tcW w:w="3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40" w:type="dxa"/>
            <w:vAlign w:val="bottom"/>
          </w:tcPr>
          <w:p>
            <w:pPr>
              <w:spacing w:after="0"/>
              <w:rPr>
                <w:sz w:val="23"/>
                <w:szCs w:val="23"/>
                <w:color w:val="auto"/>
              </w:rPr>
            </w:pPr>
          </w:p>
        </w:tc>
      </w:tr>
      <w:tr>
        <w:trPr>
          <w:trHeight w:val="495"/>
        </w:trPr>
        <w:tc>
          <w:tcPr>
            <w:tcW w:w="1580" w:type="dxa"/>
            <w:vAlign w:val="bottom"/>
            <w:gridSpan w:val="2"/>
          </w:tcPr>
          <w:p>
            <w:pPr>
              <w:spacing w:after="0"/>
              <w:rPr>
                <w:sz w:val="20"/>
                <w:szCs w:val="20"/>
                <w:color w:val="auto"/>
              </w:rPr>
            </w:pPr>
            <w:r>
              <w:rPr>
                <w:rFonts w:ascii="Arial" w:cs="Arial" w:eastAsia="Arial" w:hAnsi="Arial"/>
                <w:sz w:val="22"/>
                <w:szCs w:val="22"/>
                <w:color w:val="auto"/>
              </w:rPr>
              <w:t>SECTION 5</w:t>
            </w: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57"/>
        </w:trPr>
        <w:tc>
          <w:tcPr>
            <w:tcW w:w="4460" w:type="dxa"/>
            <w:vAlign w:val="bottom"/>
            <w:gridSpan w:val="8"/>
          </w:tcPr>
          <w:p>
            <w:pPr>
              <w:spacing w:after="0"/>
              <w:rPr>
                <w:sz w:val="20"/>
                <w:szCs w:val="20"/>
                <w:color w:val="auto"/>
              </w:rPr>
            </w:pPr>
            <w:r>
              <w:rPr>
                <w:rFonts w:ascii="Arial" w:cs="Arial" w:eastAsia="Arial" w:hAnsi="Arial"/>
                <w:sz w:val="22"/>
                <w:szCs w:val="22"/>
                <w:color w:val="auto"/>
                <w:w w:val="92"/>
              </w:rPr>
              <w:t>Method of Distribution of Deferred Compensation</w:t>
            </w:r>
          </w:p>
        </w:tc>
        <w:tc>
          <w:tcPr>
            <w:tcW w:w="920" w:type="dxa"/>
            <w:vAlign w:val="bottom"/>
          </w:tcPr>
          <w:p>
            <w:pPr>
              <w:jc w:val="right"/>
              <w:ind w:right="474"/>
              <w:spacing w:after="0"/>
              <w:rPr>
                <w:sz w:val="20"/>
                <w:szCs w:val="20"/>
                <w:color w:val="auto"/>
              </w:rPr>
            </w:pPr>
            <w:r>
              <w:rPr>
                <w:rFonts w:ascii="Arial" w:cs="Arial" w:eastAsia="Arial" w:hAnsi="Arial"/>
                <w:sz w:val="22"/>
                <w:szCs w:val="22"/>
                <w:color w:val="auto"/>
              </w:rPr>
              <w:t>12</w:t>
            </w:r>
          </w:p>
        </w:tc>
        <w:tc>
          <w:tcPr>
            <w:tcW w:w="360" w:type="dxa"/>
            <w:vAlign w:val="bottom"/>
          </w:tcPr>
          <w:p>
            <w:pPr>
              <w:spacing w:after="0"/>
              <w:rPr>
                <w:sz w:val="22"/>
                <w:szCs w:val="22"/>
                <w:color w:val="auto"/>
              </w:rPr>
            </w:pPr>
          </w:p>
        </w:tc>
        <w:tc>
          <w:tcPr>
            <w:tcW w:w="240" w:type="dxa"/>
            <w:vAlign w:val="bottom"/>
          </w:tcPr>
          <w:p>
            <w:pPr>
              <w:spacing w:after="0"/>
              <w:rPr>
                <w:sz w:val="22"/>
                <w:szCs w:val="22"/>
                <w:color w:val="auto"/>
              </w:rPr>
            </w:pPr>
          </w:p>
        </w:tc>
      </w:tr>
      <w:tr>
        <w:trPr>
          <w:trHeight w:val="257"/>
        </w:trPr>
        <w:tc>
          <w:tcPr>
            <w:tcW w:w="900" w:type="dxa"/>
            <w:vAlign w:val="bottom"/>
          </w:tcPr>
          <w:p>
            <w:pPr>
              <w:ind w:left="340"/>
              <w:spacing w:after="0"/>
              <w:rPr>
                <w:sz w:val="20"/>
                <w:szCs w:val="20"/>
                <w:color w:val="auto"/>
              </w:rPr>
            </w:pPr>
            <w:r>
              <w:rPr>
                <w:rFonts w:ascii="Arial" w:cs="Arial" w:eastAsia="Arial" w:hAnsi="Arial"/>
                <w:sz w:val="22"/>
                <w:szCs w:val="22"/>
                <w:color w:val="auto"/>
              </w:rPr>
              <w:t>5.1.</w:t>
            </w:r>
          </w:p>
        </w:tc>
        <w:tc>
          <w:tcPr>
            <w:tcW w:w="2840" w:type="dxa"/>
            <w:vAlign w:val="bottom"/>
            <w:gridSpan w:val="6"/>
          </w:tcPr>
          <w:p>
            <w:pPr>
              <w:ind w:left="80"/>
              <w:spacing w:after="0"/>
              <w:rPr>
                <w:sz w:val="20"/>
                <w:szCs w:val="20"/>
                <w:color w:val="auto"/>
              </w:rPr>
            </w:pPr>
            <w:r>
              <w:rPr>
                <w:rFonts w:ascii="Arial" w:cs="Arial" w:eastAsia="Arial" w:hAnsi="Arial"/>
                <w:sz w:val="22"/>
                <w:szCs w:val="22"/>
                <w:color w:val="auto"/>
                <w:w w:val="94"/>
              </w:rPr>
              <w:t>Time and Form of Distribution</w:t>
            </w:r>
          </w:p>
        </w:tc>
        <w:tc>
          <w:tcPr>
            <w:tcW w:w="720" w:type="dxa"/>
            <w:vAlign w:val="bottom"/>
          </w:tcPr>
          <w:p>
            <w:pPr>
              <w:jc w:val="right"/>
              <w:ind w:right="274"/>
              <w:spacing w:after="0"/>
              <w:rPr>
                <w:sz w:val="20"/>
                <w:szCs w:val="20"/>
                <w:color w:val="auto"/>
              </w:rPr>
            </w:pPr>
            <w:r>
              <w:rPr>
                <w:rFonts w:ascii="Arial" w:cs="Arial" w:eastAsia="Arial" w:hAnsi="Arial"/>
                <w:sz w:val="22"/>
                <w:szCs w:val="22"/>
                <w:color w:val="auto"/>
              </w:rPr>
              <w:t>12</w:t>
            </w:r>
          </w:p>
        </w:tc>
        <w:tc>
          <w:tcPr>
            <w:tcW w:w="9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40" w:type="dxa"/>
            <w:vAlign w:val="bottom"/>
          </w:tcPr>
          <w:p>
            <w:pPr>
              <w:spacing w:after="0"/>
              <w:rPr>
                <w:sz w:val="22"/>
                <w:szCs w:val="22"/>
                <w:color w:val="auto"/>
              </w:rPr>
            </w:pPr>
          </w:p>
        </w:tc>
      </w:tr>
      <w:tr>
        <w:trPr>
          <w:trHeight w:val="257"/>
        </w:trPr>
        <w:tc>
          <w:tcPr>
            <w:tcW w:w="900" w:type="dxa"/>
            <w:vAlign w:val="bottom"/>
          </w:tcPr>
          <w:p>
            <w:pPr>
              <w:ind w:left="340"/>
              <w:spacing w:after="0"/>
              <w:rPr>
                <w:sz w:val="20"/>
                <w:szCs w:val="20"/>
                <w:color w:val="auto"/>
              </w:rPr>
            </w:pPr>
            <w:r>
              <w:rPr>
                <w:rFonts w:ascii="Arial" w:cs="Arial" w:eastAsia="Arial" w:hAnsi="Arial"/>
                <w:sz w:val="22"/>
                <w:szCs w:val="22"/>
                <w:color w:val="auto"/>
              </w:rPr>
              <w:t>5.2.</w:t>
            </w:r>
          </w:p>
        </w:tc>
        <w:tc>
          <w:tcPr>
            <w:tcW w:w="1440" w:type="dxa"/>
            <w:vAlign w:val="bottom"/>
            <w:gridSpan w:val="2"/>
          </w:tcPr>
          <w:p>
            <w:pPr>
              <w:ind w:left="80"/>
              <w:spacing w:after="0"/>
              <w:rPr>
                <w:sz w:val="20"/>
                <w:szCs w:val="20"/>
                <w:color w:val="auto"/>
              </w:rPr>
            </w:pPr>
            <w:r>
              <w:rPr>
                <w:rFonts w:ascii="Arial" w:cs="Arial" w:eastAsia="Arial" w:hAnsi="Arial"/>
                <w:sz w:val="22"/>
                <w:szCs w:val="22"/>
                <w:color w:val="auto"/>
              </w:rPr>
              <w:t>Death Benefit</w:t>
            </w:r>
          </w:p>
        </w:tc>
        <w:tc>
          <w:tcPr>
            <w:tcW w:w="340" w:type="dxa"/>
            <w:vAlign w:val="bottom"/>
          </w:tcPr>
          <w:p>
            <w:pPr>
              <w:jc w:val="right"/>
              <w:spacing w:after="0"/>
              <w:rPr>
                <w:sz w:val="20"/>
                <w:szCs w:val="20"/>
                <w:color w:val="auto"/>
              </w:rPr>
            </w:pPr>
            <w:r>
              <w:rPr>
                <w:rFonts w:ascii="Arial" w:cs="Arial" w:eastAsia="Arial" w:hAnsi="Arial"/>
                <w:sz w:val="22"/>
                <w:szCs w:val="22"/>
                <w:color w:val="auto"/>
              </w:rPr>
              <w:t>14</w:t>
            </w:r>
          </w:p>
        </w:tc>
        <w:tc>
          <w:tcPr>
            <w:tcW w:w="4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40" w:type="dxa"/>
            <w:vAlign w:val="bottom"/>
          </w:tcPr>
          <w:p>
            <w:pPr>
              <w:spacing w:after="0"/>
              <w:rPr>
                <w:sz w:val="22"/>
                <w:szCs w:val="22"/>
                <w:color w:val="auto"/>
              </w:rPr>
            </w:pPr>
          </w:p>
        </w:tc>
      </w:tr>
      <w:tr>
        <w:trPr>
          <w:trHeight w:val="257"/>
        </w:trPr>
        <w:tc>
          <w:tcPr>
            <w:tcW w:w="900" w:type="dxa"/>
            <w:vAlign w:val="bottom"/>
          </w:tcPr>
          <w:p>
            <w:pPr>
              <w:ind w:left="340"/>
              <w:spacing w:after="0"/>
              <w:rPr>
                <w:sz w:val="20"/>
                <w:szCs w:val="20"/>
                <w:color w:val="auto"/>
              </w:rPr>
            </w:pPr>
            <w:r>
              <w:rPr>
                <w:rFonts w:ascii="Arial" w:cs="Arial" w:eastAsia="Arial" w:hAnsi="Arial"/>
                <w:sz w:val="22"/>
                <w:szCs w:val="22"/>
                <w:color w:val="auto"/>
              </w:rPr>
              <w:t>5.3.</w:t>
            </w:r>
          </w:p>
        </w:tc>
        <w:tc>
          <w:tcPr>
            <w:tcW w:w="680" w:type="dxa"/>
            <w:vAlign w:val="bottom"/>
          </w:tcPr>
          <w:p>
            <w:pPr>
              <w:ind w:left="80"/>
              <w:spacing w:after="0"/>
              <w:rPr>
                <w:sz w:val="20"/>
                <w:szCs w:val="20"/>
                <w:color w:val="auto"/>
              </w:rPr>
            </w:pPr>
            <w:r>
              <w:rPr>
                <w:rFonts w:ascii="Arial" w:cs="Arial" w:eastAsia="Arial" w:hAnsi="Arial"/>
                <w:sz w:val="22"/>
                <w:szCs w:val="22"/>
                <w:color w:val="auto"/>
                <w:w w:val="96"/>
              </w:rPr>
              <w:t>Taxes</w:t>
            </w:r>
          </w:p>
        </w:tc>
        <w:tc>
          <w:tcPr>
            <w:tcW w:w="760" w:type="dxa"/>
            <w:vAlign w:val="bottom"/>
          </w:tcPr>
          <w:p>
            <w:pPr>
              <w:jc w:val="right"/>
              <w:ind w:right="312"/>
              <w:spacing w:after="0"/>
              <w:rPr>
                <w:sz w:val="20"/>
                <w:szCs w:val="20"/>
                <w:color w:val="auto"/>
              </w:rPr>
            </w:pPr>
            <w:r>
              <w:rPr>
                <w:rFonts w:ascii="Arial" w:cs="Arial" w:eastAsia="Arial" w:hAnsi="Arial"/>
                <w:sz w:val="22"/>
                <w:szCs w:val="22"/>
                <w:color w:val="auto"/>
              </w:rPr>
              <w:t>14</w:t>
            </w:r>
          </w:p>
        </w:tc>
        <w:tc>
          <w:tcPr>
            <w:tcW w:w="3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40" w:type="dxa"/>
            <w:vAlign w:val="bottom"/>
          </w:tcPr>
          <w:p>
            <w:pPr>
              <w:spacing w:after="0"/>
              <w:rPr>
                <w:sz w:val="22"/>
                <w:szCs w:val="22"/>
                <w:color w:val="auto"/>
              </w:rPr>
            </w:pPr>
          </w:p>
        </w:tc>
      </w:tr>
      <w:tr>
        <w:trPr>
          <w:trHeight w:val="257"/>
        </w:trPr>
        <w:tc>
          <w:tcPr>
            <w:tcW w:w="900" w:type="dxa"/>
            <w:vAlign w:val="bottom"/>
          </w:tcPr>
          <w:p>
            <w:pPr>
              <w:ind w:left="340"/>
              <w:spacing w:after="0"/>
              <w:rPr>
                <w:sz w:val="20"/>
                <w:szCs w:val="20"/>
                <w:color w:val="auto"/>
              </w:rPr>
            </w:pPr>
            <w:r>
              <w:rPr>
                <w:rFonts w:ascii="Arial" w:cs="Arial" w:eastAsia="Arial" w:hAnsi="Arial"/>
                <w:sz w:val="22"/>
                <w:szCs w:val="22"/>
                <w:color w:val="auto"/>
              </w:rPr>
              <w:t>5.4.</w:t>
            </w:r>
          </w:p>
        </w:tc>
        <w:tc>
          <w:tcPr>
            <w:tcW w:w="3560" w:type="dxa"/>
            <w:vAlign w:val="bottom"/>
            <w:gridSpan w:val="7"/>
          </w:tcPr>
          <w:p>
            <w:pPr>
              <w:ind w:left="80"/>
              <w:spacing w:after="0"/>
              <w:rPr>
                <w:sz w:val="20"/>
                <w:szCs w:val="20"/>
                <w:color w:val="auto"/>
              </w:rPr>
            </w:pPr>
            <w:r>
              <w:rPr>
                <w:rFonts w:ascii="Arial" w:cs="Arial" w:eastAsia="Arial" w:hAnsi="Arial"/>
                <w:sz w:val="22"/>
                <w:szCs w:val="22"/>
                <w:color w:val="auto"/>
                <w:w w:val="89"/>
              </w:rPr>
              <w:t>Unforeseeable Emergency Distributions</w:t>
            </w:r>
          </w:p>
        </w:tc>
        <w:tc>
          <w:tcPr>
            <w:tcW w:w="920" w:type="dxa"/>
            <w:vAlign w:val="bottom"/>
          </w:tcPr>
          <w:p>
            <w:pPr>
              <w:jc w:val="right"/>
              <w:ind w:right="394"/>
              <w:spacing w:after="0"/>
              <w:rPr>
                <w:sz w:val="20"/>
                <w:szCs w:val="20"/>
                <w:color w:val="auto"/>
              </w:rPr>
            </w:pPr>
            <w:r>
              <w:rPr>
                <w:rFonts w:ascii="Arial" w:cs="Arial" w:eastAsia="Arial" w:hAnsi="Arial"/>
                <w:sz w:val="22"/>
                <w:szCs w:val="22"/>
                <w:color w:val="auto"/>
              </w:rPr>
              <w:t>14</w:t>
            </w:r>
          </w:p>
        </w:tc>
        <w:tc>
          <w:tcPr>
            <w:tcW w:w="360" w:type="dxa"/>
            <w:vAlign w:val="bottom"/>
          </w:tcPr>
          <w:p>
            <w:pPr>
              <w:spacing w:after="0"/>
              <w:rPr>
                <w:sz w:val="22"/>
                <w:szCs w:val="22"/>
                <w:color w:val="auto"/>
              </w:rPr>
            </w:pPr>
          </w:p>
        </w:tc>
        <w:tc>
          <w:tcPr>
            <w:tcW w:w="240" w:type="dxa"/>
            <w:vAlign w:val="bottom"/>
          </w:tcPr>
          <w:p>
            <w:pPr>
              <w:spacing w:after="0"/>
              <w:rPr>
                <w:sz w:val="22"/>
                <w:szCs w:val="22"/>
                <w:color w:val="auto"/>
              </w:rPr>
            </w:pPr>
          </w:p>
        </w:tc>
      </w:tr>
      <w:tr>
        <w:trPr>
          <w:trHeight w:val="257"/>
        </w:trPr>
        <w:tc>
          <w:tcPr>
            <w:tcW w:w="900" w:type="dxa"/>
            <w:vAlign w:val="bottom"/>
          </w:tcPr>
          <w:p>
            <w:pPr>
              <w:ind w:left="340"/>
              <w:spacing w:after="0"/>
              <w:rPr>
                <w:sz w:val="20"/>
                <w:szCs w:val="20"/>
                <w:color w:val="auto"/>
              </w:rPr>
            </w:pPr>
            <w:r>
              <w:rPr>
                <w:rFonts w:ascii="Arial" w:cs="Arial" w:eastAsia="Arial" w:hAnsi="Arial"/>
                <w:sz w:val="22"/>
                <w:szCs w:val="22"/>
                <w:color w:val="auto"/>
              </w:rPr>
              <w:t>5.5.</w:t>
            </w:r>
          </w:p>
        </w:tc>
        <w:tc>
          <w:tcPr>
            <w:tcW w:w="2420" w:type="dxa"/>
            <w:vAlign w:val="bottom"/>
            <w:gridSpan w:val="5"/>
          </w:tcPr>
          <w:p>
            <w:pPr>
              <w:ind w:left="80"/>
              <w:spacing w:after="0"/>
              <w:rPr>
                <w:sz w:val="20"/>
                <w:szCs w:val="20"/>
                <w:color w:val="auto"/>
              </w:rPr>
            </w:pPr>
            <w:r>
              <w:rPr>
                <w:rFonts w:ascii="Arial" w:cs="Arial" w:eastAsia="Arial" w:hAnsi="Arial"/>
                <w:sz w:val="22"/>
                <w:szCs w:val="22"/>
                <w:color w:val="auto"/>
                <w:w w:val="94"/>
              </w:rPr>
              <w:t>Small Benefit Distribution</w:t>
            </w:r>
          </w:p>
        </w:tc>
        <w:tc>
          <w:tcPr>
            <w:tcW w:w="420" w:type="dxa"/>
            <w:vAlign w:val="bottom"/>
          </w:tcPr>
          <w:p>
            <w:pPr>
              <w:jc w:val="right"/>
              <w:spacing w:after="0"/>
              <w:rPr>
                <w:sz w:val="20"/>
                <w:szCs w:val="20"/>
                <w:color w:val="auto"/>
              </w:rPr>
            </w:pPr>
            <w:r>
              <w:rPr>
                <w:rFonts w:ascii="Arial" w:cs="Arial" w:eastAsia="Arial" w:hAnsi="Arial"/>
                <w:sz w:val="22"/>
                <w:szCs w:val="22"/>
                <w:color w:val="auto"/>
              </w:rPr>
              <w:t>15</w:t>
            </w:r>
          </w:p>
        </w:tc>
        <w:tc>
          <w:tcPr>
            <w:tcW w:w="7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40" w:type="dxa"/>
            <w:vAlign w:val="bottom"/>
          </w:tcPr>
          <w:p>
            <w:pPr>
              <w:spacing w:after="0"/>
              <w:rPr>
                <w:sz w:val="22"/>
                <w:szCs w:val="22"/>
                <w:color w:val="auto"/>
              </w:rPr>
            </w:pPr>
          </w:p>
        </w:tc>
      </w:tr>
      <w:tr>
        <w:trPr>
          <w:trHeight w:val="257"/>
        </w:trPr>
        <w:tc>
          <w:tcPr>
            <w:tcW w:w="900" w:type="dxa"/>
            <w:vAlign w:val="bottom"/>
          </w:tcPr>
          <w:p>
            <w:pPr>
              <w:ind w:left="340"/>
              <w:spacing w:after="0"/>
              <w:rPr>
                <w:sz w:val="20"/>
                <w:szCs w:val="20"/>
                <w:color w:val="auto"/>
              </w:rPr>
            </w:pPr>
            <w:r>
              <w:rPr>
                <w:rFonts w:ascii="Arial" w:cs="Arial" w:eastAsia="Arial" w:hAnsi="Arial"/>
                <w:sz w:val="22"/>
                <w:szCs w:val="22"/>
                <w:color w:val="auto"/>
              </w:rPr>
              <w:t>5.6.</w:t>
            </w:r>
          </w:p>
        </w:tc>
        <w:tc>
          <w:tcPr>
            <w:tcW w:w="4480" w:type="dxa"/>
            <w:vAlign w:val="bottom"/>
            <w:gridSpan w:val="8"/>
          </w:tcPr>
          <w:p>
            <w:pPr>
              <w:ind w:left="80"/>
              <w:spacing w:after="0"/>
              <w:rPr>
                <w:sz w:val="20"/>
                <w:szCs w:val="20"/>
                <w:color w:val="auto"/>
              </w:rPr>
            </w:pPr>
            <w:r>
              <w:rPr>
                <w:rFonts w:ascii="Arial" w:cs="Arial" w:eastAsia="Arial" w:hAnsi="Arial"/>
                <w:sz w:val="22"/>
                <w:szCs w:val="22"/>
                <w:color w:val="auto"/>
                <w:w w:val="93"/>
              </w:rPr>
              <w:t>Distributions in the Event of a Change in Control</w:t>
            </w:r>
          </w:p>
        </w:tc>
        <w:tc>
          <w:tcPr>
            <w:tcW w:w="360" w:type="dxa"/>
            <w:vAlign w:val="bottom"/>
          </w:tcPr>
          <w:p>
            <w:pPr>
              <w:jc w:val="right"/>
              <w:spacing w:after="0"/>
              <w:rPr>
                <w:sz w:val="20"/>
                <w:szCs w:val="20"/>
                <w:color w:val="auto"/>
              </w:rPr>
            </w:pPr>
            <w:r>
              <w:rPr>
                <w:rFonts w:ascii="Arial" w:cs="Arial" w:eastAsia="Arial" w:hAnsi="Arial"/>
                <w:sz w:val="22"/>
                <w:szCs w:val="22"/>
                <w:color w:val="auto"/>
              </w:rPr>
              <w:t>15</w:t>
            </w:r>
          </w:p>
        </w:tc>
        <w:tc>
          <w:tcPr>
            <w:tcW w:w="240" w:type="dxa"/>
            <w:vAlign w:val="bottom"/>
          </w:tcPr>
          <w:p>
            <w:pPr>
              <w:spacing w:after="0"/>
              <w:rPr>
                <w:sz w:val="22"/>
                <w:szCs w:val="22"/>
                <w:color w:val="auto"/>
              </w:rPr>
            </w:pPr>
          </w:p>
        </w:tc>
      </w:tr>
      <w:tr>
        <w:trPr>
          <w:trHeight w:val="275"/>
        </w:trPr>
        <w:tc>
          <w:tcPr>
            <w:tcW w:w="900" w:type="dxa"/>
            <w:vAlign w:val="bottom"/>
          </w:tcPr>
          <w:p>
            <w:pPr>
              <w:ind w:left="340"/>
              <w:spacing w:after="0"/>
              <w:rPr>
                <w:sz w:val="20"/>
                <w:szCs w:val="20"/>
                <w:color w:val="auto"/>
              </w:rPr>
            </w:pPr>
            <w:r>
              <w:rPr>
                <w:rFonts w:ascii="Arial" w:cs="Arial" w:eastAsia="Arial" w:hAnsi="Arial"/>
                <w:sz w:val="22"/>
                <w:szCs w:val="22"/>
                <w:color w:val="auto"/>
              </w:rPr>
              <w:t>5.7.</w:t>
            </w:r>
          </w:p>
        </w:tc>
        <w:tc>
          <w:tcPr>
            <w:tcW w:w="4840" w:type="dxa"/>
            <w:vAlign w:val="bottom"/>
            <w:gridSpan w:val="9"/>
          </w:tcPr>
          <w:p>
            <w:pPr>
              <w:ind w:left="80"/>
              <w:spacing w:after="0"/>
              <w:rPr>
                <w:sz w:val="20"/>
                <w:szCs w:val="20"/>
                <w:color w:val="auto"/>
              </w:rPr>
            </w:pPr>
            <w:r>
              <w:rPr>
                <w:rFonts w:ascii="Arial" w:cs="Arial" w:eastAsia="Arial" w:hAnsi="Arial"/>
                <w:sz w:val="22"/>
                <w:szCs w:val="22"/>
                <w:color w:val="auto"/>
                <w:w w:val="92"/>
              </w:rPr>
              <w:t>Subsequent Deferral and Form of Payment Elections</w:t>
            </w:r>
          </w:p>
        </w:tc>
        <w:tc>
          <w:tcPr>
            <w:tcW w:w="240" w:type="dxa"/>
            <w:vAlign w:val="bottom"/>
          </w:tcPr>
          <w:p>
            <w:pPr>
              <w:ind w:left="20"/>
              <w:spacing w:after="0"/>
              <w:rPr>
                <w:sz w:val="20"/>
                <w:szCs w:val="20"/>
                <w:color w:val="auto"/>
              </w:rPr>
            </w:pPr>
            <w:r>
              <w:rPr>
                <w:rFonts w:ascii="Arial" w:cs="Arial" w:eastAsia="Arial" w:hAnsi="Arial"/>
                <w:sz w:val="22"/>
                <w:szCs w:val="22"/>
                <w:color w:val="auto"/>
                <w:w w:val="81"/>
              </w:rPr>
              <w:t>15</w:t>
            </w:r>
          </w:p>
        </w:tc>
      </w:tr>
      <w:tr>
        <w:trPr>
          <w:trHeight w:val="495"/>
        </w:trPr>
        <w:tc>
          <w:tcPr>
            <w:tcW w:w="1580" w:type="dxa"/>
            <w:vAlign w:val="bottom"/>
            <w:gridSpan w:val="2"/>
          </w:tcPr>
          <w:p>
            <w:pPr>
              <w:spacing w:after="0"/>
              <w:rPr>
                <w:sz w:val="20"/>
                <w:szCs w:val="20"/>
                <w:color w:val="auto"/>
              </w:rPr>
            </w:pPr>
            <w:r>
              <w:rPr>
                <w:rFonts w:ascii="Arial" w:cs="Arial" w:eastAsia="Arial" w:hAnsi="Arial"/>
                <w:sz w:val="22"/>
                <w:szCs w:val="22"/>
                <w:color w:val="auto"/>
              </w:rPr>
              <w:t>SECTION 6</w:t>
            </w: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75"/>
        </w:trPr>
        <w:tc>
          <w:tcPr>
            <w:tcW w:w="3320" w:type="dxa"/>
            <w:vAlign w:val="bottom"/>
            <w:gridSpan w:val="6"/>
          </w:tcPr>
          <w:p>
            <w:pPr>
              <w:spacing w:after="0"/>
              <w:rPr>
                <w:sz w:val="20"/>
                <w:szCs w:val="20"/>
                <w:color w:val="auto"/>
              </w:rPr>
            </w:pPr>
            <w:r>
              <w:rPr>
                <w:rFonts w:ascii="Arial" w:cs="Arial" w:eastAsia="Arial" w:hAnsi="Arial"/>
                <w:sz w:val="22"/>
                <w:szCs w:val="22"/>
                <w:color w:val="auto"/>
                <w:w w:val="95"/>
              </w:rPr>
              <w:t>Accruals Under Other Benefit Plans</w:t>
            </w:r>
          </w:p>
        </w:tc>
        <w:tc>
          <w:tcPr>
            <w:tcW w:w="420" w:type="dxa"/>
            <w:vAlign w:val="bottom"/>
          </w:tcPr>
          <w:p>
            <w:pPr>
              <w:jc w:val="right"/>
              <w:ind w:right="72"/>
              <w:spacing w:after="0"/>
              <w:rPr>
                <w:sz w:val="20"/>
                <w:szCs w:val="20"/>
                <w:color w:val="auto"/>
              </w:rPr>
            </w:pPr>
            <w:r>
              <w:rPr>
                <w:rFonts w:ascii="Arial" w:cs="Arial" w:eastAsia="Arial" w:hAnsi="Arial"/>
                <w:sz w:val="22"/>
                <w:szCs w:val="22"/>
                <w:color w:val="auto"/>
                <w:w w:val="89"/>
              </w:rPr>
              <w:t>16</w:t>
            </w:r>
          </w:p>
        </w:tc>
        <w:tc>
          <w:tcPr>
            <w:tcW w:w="7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40" w:type="dxa"/>
            <w:vAlign w:val="bottom"/>
          </w:tcPr>
          <w:p>
            <w:pPr>
              <w:spacing w:after="0"/>
              <w:rPr>
                <w:sz w:val="23"/>
                <w:szCs w:val="23"/>
                <w:color w:val="auto"/>
              </w:rPr>
            </w:pPr>
          </w:p>
        </w:tc>
      </w:tr>
      <w:tr>
        <w:trPr>
          <w:trHeight w:val="495"/>
        </w:trPr>
        <w:tc>
          <w:tcPr>
            <w:tcW w:w="1580" w:type="dxa"/>
            <w:vAlign w:val="bottom"/>
            <w:gridSpan w:val="2"/>
          </w:tcPr>
          <w:p>
            <w:pPr>
              <w:spacing w:after="0"/>
              <w:rPr>
                <w:sz w:val="20"/>
                <w:szCs w:val="20"/>
                <w:color w:val="auto"/>
              </w:rPr>
            </w:pPr>
            <w:r>
              <w:rPr>
                <w:rFonts w:ascii="Arial" w:cs="Arial" w:eastAsia="Arial" w:hAnsi="Arial"/>
                <w:sz w:val="22"/>
                <w:szCs w:val="22"/>
                <w:color w:val="auto"/>
              </w:rPr>
              <w:t>SECTION 7</w:t>
            </w: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75"/>
        </w:trPr>
        <w:tc>
          <w:tcPr>
            <w:tcW w:w="2340" w:type="dxa"/>
            <w:vAlign w:val="bottom"/>
            <w:gridSpan w:val="3"/>
          </w:tcPr>
          <w:p>
            <w:pPr>
              <w:spacing w:after="0"/>
              <w:rPr>
                <w:sz w:val="20"/>
                <w:szCs w:val="20"/>
                <w:color w:val="auto"/>
              </w:rPr>
            </w:pPr>
            <w:r>
              <w:rPr>
                <w:rFonts w:ascii="Arial" w:cs="Arial" w:eastAsia="Arial" w:hAnsi="Arial"/>
                <w:sz w:val="22"/>
                <w:szCs w:val="22"/>
                <w:color w:val="auto"/>
              </w:rPr>
              <w:t>Participant’s Rights  16</w:t>
            </w:r>
          </w:p>
        </w:tc>
        <w:tc>
          <w:tcPr>
            <w:tcW w:w="3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40" w:type="dxa"/>
            <w:vAlign w:val="bottom"/>
          </w:tcPr>
          <w:p>
            <w:pPr>
              <w:spacing w:after="0"/>
              <w:rPr>
                <w:sz w:val="23"/>
                <w:szCs w:val="23"/>
                <w:color w:val="auto"/>
              </w:rPr>
            </w:pPr>
          </w:p>
        </w:tc>
      </w:tr>
      <w:tr>
        <w:trPr>
          <w:trHeight w:val="495"/>
        </w:trPr>
        <w:tc>
          <w:tcPr>
            <w:tcW w:w="1580" w:type="dxa"/>
            <w:vAlign w:val="bottom"/>
            <w:gridSpan w:val="2"/>
          </w:tcPr>
          <w:p>
            <w:pPr>
              <w:spacing w:after="0"/>
              <w:rPr>
                <w:sz w:val="20"/>
                <w:szCs w:val="20"/>
                <w:color w:val="auto"/>
              </w:rPr>
            </w:pPr>
            <w:r>
              <w:rPr>
                <w:rFonts w:ascii="Arial" w:cs="Arial" w:eastAsia="Arial" w:hAnsi="Arial"/>
                <w:sz w:val="22"/>
                <w:szCs w:val="22"/>
                <w:color w:val="auto"/>
              </w:rPr>
              <w:t>SECTION 8</w:t>
            </w: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75"/>
        </w:trPr>
        <w:tc>
          <w:tcPr>
            <w:tcW w:w="3740" w:type="dxa"/>
            <w:vAlign w:val="bottom"/>
            <w:gridSpan w:val="7"/>
          </w:tcPr>
          <w:p>
            <w:pPr>
              <w:spacing w:after="0"/>
              <w:rPr>
                <w:sz w:val="20"/>
                <w:szCs w:val="20"/>
                <w:color w:val="auto"/>
              </w:rPr>
            </w:pPr>
            <w:r>
              <w:rPr>
                <w:rFonts w:ascii="Arial" w:cs="Arial" w:eastAsia="Arial" w:hAnsi="Arial"/>
                <w:sz w:val="22"/>
                <w:szCs w:val="22"/>
                <w:color w:val="auto"/>
                <w:w w:val="95"/>
              </w:rPr>
              <w:t>Non-Alienability and Non-Transferability</w:t>
            </w:r>
          </w:p>
        </w:tc>
        <w:tc>
          <w:tcPr>
            <w:tcW w:w="720" w:type="dxa"/>
            <w:vAlign w:val="bottom"/>
          </w:tcPr>
          <w:p>
            <w:pPr>
              <w:jc w:val="right"/>
              <w:ind w:right="294"/>
              <w:spacing w:after="0"/>
              <w:rPr>
                <w:sz w:val="20"/>
                <w:szCs w:val="20"/>
                <w:color w:val="auto"/>
              </w:rPr>
            </w:pPr>
            <w:r>
              <w:rPr>
                <w:rFonts w:ascii="Arial" w:cs="Arial" w:eastAsia="Arial" w:hAnsi="Arial"/>
                <w:sz w:val="22"/>
                <w:szCs w:val="22"/>
                <w:color w:val="auto"/>
              </w:rPr>
              <w:t>16</w:t>
            </w:r>
          </w:p>
        </w:tc>
        <w:tc>
          <w:tcPr>
            <w:tcW w:w="9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40" w:type="dxa"/>
            <w:vAlign w:val="bottom"/>
          </w:tcPr>
          <w:p>
            <w:pPr>
              <w:spacing w:after="0"/>
              <w:rPr>
                <w:sz w:val="23"/>
                <w:szCs w:val="23"/>
                <w:color w:val="auto"/>
              </w:rPr>
            </w:pPr>
          </w:p>
        </w:tc>
      </w:tr>
    </w:tbl>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SECTION 9</w:t>
      </w:r>
    </w:p>
    <w:p>
      <w:pPr>
        <w:spacing w:after="0" w:line="247" w:lineRule="exact"/>
        <w:rPr>
          <w:sz w:val="20"/>
          <w:szCs w:val="20"/>
          <w:color w:val="auto"/>
        </w:rPr>
      </w:pPr>
    </w:p>
    <w:p>
      <w:pPr>
        <w:jc w:val="right"/>
        <w:ind w:right="1659"/>
        <w:spacing w:after="0"/>
        <w:rPr>
          <w:sz w:val="20"/>
          <w:szCs w:val="20"/>
          <w:color w:val="auto"/>
        </w:rPr>
      </w:pPr>
      <w:r>
        <w:rPr>
          <w:rFonts w:ascii="Arial" w:cs="Arial" w:eastAsia="Arial" w:hAnsi="Arial"/>
          <w:sz w:val="22"/>
          <w:szCs w:val="22"/>
          <w:color w:val="auto"/>
        </w:rPr>
        <w:t>ii</w:t>
      </w:r>
    </w:p>
    <w:p>
      <w:pPr>
        <w:sectPr>
          <w:pgSz w:w="11900" w:h="16838" w:orient="portrait"/>
          <w:cols w:equalWidth="0" w:num="1">
            <w:col w:w="10219"/>
          </w:cols>
          <w:pgMar w:left="240" w:top="622" w:right="1440" w:bottom="1440" w:gutter="0" w:footer="0" w:header="0"/>
        </w:sectPr>
      </w:pPr>
    </w:p>
    <w:bookmarkStart w:id="50" w:name="page51"/>
    <w:bookmarkEnd w:id="50"/>
    <w:p>
      <w:pPr>
        <w:spacing w:after="0"/>
        <w:tabs>
          <w:tab w:leader="none" w:pos="3640" w:val="left"/>
        </w:tabs>
        <w:rPr>
          <w:sz w:val="20"/>
          <w:szCs w:val="20"/>
          <w:color w:val="auto"/>
        </w:rPr>
      </w:pPr>
      <w:r>
        <w:rPr>
          <w:rFonts w:ascii="Arial" w:cs="Arial" w:eastAsia="Arial" w:hAnsi="Arial"/>
          <w:sz w:val="22"/>
          <w:szCs w:val="22"/>
          <w:color w:val="auto"/>
        </w:rPr>
        <w:t>Administration and Standard of Review</w:t>
      </w:r>
      <w:r>
        <w:rPr>
          <w:sz w:val="20"/>
          <w:szCs w:val="20"/>
          <w:color w:val="auto"/>
        </w:rPr>
        <w:tab/>
      </w:r>
      <w:r>
        <w:rPr>
          <w:rFonts w:ascii="Arial" w:cs="Arial" w:eastAsia="Arial" w:hAnsi="Arial"/>
          <w:sz w:val="19"/>
          <w:szCs w:val="19"/>
          <w:color w:val="auto"/>
        </w:rPr>
        <w:t>16</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760" w:type="dxa"/>
            <w:vAlign w:val="bottom"/>
            <w:gridSpan w:val="2"/>
          </w:tcPr>
          <w:p>
            <w:pPr>
              <w:spacing w:after="0"/>
              <w:rPr>
                <w:sz w:val="20"/>
                <w:szCs w:val="20"/>
                <w:color w:val="auto"/>
              </w:rPr>
            </w:pPr>
            <w:r>
              <w:rPr>
                <w:rFonts w:ascii="Arial" w:cs="Arial" w:eastAsia="Arial" w:hAnsi="Arial"/>
                <w:sz w:val="22"/>
                <w:szCs w:val="22"/>
                <w:color w:val="auto"/>
              </w:rPr>
              <w:t>SECTION 10</w:t>
            </w:r>
          </w:p>
        </w:tc>
        <w:tc>
          <w:tcPr>
            <w:tcW w:w="4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7380" w:type="dxa"/>
            <w:vAlign w:val="bottom"/>
          </w:tcPr>
          <w:p>
            <w:pPr>
              <w:spacing w:after="0"/>
              <w:rPr>
                <w:sz w:val="22"/>
                <w:szCs w:val="22"/>
                <w:color w:val="auto"/>
              </w:rPr>
            </w:pPr>
          </w:p>
        </w:tc>
      </w:tr>
      <w:tr>
        <w:trPr>
          <w:trHeight w:val="257"/>
        </w:trPr>
        <w:tc>
          <w:tcPr>
            <w:tcW w:w="1760" w:type="dxa"/>
            <w:vAlign w:val="bottom"/>
            <w:gridSpan w:val="2"/>
          </w:tcPr>
          <w:p>
            <w:pPr>
              <w:spacing w:after="0"/>
              <w:rPr>
                <w:sz w:val="20"/>
                <w:szCs w:val="20"/>
                <w:color w:val="auto"/>
              </w:rPr>
            </w:pPr>
            <w:r>
              <w:rPr>
                <w:rFonts w:ascii="Arial" w:cs="Arial" w:eastAsia="Arial" w:hAnsi="Arial"/>
                <w:sz w:val="22"/>
                <w:szCs w:val="22"/>
                <w:color w:val="auto"/>
                <w:w w:val="99"/>
              </w:rPr>
              <w:t>Claims Procedure</w:t>
            </w:r>
          </w:p>
        </w:tc>
        <w:tc>
          <w:tcPr>
            <w:tcW w:w="460" w:type="dxa"/>
            <w:vAlign w:val="bottom"/>
          </w:tcPr>
          <w:p>
            <w:pPr>
              <w:jc w:val="right"/>
              <w:ind w:right="132"/>
              <w:spacing w:after="0"/>
              <w:rPr>
                <w:sz w:val="20"/>
                <w:szCs w:val="20"/>
                <w:color w:val="auto"/>
              </w:rPr>
            </w:pPr>
            <w:r>
              <w:rPr>
                <w:rFonts w:ascii="Arial" w:cs="Arial" w:eastAsia="Arial" w:hAnsi="Arial"/>
                <w:sz w:val="22"/>
                <w:szCs w:val="22"/>
                <w:color w:val="auto"/>
                <w:w w:val="81"/>
              </w:rPr>
              <w:t>17</w:t>
            </w:r>
          </w:p>
        </w:tc>
        <w:tc>
          <w:tcPr>
            <w:tcW w:w="2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7380" w:type="dxa"/>
            <w:vAlign w:val="bottom"/>
          </w:tcPr>
          <w:p>
            <w:pPr>
              <w:spacing w:after="0"/>
              <w:rPr>
                <w:sz w:val="22"/>
                <w:szCs w:val="22"/>
                <w:color w:val="auto"/>
              </w:rPr>
            </w:pPr>
          </w:p>
        </w:tc>
      </w:tr>
      <w:tr>
        <w:trPr>
          <w:trHeight w:val="257"/>
        </w:trPr>
        <w:tc>
          <w:tcPr>
            <w:tcW w:w="880" w:type="dxa"/>
            <w:vAlign w:val="bottom"/>
          </w:tcPr>
          <w:p>
            <w:pPr>
              <w:jc w:val="right"/>
              <w:ind w:right="12"/>
              <w:spacing w:after="0"/>
              <w:rPr>
                <w:sz w:val="20"/>
                <w:szCs w:val="20"/>
                <w:color w:val="auto"/>
              </w:rPr>
            </w:pPr>
            <w:r>
              <w:rPr>
                <w:rFonts w:ascii="Arial" w:cs="Arial" w:eastAsia="Arial" w:hAnsi="Arial"/>
                <w:sz w:val="22"/>
                <w:szCs w:val="22"/>
                <w:color w:val="auto"/>
              </w:rPr>
              <w:t>10.1.</w:t>
            </w:r>
          </w:p>
        </w:tc>
        <w:tc>
          <w:tcPr>
            <w:tcW w:w="1340" w:type="dxa"/>
            <w:vAlign w:val="bottom"/>
            <w:gridSpan w:val="2"/>
          </w:tcPr>
          <w:p>
            <w:pPr>
              <w:ind w:left="100"/>
              <w:spacing w:after="0"/>
              <w:rPr>
                <w:sz w:val="20"/>
                <w:szCs w:val="20"/>
                <w:color w:val="auto"/>
              </w:rPr>
            </w:pPr>
            <w:r>
              <w:rPr>
                <w:rFonts w:ascii="Arial" w:cs="Arial" w:eastAsia="Arial" w:hAnsi="Arial"/>
                <w:sz w:val="22"/>
                <w:szCs w:val="22"/>
                <w:color w:val="auto"/>
                <w:w w:val="96"/>
              </w:rPr>
              <w:t>Filing Claims</w:t>
            </w:r>
          </w:p>
        </w:tc>
        <w:tc>
          <w:tcPr>
            <w:tcW w:w="520" w:type="dxa"/>
            <w:vAlign w:val="bottom"/>
            <w:gridSpan w:val="2"/>
          </w:tcPr>
          <w:p>
            <w:pPr>
              <w:jc w:val="right"/>
              <w:ind w:right="32"/>
              <w:spacing w:after="0"/>
              <w:rPr>
                <w:sz w:val="20"/>
                <w:szCs w:val="20"/>
                <w:color w:val="auto"/>
              </w:rPr>
            </w:pPr>
            <w:r>
              <w:rPr>
                <w:rFonts w:ascii="Arial" w:cs="Arial" w:eastAsia="Arial" w:hAnsi="Arial"/>
                <w:sz w:val="22"/>
                <w:szCs w:val="22"/>
                <w:color w:val="auto"/>
              </w:rPr>
              <w:t>17</w:t>
            </w:r>
          </w:p>
        </w:tc>
        <w:tc>
          <w:tcPr>
            <w:tcW w:w="500" w:type="dxa"/>
            <w:vAlign w:val="bottom"/>
          </w:tcPr>
          <w:p>
            <w:pPr>
              <w:spacing w:after="0"/>
              <w:rPr>
                <w:sz w:val="22"/>
                <w:szCs w:val="22"/>
                <w:color w:val="auto"/>
              </w:rPr>
            </w:pPr>
          </w:p>
        </w:tc>
        <w:tc>
          <w:tcPr>
            <w:tcW w:w="7380" w:type="dxa"/>
            <w:vAlign w:val="bottom"/>
          </w:tcPr>
          <w:p>
            <w:pPr>
              <w:spacing w:after="0"/>
              <w:rPr>
                <w:sz w:val="22"/>
                <w:szCs w:val="22"/>
                <w:color w:val="auto"/>
              </w:rPr>
            </w:pPr>
          </w:p>
        </w:tc>
      </w:tr>
      <w:tr>
        <w:trPr>
          <w:trHeight w:val="257"/>
        </w:trPr>
        <w:tc>
          <w:tcPr>
            <w:tcW w:w="880" w:type="dxa"/>
            <w:vAlign w:val="bottom"/>
          </w:tcPr>
          <w:p>
            <w:pPr>
              <w:jc w:val="right"/>
              <w:ind w:right="12"/>
              <w:spacing w:after="0"/>
              <w:rPr>
                <w:sz w:val="20"/>
                <w:szCs w:val="20"/>
                <w:color w:val="auto"/>
              </w:rPr>
            </w:pPr>
            <w:r>
              <w:rPr>
                <w:rFonts w:ascii="Arial" w:cs="Arial" w:eastAsia="Arial" w:hAnsi="Arial"/>
                <w:sz w:val="22"/>
                <w:szCs w:val="22"/>
                <w:color w:val="auto"/>
              </w:rPr>
              <w:t>10.2.</w:t>
            </w:r>
          </w:p>
        </w:tc>
        <w:tc>
          <w:tcPr>
            <w:tcW w:w="2360" w:type="dxa"/>
            <w:vAlign w:val="bottom"/>
            <w:gridSpan w:val="5"/>
          </w:tcPr>
          <w:p>
            <w:pPr>
              <w:ind w:left="100"/>
              <w:spacing w:after="0"/>
              <w:rPr>
                <w:sz w:val="20"/>
                <w:szCs w:val="20"/>
                <w:color w:val="auto"/>
              </w:rPr>
            </w:pPr>
            <w:r>
              <w:rPr>
                <w:rFonts w:ascii="Arial" w:cs="Arial" w:eastAsia="Arial" w:hAnsi="Arial"/>
                <w:sz w:val="22"/>
                <w:szCs w:val="22"/>
                <w:color w:val="auto"/>
                <w:w w:val="99"/>
              </w:rPr>
              <w:t>Notification to Claimant</w:t>
            </w:r>
          </w:p>
        </w:tc>
        <w:tc>
          <w:tcPr>
            <w:tcW w:w="7380" w:type="dxa"/>
            <w:vAlign w:val="bottom"/>
          </w:tcPr>
          <w:p>
            <w:pPr>
              <w:jc w:val="right"/>
              <w:ind w:right="6992"/>
              <w:spacing w:after="0"/>
              <w:rPr>
                <w:sz w:val="20"/>
                <w:szCs w:val="20"/>
                <w:color w:val="auto"/>
              </w:rPr>
            </w:pPr>
            <w:r>
              <w:rPr>
                <w:rFonts w:ascii="Arial" w:cs="Arial" w:eastAsia="Arial" w:hAnsi="Arial"/>
                <w:sz w:val="22"/>
                <w:szCs w:val="22"/>
                <w:color w:val="auto"/>
              </w:rPr>
              <w:t>17</w:t>
            </w:r>
          </w:p>
        </w:tc>
      </w:tr>
      <w:tr>
        <w:trPr>
          <w:trHeight w:val="257"/>
        </w:trPr>
        <w:tc>
          <w:tcPr>
            <w:tcW w:w="880" w:type="dxa"/>
            <w:vAlign w:val="bottom"/>
          </w:tcPr>
          <w:p>
            <w:pPr>
              <w:jc w:val="right"/>
              <w:ind w:right="12"/>
              <w:spacing w:after="0"/>
              <w:rPr>
                <w:sz w:val="20"/>
                <w:szCs w:val="20"/>
                <w:color w:val="auto"/>
              </w:rPr>
            </w:pPr>
            <w:r>
              <w:rPr>
                <w:rFonts w:ascii="Arial" w:cs="Arial" w:eastAsia="Arial" w:hAnsi="Arial"/>
                <w:sz w:val="22"/>
                <w:szCs w:val="22"/>
                <w:color w:val="auto"/>
              </w:rPr>
              <w:t>10.3.</w:t>
            </w:r>
          </w:p>
        </w:tc>
        <w:tc>
          <w:tcPr>
            <w:tcW w:w="1860" w:type="dxa"/>
            <w:vAlign w:val="bottom"/>
            <w:gridSpan w:val="4"/>
          </w:tcPr>
          <w:p>
            <w:pPr>
              <w:ind w:left="100"/>
              <w:spacing w:after="0"/>
              <w:rPr>
                <w:sz w:val="20"/>
                <w:szCs w:val="20"/>
                <w:color w:val="auto"/>
              </w:rPr>
            </w:pPr>
            <w:r>
              <w:rPr>
                <w:rFonts w:ascii="Arial" w:cs="Arial" w:eastAsia="Arial" w:hAnsi="Arial"/>
                <w:sz w:val="22"/>
                <w:szCs w:val="22"/>
                <w:color w:val="auto"/>
                <w:w w:val="96"/>
              </w:rPr>
              <w:t>Review Procedure</w:t>
            </w:r>
          </w:p>
        </w:tc>
        <w:tc>
          <w:tcPr>
            <w:tcW w:w="500" w:type="dxa"/>
            <w:vAlign w:val="bottom"/>
          </w:tcPr>
          <w:p>
            <w:pPr>
              <w:jc w:val="right"/>
              <w:ind w:right="132"/>
              <w:spacing w:after="0"/>
              <w:rPr>
                <w:sz w:val="20"/>
                <w:szCs w:val="20"/>
                <w:color w:val="auto"/>
              </w:rPr>
            </w:pPr>
            <w:r>
              <w:rPr>
                <w:rFonts w:ascii="Arial" w:cs="Arial" w:eastAsia="Arial" w:hAnsi="Arial"/>
                <w:sz w:val="22"/>
                <w:szCs w:val="22"/>
                <w:color w:val="auto"/>
                <w:w w:val="97"/>
              </w:rPr>
              <w:t>17</w:t>
            </w:r>
          </w:p>
        </w:tc>
        <w:tc>
          <w:tcPr>
            <w:tcW w:w="7380" w:type="dxa"/>
            <w:vAlign w:val="bottom"/>
          </w:tcPr>
          <w:p>
            <w:pPr>
              <w:spacing w:after="0"/>
              <w:rPr>
                <w:sz w:val="22"/>
                <w:szCs w:val="22"/>
                <w:color w:val="auto"/>
              </w:rPr>
            </w:pPr>
          </w:p>
        </w:tc>
      </w:tr>
      <w:tr>
        <w:trPr>
          <w:trHeight w:val="275"/>
        </w:trPr>
        <w:tc>
          <w:tcPr>
            <w:tcW w:w="880" w:type="dxa"/>
            <w:vAlign w:val="bottom"/>
          </w:tcPr>
          <w:p>
            <w:pPr>
              <w:jc w:val="right"/>
              <w:ind w:right="12"/>
              <w:spacing w:after="0"/>
              <w:rPr>
                <w:sz w:val="20"/>
                <w:szCs w:val="20"/>
                <w:color w:val="auto"/>
              </w:rPr>
            </w:pPr>
            <w:r>
              <w:rPr>
                <w:rFonts w:ascii="Arial" w:cs="Arial" w:eastAsia="Arial" w:hAnsi="Arial"/>
                <w:sz w:val="22"/>
                <w:szCs w:val="22"/>
                <w:color w:val="auto"/>
              </w:rPr>
              <w:t>10.4.</w:t>
            </w:r>
          </w:p>
        </w:tc>
        <w:tc>
          <w:tcPr>
            <w:tcW w:w="1860" w:type="dxa"/>
            <w:vAlign w:val="bottom"/>
            <w:gridSpan w:val="4"/>
          </w:tcPr>
          <w:p>
            <w:pPr>
              <w:ind w:left="100"/>
              <w:spacing w:after="0"/>
              <w:rPr>
                <w:sz w:val="20"/>
                <w:szCs w:val="20"/>
                <w:color w:val="auto"/>
              </w:rPr>
            </w:pPr>
            <w:r>
              <w:rPr>
                <w:rFonts w:ascii="Arial" w:cs="Arial" w:eastAsia="Arial" w:hAnsi="Arial"/>
                <w:sz w:val="22"/>
                <w:szCs w:val="22"/>
                <w:color w:val="auto"/>
                <w:w w:val="90"/>
              </w:rPr>
              <w:t>Decision on Review</w:t>
            </w:r>
          </w:p>
        </w:tc>
        <w:tc>
          <w:tcPr>
            <w:tcW w:w="500" w:type="dxa"/>
            <w:vAlign w:val="bottom"/>
          </w:tcPr>
          <w:p>
            <w:pPr>
              <w:jc w:val="right"/>
              <w:spacing w:after="0"/>
              <w:rPr>
                <w:sz w:val="20"/>
                <w:szCs w:val="20"/>
                <w:color w:val="auto"/>
              </w:rPr>
            </w:pPr>
            <w:r>
              <w:rPr>
                <w:rFonts w:ascii="Arial" w:cs="Arial" w:eastAsia="Arial" w:hAnsi="Arial"/>
                <w:sz w:val="22"/>
                <w:szCs w:val="22"/>
                <w:color w:val="auto"/>
              </w:rPr>
              <w:t>18</w:t>
            </w:r>
          </w:p>
        </w:tc>
        <w:tc>
          <w:tcPr>
            <w:tcW w:w="7380" w:type="dxa"/>
            <w:vAlign w:val="bottom"/>
          </w:tcPr>
          <w:p>
            <w:pPr>
              <w:spacing w:after="0"/>
              <w:rPr>
                <w:sz w:val="23"/>
                <w:szCs w:val="23"/>
                <w:color w:val="auto"/>
              </w:rPr>
            </w:pPr>
          </w:p>
        </w:tc>
      </w:tr>
      <w:tr>
        <w:trPr>
          <w:trHeight w:val="495"/>
        </w:trPr>
        <w:tc>
          <w:tcPr>
            <w:tcW w:w="1760" w:type="dxa"/>
            <w:vAlign w:val="bottom"/>
            <w:gridSpan w:val="2"/>
          </w:tcPr>
          <w:p>
            <w:pPr>
              <w:spacing w:after="0"/>
              <w:rPr>
                <w:sz w:val="20"/>
                <w:szCs w:val="20"/>
                <w:color w:val="auto"/>
              </w:rPr>
            </w:pPr>
            <w:r>
              <w:rPr>
                <w:rFonts w:ascii="Arial" w:cs="Arial" w:eastAsia="Arial" w:hAnsi="Arial"/>
                <w:sz w:val="22"/>
                <w:szCs w:val="22"/>
                <w:color w:val="auto"/>
              </w:rPr>
              <w:t>SECTION 11</w:t>
            </w: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380" w:type="dxa"/>
            <w:vAlign w:val="bottom"/>
          </w:tcPr>
          <w:p>
            <w:pPr>
              <w:spacing w:after="0"/>
              <w:rPr>
                <w:sz w:val="24"/>
                <w:szCs w:val="24"/>
                <w:color w:val="auto"/>
              </w:rPr>
            </w:pPr>
          </w:p>
        </w:tc>
      </w:tr>
      <w:tr>
        <w:trPr>
          <w:trHeight w:val="275"/>
        </w:trPr>
        <w:tc>
          <w:tcPr>
            <w:tcW w:w="2740" w:type="dxa"/>
            <w:vAlign w:val="bottom"/>
            <w:gridSpan w:val="5"/>
          </w:tcPr>
          <w:p>
            <w:pPr>
              <w:spacing w:after="0"/>
              <w:rPr>
                <w:sz w:val="20"/>
                <w:szCs w:val="20"/>
                <w:color w:val="auto"/>
              </w:rPr>
            </w:pPr>
            <w:r>
              <w:rPr>
                <w:rFonts w:ascii="Arial" w:cs="Arial" w:eastAsia="Arial" w:hAnsi="Arial"/>
                <w:sz w:val="22"/>
                <w:szCs w:val="22"/>
                <w:color w:val="auto"/>
                <w:w w:val="95"/>
              </w:rPr>
              <w:t>Amendment and Termination</w:t>
            </w:r>
          </w:p>
        </w:tc>
        <w:tc>
          <w:tcPr>
            <w:tcW w:w="500" w:type="dxa"/>
            <w:vAlign w:val="bottom"/>
          </w:tcPr>
          <w:p>
            <w:pPr>
              <w:jc w:val="right"/>
              <w:ind w:right="152"/>
              <w:spacing w:after="0"/>
              <w:rPr>
                <w:sz w:val="20"/>
                <w:szCs w:val="20"/>
                <w:color w:val="auto"/>
              </w:rPr>
            </w:pPr>
            <w:r>
              <w:rPr>
                <w:rFonts w:ascii="Arial" w:cs="Arial" w:eastAsia="Arial" w:hAnsi="Arial"/>
                <w:sz w:val="22"/>
                <w:szCs w:val="22"/>
                <w:color w:val="auto"/>
                <w:w w:val="89"/>
              </w:rPr>
              <w:t>18</w:t>
            </w:r>
          </w:p>
        </w:tc>
        <w:tc>
          <w:tcPr>
            <w:tcW w:w="7380" w:type="dxa"/>
            <w:vAlign w:val="bottom"/>
          </w:tcPr>
          <w:p>
            <w:pPr>
              <w:spacing w:after="0"/>
              <w:rPr>
                <w:sz w:val="23"/>
                <w:szCs w:val="23"/>
                <w:color w:val="auto"/>
              </w:rPr>
            </w:pPr>
          </w:p>
        </w:tc>
      </w:tr>
      <w:tr>
        <w:trPr>
          <w:trHeight w:val="495"/>
        </w:trPr>
        <w:tc>
          <w:tcPr>
            <w:tcW w:w="1760" w:type="dxa"/>
            <w:vAlign w:val="bottom"/>
            <w:gridSpan w:val="2"/>
          </w:tcPr>
          <w:p>
            <w:pPr>
              <w:spacing w:after="0"/>
              <w:rPr>
                <w:sz w:val="20"/>
                <w:szCs w:val="20"/>
                <w:color w:val="auto"/>
              </w:rPr>
            </w:pPr>
            <w:r>
              <w:rPr>
                <w:rFonts w:ascii="Arial" w:cs="Arial" w:eastAsia="Arial" w:hAnsi="Arial"/>
                <w:sz w:val="22"/>
                <w:szCs w:val="22"/>
                <w:color w:val="auto"/>
              </w:rPr>
              <w:t>SECTION 12</w:t>
            </w: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380" w:type="dxa"/>
            <w:vAlign w:val="bottom"/>
          </w:tcPr>
          <w:p>
            <w:pPr>
              <w:spacing w:after="0"/>
              <w:rPr>
                <w:sz w:val="24"/>
                <w:szCs w:val="24"/>
                <w:color w:val="auto"/>
              </w:rPr>
            </w:pPr>
          </w:p>
        </w:tc>
      </w:tr>
      <w:tr>
        <w:trPr>
          <w:trHeight w:val="257"/>
        </w:trPr>
        <w:tc>
          <w:tcPr>
            <w:tcW w:w="1760" w:type="dxa"/>
            <w:vAlign w:val="bottom"/>
            <w:gridSpan w:val="2"/>
          </w:tcPr>
          <w:p>
            <w:pPr>
              <w:spacing w:after="0"/>
              <w:rPr>
                <w:sz w:val="20"/>
                <w:szCs w:val="20"/>
                <w:color w:val="auto"/>
              </w:rPr>
            </w:pPr>
            <w:r>
              <w:rPr>
                <w:rFonts w:ascii="Arial" w:cs="Arial" w:eastAsia="Arial" w:hAnsi="Arial"/>
                <w:sz w:val="22"/>
                <w:szCs w:val="22"/>
                <w:color w:val="auto"/>
                <w:w w:val="93"/>
              </w:rPr>
              <w:t>General Provisions</w:t>
            </w:r>
          </w:p>
        </w:tc>
        <w:tc>
          <w:tcPr>
            <w:tcW w:w="460" w:type="dxa"/>
            <w:vAlign w:val="bottom"/>
          </w:tcPr>
          <w:p>
            <w:pPr>
              <w:jc w:val="right"/>
              <w:ind w:right="12"/>
              <w:spacing w:after="0"/>
              <w:rPr>
                <w:sz w:val="20"/>
                <w:szCs w:val="20"/>
                <w:color w:val="auto"/>
              </w:rPr>
            </w:pPr>
            <w:r>
              <w:rPr>
                <w:rFonts w:ascii="Arial" w:cs="Arial" w:eastAsia="Arial" w:hAnsi="Arial"/>
                <w:sz w:val="22"/>
                <w:szCs w:val="22"/>
                <w:color w:val="auto"/>
              </w:rPr>
              <w:t>19</w:t>
            </w:r>
          </w:p>
        </w:tc>
        <w:tc>
          <w:tcPr>
            <w:tcW w:w="2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7380" w:type="dxa"/>
            <w:vAlign w:val="bottom"/>
          </w:tcPr>
          <w:p>
            <w:pPr>
              <w:spacing w:after="0"/>
              <w:rPr>
                <w:sz w:val="22"/>
                <w:szCs w:val="22"/>
                <w:color w:val="auto"/>
              </w:rPr>
            </w:pPr>
          </w:p>
        </w:tc>
      </w:tr>
      <w:tr>
        <w:trPr>
          <w:trHeight w:val="257"/>
        </w:trPr>
        <w:tc>
          <w:tcPr>
            <w:tcW w:w="880" w:type="dxa"/>
            <w:vAlign w:val="bottom"/>
          </w:tcPr>
          <w:p>
            <w:pPr>
              <w:jc w:val="right"/>
              <w:ind w:right="12"/>
              <w:spacing w:after="0"/>
              <w:rPr>
                <w:sz w:val="20"/>
                <w:szCs w:val="20"/>
                <w:color w:val="auto"/>
              </w:rPr>
            </w:pPr>
            <w:r>
              <w:rPr>
                <w:rFonts w:ascii="Arial" w:cs="Arial" w:eastAsia="Arial" w:hAnsi="Arial"/>
                <w:sz w:val="22"/>
                <w:szCs w:val="22"/>
                <w:color w:val="auto"/>
              </w:rPr>
              <w:t>12.1.</w:t>
            </w:r>
          </w:p>
        </w:tc>
        <w:tc>
          <w:tcPr>
            <w:tcW w:w="1600" w:type="dxa"/>
            <w:vAlign w:val="bottom"/>
            <w:gridSpan w:val="3"/>
          </w:tcPr>
          <w:p>
            <w:pPr>
              <w:ind w:left="100"/>
              <w:spacing w:after="0"/>
              <w:rPr>
                <w:sz w:val="20"/>
                <w:szCs w:val="20"/>
                <w:color w:val="auto"/>
              </w:rPr>
            </w:pPr>
            <w:r>
              <w:rPr>
                <w:rFonts w:ascii="Arial" w:cs="Arial" w:eastAsia="Arial" w:hAnsi="Arial"/>
                <w:sz w:val="22"/>
                <w:szCs w:val="22"/>
                <w:color w:val="auto"/>
                <w:w w:val="97"/>
              </w:rPr>
              <w:t>Controlling Law</w:t>
            </w:r>
          </w:p>
        </w:tc>
        <w:tc>
          <w:tcPr>
            <w:tcW w:w="760" w:type="dxa"/>
            <w:vAlign w:val="bottom"/>
            <w:gridSpan w:val="2"/>
          </w:tcPr>
          <w:p>
            <w:pPr>
              <w:jc w:val="right"/>
              <w:ind w:right="292"/>
              <w:spacing w:after="0"/>
              <w:rPr>
                <w:sz w:val="20"/>
                <w:szCs w:val="20"/>
                <w:color w:val="auto"/>
              </w:rPr>
            </w:pPr>
            <w:r>
              <w:rPr>
                <w:rFonts w:ascii="Arial" w:cs="Arial" w:eastAsia="Arial" w:hAnsi="Arial"/>
                <w:sz w:val="22"/>
                <w:szCs w:val="22"/>
                <w:color w:val="auto"/>
              </w:rPr>
              <w:t>19</w:t>
            </w:r>
          </w:p>
        </w:tc>
        <w:tc>
          <w:tcPr>
            <w:tcW w:w="7380" w:type="dxa"/>
            <w:vAlign w:val="bottom"/>
          </w:tcPr>
          <w:p>
            <w:pPr>
              <w:spacing w:after="0"/>
              <w:rPr>
                <w:sz w:val="22"/>
                <w:szCs w:val="22"/>
                <w:color w:val="auto"/>
              </w:rPr>
            </w:pPr>
          </w:p>
        </w:tc>
      </w:tr>
      <w:tr>
        <w:trPr>
          <w:trHeight w:val="257"/>
        </w:trPr>
        <w:tc>
          <w:tcPr>
            <w:tcW w:w="880" w:type="dxa"/>
            <w:vAlign w:val="bottom"/>
          </w:tcPr>
          <w:p>
            <w:pPr>
              <w:jc w:val="right"/>
              <w:ind w:right="12"/>
              <w:spacing w:after="0"/>
              <w:rPr>
                <w:sz w:val="20"/>
                <w:szCs w:val="20"/>
                <w:color w:val="auto"/>
              </w:rPr>
            </w:pPr>
            <w:r>
              <w:rPr>
                <w:rFonts w:ascii="Arial" w:cs="Arial" w:eastAsia="Arial" w:hAnsi="Arial"/>
                <w:sz w:val="22"/>
                <w:szCs w:val="22"/>
                <w:color w:val="auto"/>
              </w:rPr>
              <w:t>12.2.</w:t>
            </w:r>
          </w:p>
        </w:tc>
        <w:tc>
          <w:tcPr>
            <w:tcW w:w="880" w:type="dxa"/>
            <w:vAlign w:val="bottom"/>
          </w:tcPr>
          <w:p>
            <w:pPr>
              <w:ind w:left="100"/>
              <w:spacing w:after="0"/>
              <w:rPr>
                <w:sz w:val="20"/>
                <w:szCs w:val="20"/>
                <w:color w:val="auto"/>
              </w:rPr>
            </w:pPr>
            <w:r>
              <w:rPr>
                <w:rFonts w:ascii="Arial" w:cs="Arial" w:eastAsia="Arial" w:hAnsi="Arial"/>
                <w:sz w:val="22"/>
                <w:szCs w:val="22"/>
                <w:color w:val="auto"/>
                <w:w w:val="87"/>
              </w:rPr>
              <w:t>Captions</w:t>
            </w:r>
          </w:p>
        </w:tc>
        <w:tc>
          <w:tcPr>
            <w:tcW w:w="460" w:type="dxa"/>
            <w:vAlign w:val="bottom"/>
          </w:tcPr>
          <w:p>
            <w:pPr>
              <w:jc w:val="right"/>
              <w:spacing w:after="0"/>
              <w:rPr>
                <w:sz w:val="20"/>
                <w:szCs w:val="20"/>
                <w:color w:val="auto"/>
              </w:rPr>
            </w:pPr>
            <w:r>
              <w:rPr>
                <w:rFonts w:ascii="Arial" w:cs="Arial" w:eastAsia="Arial" w:hAnsi="Arial"/>
                <w:sz w:val="22"/>
                <w:szCs w:val="22"/>
                <w:color w:val="auto"/>
              </w:rPr>
              <w:t>19</w:t>
            </w:r>
          </w:p>
        </w:tc>
        <w:tc>
          <w:tcPr>
            <w:tcW w:w="2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7380" w:type="dxa"/>
            <w:vAlign w:val="bottom"/>
          </w:tcPr>
          <w:p>
            <w:pPr>
              <w:spacing w:after="0"/>
              <w:rPr>
                <w:sz w:val="22"/>
                <w:szCs w:val="22"/>
                <w:color w:val="auto"/>
              </w:rPr>
            </w:pPr>
          </w:p>
        </w:tc>
      </w:tr>
      <w:tr>
        <w:trPr>
          <w:trHeight w:val="257"/>
        </w:trPr>
        <w:tc>
          <w:tcPr>
            <w:tcW w:w="880" w:type="dxa"/>
            <w:vAlign w:val="bottom"/>
          </w:tcPr>
          <w:p>
            <w:pPr>
              <w:jc w:val="right"/>
              <w:ind w:right="12"/>
              <w:spacing w:after="0"/>
              <w:rPr>
                <w:sz w:val="20"/>
                <w:szCs w:val="20"/>
                <w:color w:val="auto"/>
              </w:rPr>
            </w:pPr>
            <w:r>
              <w:rPr>
                <w:rFonts w:ascii="Arial" w:cs="Arial" w:eastAsia="Arial" w:hAnsi="Arial"/>
                <w:sz w:val="22"/>
                <w:szCs w:val="22"/>
                <w:color w:val="auto"/>
              </w:rPr>
              <w:t>12.3.</w:t>
            </w:r>
          </w:p>
        </w:tc>
        <w:tc>
          <w:tcPr>
            <w:tcW w:w="1860" w:type="dxa"/>
            <w:vAlign w:val="bottom"/>
            <w:gridSpan w:val="4"/>
          </w:tcPr>
          <w:p>
            <w:pPr>
              <w:ind w:left="100"/>
              <w:spacing w:after="0"/>
              <w:rPr>
                <w:sz w:val="20"/>
                <w:szCs w:val="20"/>
                <w:color w:val="auto"/>
              </w:rPr>
            </w:pPr>
            <w:r>
              <w:rPr>
                <w:rFonts w:ascii="Arial" w:cs="Arial" w:eastAsia="Arial" w:hAnsi="Arial"/>
                <w:sz w:val="22"/>
                <w:szCs w:val="22"/>
                <w:color w:val="auto"/>
                <w:w w:val="93"/>
              </w:rPr>
              <w:t>Facility of Payment</w:t>
            </w:r>
          </w:p>
        </w:tc>
        <w:tc>
          <w:tcPr>
            <w:tcW w:w="500" w:type="dxa"/>
            <w:vAlign w:val="bottom"/>
          </w:tcPr>
          <w:p>
            <w:pPr>
              <w:jc w:val="right"/>
              <w:ind w:right="12"/>
              <w:spacing w:after="0"/>
              <w:rPr>
                <w:sz w:val="20"/>
                <w:szCs w:val="20"/>
                <w:color w:val="auto"/>
              </w:rPr>
            </w:pPr>
            <w:r>
              <w:rPr>
                <w:rFonts w:ascii="Arial" w:cs="Arial" w:eastAsia="Arial" w:hAnsi="Arial"/>
                <w:sz w:val="22"/>
                <w:szCs w:val="22"/>
                <w:color w:val="auto"/>
              </w:rPr>
              <w:t>19</w:t>
            </w:r>
          </w:p>
        </w:tc>
        <w:tc>
          <w:tcPr>
            <w:tcW w:w="7380" w:type="dxa"/>
            <w:vAlign w:val="bottom"/>
          </w:tcPr>
          <w:p>
            <w:pPr>
              <w:spacing w:after="0"/>
              <w:rPr>
                <w:sz w:val="22"/>
                <w:szCs w:val="22"/>
                <w:color w:val="auto"/>
              </w:rPr>
            </w:pPr>
          </w:p>
        </w:tc>
      </w:tr>
      <w:tr>
        <w:trPr>
          <w:trHeight w:val="257"/>
        </w:trPr>
        <w:tc>
          <w:tcPr>
            <w:tcW w:w="880" w:type="dxa"/>
            <w:vAlign w:val="bottom"/>
          </w:tcPr>
          <w:p>
            <w:pPr>
              <w:jc w:val="right"/>
              <w:ind w:right="12"/>
              <w:spacing w:after="0"/>
              <w:rPr>
                <w:sz w:val="20"/>
                <w:szCs w:val="20"/>
                <w:color w:val="auto"/>
              </w:rPr>
            </w:pPr>
            <w:r>
              <w:rPr>
                <w:rFonts w:ascii="Arial" w:cs="Arial" w:eastAsia="Arial" w:hAnsi="Arial"/>
                <w:sz w:val="22"/>
                <w:szCs w:val="22"/>
                <w:color w:val="auto"/>
              </w:rPr>
              <w:t>12.4.</w:t>
            </w:r>
          </w:p>
        </w:tc>
        <w:tc>
          <w:tcPr>
            <w:tcW w:w="2360" w:type="dxa"/>
            <w:vAlign w:val="bottom"/>
            <w:gridSpan w:val="5"/>
          </w:tcPr>
          <w:p>
            <w:pPr>
              <w:ind w:left="100"/>
              <w:spacing w:after="0"/>
              <w:rPr>
                <w:sz w:val="20"/>
                <w:szCs w:val="20"/>
                <w:color w:val="auto"/>
              </w:rPr>
            </w:pPr>
            <w:r>
              <w:rPr>
                <w:rFonts w:ascii="Arial" w:cs="Arial" w:eastAsia="Arial" w:hAnsi="Arial"/>
                <w:sz w:val="22"/>
                <w:szCs w:val="22"/>
                <w:color w:val="auto"/>
                <w:w w:val="92"/>
              </w:rPr>
              <w:t>Administrative Expenses</w:t>
            </w:r>
          </w:p>
        </w:tc>
        <w:tc>
          <w:tcPr>
            <w:tcW w:w="7380" w:type="dxa"/>
            <w:vAlign w:val="bottom"/>
          </w:tcPr>
          <w:p>
            <w:pPr>
              <w:jc w:val="right"/>
              <w:ind w:right="6932"/>
              <w:spacing w:after="0"/>
              <w:rPr>
                <w:sz w:val="20"/>
                <w:szCs w:val="20"/>
                <w:color w:val="auto"/>
              </w:rPr>
            </w:pPr>
            <w:r>
              <w:rPr>
                <w:rFonts w:ascii="Arial" w:cs="Arial" w:eastAsia="Arial" w:hAnsi="Arial"/>
                <w:sz w:val="22"/>
                <w:szCs w:val="22"/>
                <w:color w:val="auto"/>
              </w:rPr>
              <w:t>19</w:t>
            </w:r>
          </w:p>
        </w:tc>
      </w:tr>
      <w:tr>
        <w:trPr>
          <w:trHeight w:val="257"/>
        </w:trPr>
        <w:tc>
          <w:tcPr>
            <w:tcW w:w="880" w:type="dxa"/>
            <w:vAlign w:val="bottom"/>
          </w:tcPr>
          <w:p>
            <w:pPr>
              <w:jc w:val="right"/>
              <w:ind w:right="12"/>
              <w:spacing w:after="0"/>
              <w:rPr>
                <w:sz w:val="20"/>
                <w:szCs w:val="20"/>
                <w:color w:val="auto"/>
              </w:rPr>
            </w:pPr>
            <w:r>
              <w:rPr>
                <w:rFonts w:ascii="Arial" w:cs="Arial" w:eastAsia="Arial" w:hAnsi="Arial"/>
                <w:sz w:val="22"/>
                <w:szCs w:val="22"/>
                <w:color w:val="auto"/>
              </w:rPr>
              <w:t>12.5.</w:t>
            </w:r>
          </w:p>
        </w:tc>
        <w:tc>
          <w:tcPr>
            <w:tcW w:w="1340" w:type="dxa"/>
            <w:vAlign w:val="bottom"/>
            <w:gridSpan w:val="2"/>
          </w:tcPr>
          <w:p>
            <w:pPr>
              <w:ind w:left="100"/>
              <w:spacing w:after="0"/>
              <w:rPr>
                <w:sz w:val="20"/>
                <w:szCs w:val="20"/>
                <w:color w:val="auto"/>
              </w:rPr>
            </w:pPr>
            <w:r>
              <w:rPr>
                <w:rFonts w:ascii="Arial" w:cs="Arial" w:eastAsia="Arial" w:hAnsi="Arial"/>
                <w:sz w:val="22"/>
                <w:szCs w:val="22"/>
                <w:color w:val="auto"/>
              </w:rPr>
              <w:t>Severability</w:t>
            </w:r>
          </w:p>
        </w:tc>
        <w:tc>
          <w:tcPr>
            <w:tcW w:w="260" w:type="dxa"/>
            <w:vAlign w:val="bottom"/>
          </w:tcPr>
          <w:p>
            <w:pPr>
              <w:jc w:val="right"/>
              <w:spacing w:after="0"/>
              <w:rPr>
                <w:sz w:val="20"/>
                <w:szCs w:val="20"/>
                <w:color w:val="auto"/>
              </w:rPr>
            </w:pPr>
            <w:r>
              <w:rPr>
                <w:rFonts w:ascii="Arial" w:cs="Arial" w:eastAsia="Arial" w:hAnsi="Arial"/>
                <w:sz w:val="22"/>
                <w:szCs w:val="22"/>
                <w:color w:val="auto"/>
                <w:w w:val="89"/>
              </w:rPr>
              <w:t>19</w:t>
            </w:r>
          </w:p>
        </w:tc>
        <w:tc>
          <w:tcPr>
            <w:tcW w:w="2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7380" w:type="dxa"/>
            <w:vAlign w:val="bottom"/>
          </w:tcPr>
          <w:p>
            <w:pPr>
              <w:spacing w:after="0"/>
              <w:rPr>
                <w:sz w:val="22"/>
                <w:szCs w:val="22"/>
                <w:color w:val="auto"/>
              </w:rPr>
            </w:pPr>
          </w:p>
        </w:tc>
      </w:tr>
      <w:tr>
        <w:trPr>
          <w:trHeight w:val="257"/>
        </w:trPr>
        <w:tc>
          <w:tcPr>
            <w:tcW w:w="880" w:type="dxa"/>
            <w:vAlign w:val="bottom"/>
          </w:tcPr>
          <w:p>
            <w:pPr>
              <w:jc w:val="right"/>
              <w:ind w:right="12"/>
              <w:spacing w:after="0"/>
              <w:rPr>
                <w:sz w:val="20"/>
                <w:szCs w:val="20"/>
                <w:color w:val="auto"/>
              </w:rPr>
            </w:pPr>
            <w:r>
              <w:rPr>
                <w:rFonts w:ascii="Arial" w:cs="Arial" w:eastAsia="Arial" w:hAnsi="Arial"/>
                <w:sz w:val="22"/>
                <w:szCs w:val="22"/>
                <w:color w:val="auto"/>
              </w:rPr>
              <w:t>12.6.</w:t>
            </w:r>
          </w:p>
        </w:tc>
        <w:tc>
          <w:tcPr>
            <w:tcW w:w="1860" w:type="dxa"/>
            <w:vAlign w:val="bottom"/>
            <w:gridSpan w:val="4"/>
          </w:tcPr>
          <w:p>
            <w:pPr>
              <w:ind w:left="100"/>
              <w:spacing w:after="0"/>
              <w:rPr>
                <w:sz w:val="20"/>
                <w:szCs w:val="20"/>
                <w:color w:val="auto"/>
              </w:rPr>
            </w:pPr>
            <w:r>
              <w:rPr>
                <w:rFonts w:ascii="Arial" w:cs="Arial" w:eastAsia="Arial" w:hAnsi="Arial"/>
                <w:sz w:val="22"/>
                <w:szCs w:val="22"/>
                <w:color w:val="auto"/>
              </w:rPr>
              <w:t>Personal Liability</w:t>
            </w:r>
          </w:p>
        </w:tc>
        <w:tc>
          <w:tcPr>
            <w:tcW w:w="500" w:type="dxa"/>
            <w:vAlign w:val="bottom"/>
          </w:tcPr>
          <w:p>
            <w:pPr>
              <w:jc w:val="right"/>
              <w:ind w:right="172"/>
              <w:spacing w:after="0"/>
              <w:rPr>
                <w:sz w:val="20"/>
                <w:szCs w:val="20"/>
                <w:color w:val="auto"/>
              </w:rPr>
            </w:pPr>
            <w:r>
              <w:rPr>
                <w:rFonts w:ascii="Arial" w:cs="Arial" w:eastAsia="Arial" w:hAnsi="Arial"/>
                <w:sz w:val="22"/>
                <w:szCs w:val="22"/>
                <w:color w:val="auto"/>
                <w:w w:val="81"/>
              </w:rPr>
              <w:t>19</w:t>
            </w:r>
          </w:p>
        </w:tc>
        <w:tc>
          <w:tcPr>
            <w:tcW w:w="7380" w:type="dxa"/>
            <w:vAlign w:val="bottom"/>
          </w:tcPr>
          <w:p>
            <w:pPr>
              <w:spacing w:after="0"/>
              <w:rPr>
                <w:sz w:val="22"/>
                <w:szCs w:val="22"/>
                <w:color w:val="auto"/>
              </w:rPr>
            </w:pPr>
          </w:p>
        </w:tc>
      </w:tr>
      <w:tr>
        <w:trPr>
          <w:trHeight w:val="257"/>
        </w:trPr>
        <w:tc>
          <w:tcPr>
            <w:tcW w:w="880" w:type="dxa"/>
            <w:vAlign w:val="bottom"/>
          </w:tcPr>
          <w:p>
            <w:pPr>
              <w:jc w:val="right"/>
              <w:ind w:right="12"/>
              <w:spacing w:after="0"/>
              <w:rPr>
                <w:sz w:val="20"/>
                <w:szCs w:val="20"/>
                <w:color w:val="auto"/>
              </w:rPr>
            </w:pPr>
            <w:r>
              <w:rPr>
                <w:rFonts w:ascii="Arial" w:cs="Arial" w:eastAsia="Arial" w:hAnsi="Arial"/>
                <w:sz w:val="22"/>
                <w:szCs w:val="22"/>
                <w:color w:val="auto"/>
              </w:rPr>
              <w:t>12.7.</w:t>
            </w:r>
          </w:p>
        </w:tc>
        <w:tc>
          <w:tcPr>
            <w:tcW w:w="9740" w:type="dxa"/>
            <w:vAlign w:val="bottom"/>
            <w:gridSpan w:val="6"/>
          </w:tcPr>
          <w:p>
            <w:pPr>
              <w:ind w:left="100"/>
              <w:spacing w:after="0"/>
              <w:rPr>
                <w:sz w:val="20"/>
                <w:szCs w:val="20"/>
                <w:color w:val="auto"/>
              </w:rPr>
            </w:pPr>
            <w:r>
              <w:rPr>
                <w:rFonts w:ascii="Arial" w:cs="Arial" w:eastAsia="Arial" w:hAnsi="Arial"/>
                <w:sz w:val="22"/>
                <w:szCs w:val="22"/>
                <w:color w:val="auto"/>
                <w:w w:val="90"/>
              </w:rPr>
              <w:t>Amendment to Qualified Plan or Changes to Employer Contributions and Participant Deferrals under Qualified</w:t>
            </w:r>
          </w:p>
        </w:tc>
      </w:tr>
      <w:tr>
        <w:trPr>
          <w:trHeight w:val="257"/>
        </w:trPr>
        <w:tc>
          <w:tcPr>
            <w:tcW w:w="880" w:type="dxa"/>
            <w:vAlign w:val="bottom"/>
          </w:tcPr>
          <w:p>
            <w:pPr>
              <w:spacing w:after="0"/>
              <w:rPr>
                <w:sz w:val="22"/>
                <w:szCs w:val="22"/>
                <w:color w:val="auto"/>
              </w:rPr>
            </w:pPr>
          </w:p>
        </w:tc>
        <w:tc>
          <w:tcPr>
            <w:tcW w:w="1340" w:type="dxa"/>
            <w:vAlign w:val="bottom"/>
            <w:gridSpan w:val="2"/>
          </w:tcPr>
          <w:p>
            <w:pPr>
              <w:ind w:left="100"/>
              <w:spacing w:after="0"/>
              <w:rPr>
                <w:sz w:val="20"/>
                <w:szCs w:val="20"/>
                <w:color w:val="auto"/>
              </w:rPr>
            </w:pPr>
            <w:r>
              <w:rPr>
                <w:rFonts w:ascii="Arial" w:cs="Arial" w:eastAsia="Arial" w:hAnsi="Arial"/>
                <w:sz w:val="22"/>
                <w:szCs w:val="22"/>
                <w:color w:val="auto"/>
              </w:rPr>
              <w:t>Plan  20</w:t>
            </w:r>
          </w:p>
        </w:tc>
        <w:tc>
          <w:tcPr>
            <w:tcW w:w="2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7380" w:type="dxa"/>
            <w:vAlign w:val="bottom"/>
          </w:tcPr>
          <w:p>
            <w:pPr>
              <w:spacing w:after="0"/>
              <w:rPr>
                <w:sz w:val="22"/>
                <w:szCs w:val="22"/>
                <w:color w:val="auto"/>
              </w:rPr>
            </w:pPr>
          </w:p>
        </w:tc>
      </w:tr>
      <w:tr>
        <w:trPr>
          <w:trHeight w:val="275"/>
        </w:trPr>
        <w:tc>
          <w:tcPr>
            <w:tcW w:w="880" w:type="dxa"/>
            <w:vAlign w:val="bottom"/>
          </w:tcPr>
          <w:p>
            <w:pPr>
              <w:jc w:val="right"/>
              <w:ind w:right="12"/>
              <w:spacing w:after="0"/>
              <w:rPr>
                <w:sz w:val="20"/>
                <w:szCs w:val="20"/>
                <w:color w:val="auto"/>
              </w:rPr>
            </w:pPr>
            <w:r>
              <w:rPr>
                <w:rFonts w:ascii="Arial" w:cs="Arial" w:eastAsia="Arial" w:hAnsi="Arial"/>
                <w:sz w:val="22"/>
                <w:szCs w:val="22"/>
                <w:color w:val="auto"/>
              </w:rPr>
              <w:t>12.8.</w:t>
            </w:r>
          </w:p>
        </w:tc>
        <w:tc>
          <w:tcPr>
            <w:tcW w:w="1600" w:type="dxa"/>
            <w:vAlign w:val="bottom"/>
            <w:gridSpan w:val="3"/>
          </w:tcPr>
          <w:p>
            <w:pPr>
              <w:ind w:left="100"/>
              <w:spacing w:after="0"/>
              <w:rPr>
                <w:sz w:val="20"/>
                <w:szCs w:val="20"/>
                <w:color w:val="auto"/>
              </w:rPr>
            </w:pPr>
            <w:r>
              <w:rPr>
                <w:rFonts w:ascii="Arial" w:cs="Arial" w:eastAsia="Arial" w:hAnsi="Arial"/>
                <w:sz w:val="22"/>
                <w:szCs w:val="22"/>
                <w:color w:val="auto"/>
              </w:rPr>
              <w:t>Right to Offset</w:t>
            </w:r>
          </w:p>
        </w:tc>
        <w:tc>
          <w:tcPr>
            <w:tcW w:w="260" w:type="dxa"/>
            <w:vAlign w:val="bottom"/>
          </w:tcPr>
          <w:p>
            <w:pPr>
              <w:jc w:val="right"/>
              <w:spacing w:after="0"/>
              <w:rPr>
                <w:sz w:val="20"/>
                <w:szCs w:val="20"/>
                <w:color w:val="auto"/>
              </w:rPr>
            </w:pPr>
            <w:r>
              <w:rPr>
                <w:rFonts w:ascii="Arial" w:cs="Arial" w:eastAsia="Arial" w:hAnsi="Arial"/>
                <w:sz w:val="22"/>
                <w:szCs w:val="22"/>
                <w:color w:val="auto"/>
                <w:w w:val="81"/>
              </w:rPr>
              <w:t>20</w:t>
            </w:r>
          </w:p>
        </w:tc>
        <w:tc>
          <w:tcPr>
            <w:tcW w:w="500" w:type="dxa"/>
            <w:vAlign w:val="bottom"/>
          </w:tcPr>
          <w:p>
            <w:pPr>
              <w:spacing w:after="0"/>
              <w:rPr>
                <w:sz w:val="23"/>
                <w:szCs w:val="23"/>
                <w:color w:val="auto"/>
              </w:rPr>
            </w:pPr>
          </w:p>
        </w:tc>
        <w:tc>
          <w:tcPr>
            <w:tcW w:w="7380" w:type="dxa"/>
            <w:vAlign w:val="bottom"/>
          </w:tcPr>
          <w:p>
            <w:pPr>
              <w:spacing w:after="0"/>
              <w:rPr>
                <w:sz w:val="23"/>
                <w:szCs w:val="23"/>
                <w:color w:val="auto"/>
              </w:rPr>
            </w:pPr>
          </w:p>
        </w:tc>
      </w:tr>
    </w:tbl>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SECTION 13</w:t>
      </w:r>
    </w:p>
    <w:p>
      <w:pPr>
        <w:spacing w:after="0" w:line="22" w:lineRule="exact"/>
        <w:rPr>
          <w:sz w:val="20"/>
          <w:szCs w:val="20"/>
          <w:color w:val="auto"/>
        </w:rPr>
      </w:pPr>
    </w:p>
    <w:p>
      <w:pPr>
        <w:spacing w:after="0"/>
        <w:tabs>
          <w:tab w:leader="none" w:pos="2640" w:val="left"/>
        </w:tabs>
        <w:rPr>
          <w:sz w:val="20"/>
          <w:szCs w:val="20"/>
          <w:color w:val="auto"/>
        </w:rPr>
      </w:pPr>
      <w:r>
        <w:rPr>
          <w:rFonts w:ascii="Arial" w:cs="Arial" w:eastAsia="Arial" w:hAnsi="Arial"/>
          <w:sz w:val="22"/>
          <w:szCs w:val="22"/>
          <w:color w:val="auto"/>
        </w:rPr>
        <w:t>Unfunded Status of the Plan</w:t>
      </w:r>
      <w:r>
        <w:rPr>
          <w:sz w:val="20"/>
          <w:szCs w:val="20"/>
          <w:color w:val="auto"/>
        </w:rPr>
        <w:tab/>
      </w:r>
      <w:r>
        <w:rPr>
          <w:rFonts w:ascii="Arial" w:cs="Arial" w:eastAsia="Arial" w:hAnsi="Arial"/>
          <w:sz w:val="19"/>
          <w:szCs w:val="19"/>
          <w:color w:val="auto"/>
        </w:rPr>
        <w:t>20</w:t>
      </w:r>
    </w:p>
    <w:p>
      <w:pPr>
        <w:spacing w:after="0" w:line="200" w:lineRule="exact"/>
        <w:rPr>
          <w:sz w:val="20"/>
          <w:szCs w:val="20"/>
          <w:color w:val="auto"/>
        </w:rPr>
      </w:pPr>
    </w:p>
    <w:p>
      <w:pPr>
        <w:spacing w:after="0" w:line="285" w:lineRule="exact"/>
        <w:rPr>
          <w:sz w:val="20"/>
          <w:szCs w:val="20"/>
          <w:color w:val="auto"/>
        </w:rPr>
      </w:pPr>
    </w:p>
    <w:p>
      <w:pPr>
        <w:ind w:left="8440"/>
        <w:spacing w:after="0"/>
        <w:rPr>
          <w:sz w:val="20"/>
          <w:szCs w:val="20"/>
          <w:color w:val="auto"/>
        </w:rPr>
      </w:pPr>
      <w:r>
        <w:rPr>
          <w:rFonts w:ascii="Arial" w:cs="Arial" w:eastAsia="Arial" w:hAnsi="Arial"/>
          <w:sz w:val="22"/>
          <w:szCs w:val="22"/>
          <w:color w:val="auto"/>
        </w:rPr>
        <w:t>iii</w:t>
      </w:r>
    </w:p>
    <w:p>
      <w:pPr>
        <w:sectPr>
          <w:pgSz w:w="11900" w:h="16838" w:orient="portrait"/>
          <w:cols w:equalWidth="0" w:num="1">
            <w:col w:w="10620"/>
          </w:cols>
          <w:pgMar w:left="240" w:top="631" w:right="1039" w:bottom="1440" w:gutter="0" w:footer="0" w:header="0"/>
        </w:sectPr>
      </w:pPr>
    </w:p>
    <w:bookmarkStart w:id="51" w:name="page52"/>
    <w:bookmarkEnd w:id="51"/>
    <w:p>
      <w:pPr>
        <w:jc w:val="center"/>
        <w:spacing w:after="0"/>
        <w:rPr>
          <w:sz w:val="20"/>
          <w:szCs w:val="20"/>
          <w:color w:val="auto"/>
        </w:rPr>
      </w:pPr>
      <w:r>
        <w:rPr>
          <w:rFonts w:ascii="Arial" w:cs="Arial" w:eastAsia="Arial" w:hAnsi="Arial"/>
          <w:sz w:val="22"/>
          <w:szCs w:val="22"/>
          <w:color w:val="auto"/>
        </w:rPr>
        <w:t>THE SCOTTS COMPANY LLC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EXECUTIVE RETIREMENT PLAN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Amended and Restated as of January 1, 2015</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SECTION 1</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NAME AND PURPOSE</w:t>
      </w:r>
    </w:p>
    <w:p>
      <w:pPr>
        <w:spacing w:after="0" w:line="202"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The Scotts Company LLC Executive Retirement Plan provides Eligible Employees the opportunity to defer certain salary, bonuses and other compensation and to receive other benefits in accordance with the terms of the Plan. The Plan is unfunded. It is intended that the Plan be exempt from the funding, participation, vesting and fiduciary provisions of Title I of ERISA.</w:t>
      </w:r>
    </w:p>
    <w:p>
      <w:pPr>
        <w:spacing w:after="0" w:line="134"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The Plan is subject to Code Section 409A. The provisions of the Plan apply to: (a) any Participant who is receiving or accruing benefits on the Effective Date; (b) any individual who becomes a Participant on or after the Effective Date; and (c) any Participant who retires, becomes Disabled, dies or terminates employment in accordance with the Plan on or after the Effective Date.</w:t>
      </w:r>
    </w:p>
    <w:p>
      <w:pPr>
        <w:spacing w:after="0" w:line="188"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Effective with respect to Plan Years beginning on and after January 1, 2014, the Plan was revised to include provisions regarding Supplemental Retirement Awards.</w:t>
      </w:r>
    </w:p>
    <w:p>
      <w:pPr>
        <w:spacing w:after="0" w:line="17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1"/>
          <w:szCs w:val="21"/>
          <w:color w:val="auto"/>
        </w:rPr>
        <w:t>Effective with respect to Plan Years beginning on and after January 1, 2015, the Plan is amended and restated to incorporate prior amendments and to remove provisions that are no longer applicable or relevant to the operation of the Plan. Except as otherwise specifically provided, the benefits due an individual under the Plan or any prior version of the Plan shall be determined based on the provisions of the Plan (or the applicable predecessor) in effect on the date he or she separated from the service of the Employer and shall not be affected by any subsequent amendment to the Plan.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SECTION 2</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DEFINITIONS</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following terms have the indicated meanings.</w:t>
      </w:r>
    </w:p>
    <w:p>
      <w:pPr>
        <w:spacing w:after="0" w:line="214"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auto"/>
        </w:rPr>
        <w:t>2.1.</w:t>
      </w:r>
      <w:r>
        <w:rPr>
          <w:sz w:val="20"/>
          <w:szCs w:val="20"/>
          <w:color w:val="auto"/>
        </w:rPr>
        <w:tab/>
      </w:r>
      <w:r>
        <w:rPr>
          <w:rFonts w:ascii="Arial" w:cs="Arial" w:eastAsia="Arial" w:hAnsi="Arial"/>
          <w:sz w:val="18"/>
          <w:szCs w:val="18"/>
          <w:b w:val="1"/>
          <w:bCs w:val="1"/>
          <w:u w:val="single" w:color="auto"/>
          <w:color w:val="auto"/>
        </w:rPr>
        <w:t>Account or Accounts</w:t>
      </w:r>
    </w:p>
    <w:p>
      <w:pPr>
        <w:spacing w:after="0" w:line="226"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“Account” or “Accounts,” as applicable, means the separate Account or a subaccount established for each Participant pursuant to Section 4 of the Plan. A Participant’s Account shall consist of a Performance Award Account, a Base Salary Account, a Matching Account, a Retirement Account, a Transitional Contributions Account, a Retention Award Account and a Supplemental Retirement Award Account. Accounts are bookkeeping benchmark accounts maintained solely for accounting purposes.</w:t>
      </w:r>
    </w:p>
    <w:p>
      <w:pPr>
        <w:spacing w:after="0" w:line="137"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auto"/>
        </w:rPr>
        <w:t>2.2.</w:t>
      </w:r>
      <w:r>
        <w:rPr>
          <w:sz w:val="20"/>
          <w:szCs w:val="20"/>
          <w:color w:val="auto"/>
        </w:rPr>
        <w:tab/>
      </w:r>
      <w:r>
        <w:rPr>
          <w:rFonts w:ascii="Arial" w:cs="Arial" w:eastAsia="Arial" w:hAnsi="Arial"/>
          <w:sz w:val="19"/>
          <w:szCs w:val="19"/>
          <w:b w:val="1"/>
          <w:bCs w:val="1"/>
          <w:u w:val="single" w:color="auto"/>
          <w:color w:val="auto"/>
        </w:rPr>
        <w:t>Adjustments</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“Adjustments” means the credits to or debits from Accounts as provided in Section 4.</w:t>
      </w:r>
    </w:p>
    <w:p>
      <w:pPr>
        <w:spacing w:after="0" w:line="200" w:lineRule="exact"/>
        <w:rPr>
          <w:sz w:val="20"/>
          <w:szCs w:val="20"/>
          <w:color w:val="auto"/>
        </w:rPr>
      </w:pPr>
    </w:p>
    <w:p>
      <w:pPr>
        <w:spacing w:after="0" w:line="263" w:lineRule="exact"/>
        <w:rPr>
          <w:sz w:val="20"/>
          <w:szCs w:val="20"/>
          <w:color w:val="auto"/>
        </w:rPr>
      </w:pPr>
    </w:p>
    <w:p>
      <w:pPr>
        <w:ind w:left="8440"/>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420"/>
          </w:cols>
          <w:pgMar w:left="240" w:top="631" w:right="239" w:bottom="1440" w:gutter="0" w:footer="0" w:header="0"/>
        </w:sectPr>
      </w:pPr>
    </w:p>
    <w:bookmarkStart w:id="52" w:name="page53"/>
    <w:bookmarkEnd w:id="52"/>
    <w:p>
      <w:pPr>
        <w:spacing w:after="0"/>
        <w:tabs>
          <w:tab w:leader="none" w:pos="500" w:val="left"/>
        </w:tabs>
        <w:rPr>
          <w:sz w:val="20"/>
          <w:szCs w:val="20"/>
          <w:color w:val="auto"/>
        </w:rPr>
      </w:pPr>
      <w:r>
        <w:rPr>
          <w:rFonts w:ascii="Arial" w:cs="Arial" w:eastAsia="Arial" w:hAnsi="Arial"/>
          <w:sz w:val="22"/>
          <w:szCs w:val="22"/>
          <w:b w:val="1"/>
          <w:bCs w:val="1"/>
          <w:color w:val="auto"/>
        </w:rPr>
        <w:t>2.3.</w:t>
      </w:r>
      <w:r>
        <w:rPr>
          <w:sz w:val="20"/>
          <w:szCs w:val="20"/>
          <w:color w:val="auto"/>
        </w:rPr>
        <w:tab/>
      </w:r>
      <w:r>
        <w:rPr>
          <w:rFonts w:ascii="Arial" w:cs="Arial" w:eastAsia="Arial" w:hAnsi="Arial"/>
          <w:sz w:val="19"/>
          <w:szCs w:val="19"/>
          <w:b w:val="1"/>
          <w:bCs w:val="1"/>
          <w:u w:val="single" w:color="auto"/>
          <w:color w:val="auto"/>
        </w:rPr>
        <w:t>Affiliate</w:t>
      </w:r>
    </w:p>
    <w:p>
      <w:pPr>
        <w:spacing w:after="0" w:line="239"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“Affiliate” means any business organization or legal entity that, directly or indirectly, controls, is controlled by, or is under common control with, the Company. For purposes of this definition, control (including the terms controlling, controlled by, and under common control with) includes the possession, direct or indirect, of the power to vote 50% or more of the voting equity securities, membership interests or other voting interests, or to direct or cause the direction of the management and policies of, such business organization or other legal entity, whether through the ownership of equity securities, membership interests or other voting interests, by contract or otherwise.</w:t>
      </w:r>
    </w:p>
    <w:p>
      <w:pPr>
        <w:spacing w:after="0" w:line="188"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auto"/>
        </w:rPr>
        <w:t>2.4.</w:t>
      </w:r>
      <w:r>
        <w:rPr>
          <w:sz w:val="20"/>
          <w:szCs w:val="20"/>
          <w:color w:val="auto"/>
        </w:rPr>
        <w:tab/>
      </w:r>
      <w:r>
        <w:rPr>
          <w:rFonts w:ascii="Arial" w:cs="Arial" w:eastAsia="Arial" w:hAnsi="Arial"/>
          <w:sz w:val="19"/>
          <w:szCs w:val="19"/>
          <w:b w:val="1"/>
          <w:bCs w:val="1"/>
          <w:u w:val="single" w:color="auto"/>
          <w:color w:val="auto"/>
        </w:rPr>
        <w:t>Base Salary</w:t>
      </w:r>
    </w:p>
    <w:p>
      <w:pPr>
        <w:spacing w:after="0" w:line="22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For purposes of this Plan, “Base Salary” means the portion of a Participants’ Compensation that constitutes salary, amounts received in lieu of salary (including, but not limited to, paid time off, vacation pay, salary continuation, short-term disability benefits) and LTI Offset Payments.</w:t>
      </w:r>
    </w:p>
    <w:p>
      <w:pPr>
        <w:spacing w:after="0" w:line="180" w:lineRule="exact"/>
        <w:rPr>
          <w:sz w:val="20"/>
          <w:szCs w:val="20"/>
          <w:color w:val="auto"/>
        </w:rPr>
      </w:pPr>
    </w:p>
    <w:p>
      <w:pPr>
        <w:spacing w:after="0"/>
        <w:tabs>
          <w:tab w:leader="none" w:pos="500" w:val="left"/>
        </w:tabs>
        <w:rPr>
          <w:sz w:val="20"/>
          <w:szCs w:val="20"/>
          <w:color w:val="auto"/>
        </w:rPr>
      </w:pPr>
      <w:r>
        <w:rPr>
          <w:rFonts w:ascii="Arial" w:cs="Arial" w:eastAsia="Arial" w:hAnsi="Arial"/>
          <w:sz w:val="22"/>
          <w:szCs w:val="22"/>
          <w:b w:val="1"/>
          <w:bCs w:val="1"/>
          <w:color w:val="auto"/>
        </w:rPr>
        <w:t>2.5.</w:t>
      </w:r>
      <w:r>
        <w:rPr>
          <w:sz w:val="20"/>
          <w:szCs w:val="20"/>
          <w:color w:val="auto"/>
        </w:rPr>
        <w:tab/>
      </w:r>
      <w:r>
        <w:rPr>
          <w:rFonts w:ascii="Arial" w:cs="Arial" w:eastAsia="Arial" w:hAnsi="Arial"/>
          <w:sz w:val="19"/>
          <w:szCs w:val="19"/>
          <w:b w:val="1"/>
          <w:bCs w:val="1"/>
          <w:u w:val="single" w:color="auto"/>
          <w:color w:val="auto"/>
        </w:rPr>
        <w:t>Base Salary Account</w:t>
      </w:r>
    </w:p>
    <w:p>
      <w:pPr>
        <w:spacing w:after="0" w:line="23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“Base Salary Account” means the Participant’s subaccount to which Base Salary deferral contributions are allocated pursuant to Section 4.3.</w:t>
      </w:r>
    </w:p>
    <w:p>
      <w:pPr>
        <w:spacing w:after="0" w:line="169"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auto"/>
        </w:rPr>
        <w:t>2.6.</w:t>
      </w:r>
      <w:r>
        <w:rPr>
          <w:sz w:val="20"/>
          <w:szCs w:val="20"/>
          <w:color w:val="auto"/>
        </w:rPr>
        <w:tab/>
      </w:r>
      <w:r>
        <w:rPr>
          <w:rFonts w:ascii="Arial" w:cs="Arial" w:eastAsia="Arial" w:hAnsi="Arial"/>
          <w:sz w:val="19"/>
          <w:szCs w:val="19"/>
          <w:b w:val="1"/>
          <w:bCs w:val="1"/>
          <w:u w:val="single" w:color="auto"/>
          <w:color w:val="auto"/>
        </w:rPr>
        <w:t>Base Salary Deferral Election</w:t>
      </w:r>
    </w:p>
    <w:p>
      <w:pPr>
        <w:spacing w:after="0" w:line="22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“Base Salary Deferral Election” means an Eligible Employee’s election, in a manner prescribed by the Benefits Administrative Committee, to defer Base Salary (including LTI Offset Payments) pursuant to the Plan.</w:t>
      </w:r>
    </w:p>
    <w:p>
      <w:pPr>
        <w:spacing w:after="0" w:line="169"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auto"/>
        </w:rPr>
        <w:t>2.7.</w:t>
      </w:r>
      <w:r>
        <w:rPr>
          <w:sz w:val="20"/>
          <w:szCs w:val="20"/>
          <w:color w:val="auto"/>
        </w:rPr>
        <w:tab/>
      </w:r>
      <w:r>
        <w:rPr>
          <w:rFonts w:ascii="Arial" w:cs="Arial" w:eastAsia="Arial" w:hAnsi="Arial"/>
          <w:sz w:val="19"/>
          <w:szCs w:val="19"/>
          <w:b w:val="1"/>
          <w:bCs w:val="1"/>
          <w:u w:val="single" w:color="auto"/>
          <w:color w:val="auto"/>
        </w:rPr>
        <w:t>Beneficiary</w:t>
      </w:r>
    </w:p>
    <w:p>
      <w:pPr>
        <w:spacing w:after="0" w:line="226"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“Beneficiary” means the person or persons designated in writing as such and filed with the recordkeeper at any time by a Participant. Any such designation may be withdrawn or changed in writing (without the consent of the Beneficiary), but only the last designation on file with the recordkeeper shall be effective. Notwithstanding any contrary provision, a change in the identity of the Beneficiary may not, and shall not, change the form and time of payment previously elected by the Participant for distribution of his or her Account or the applicable portion thereof.</w:t>
      </w:r>
    </w:p>
    <w:p>
      <w:pPr>
        <w:spacing w:after="0" w:line="186"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auto"/>
        </w:rPr>
        <w:t>2.8.</w:t>
      </w:r>
      <w:r>
        <w:rPr>
          <w:sz w:val="20"/>
          <w:szCs w:val="20"/>
          <w:color w:val="auto"/>
        </w:rPr>
        <w:tab/>
      </w:r>
      <w:r>
        <w:rPr>
          <w:rFonts w:ascii="Arial" w:cs="Arial" w:eastAsia="Arial" w:hAnsi="Arial"/>
          <w:sz w:val="19"/>
          <w:szCs w:val="19"/>
          <w:b w:val="1"/>
          <w:bCs w:val="1"/>
          <w:u w:val="single" w:color="auto"/>
          <w:color w:val="auto"/>
        </w:rPr>
        <w:t>Benefits Administrative Committee</w:t>
      </w:r>
    </w:p>
    <w:p>
      <w:pPr>
        <w:spacing w:after="0" w:line="22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“Benefits Administrative Committee” means: (a) the administrative committee appointed to administer the tax qualified retirement plans which are sponsored by the Employer; or (b) any person or entity to which the Benefits Administrative Committee delegates any of the administrative or ministerial duties assigned to it under the Plan.</w:t>
      </w:r>
    </w:p>
    <w:p>
      <w:pPr>
        <w:spacing w:after="0" w:line="180"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auto"/>
        </w:rPr>
        <w:t>2.9.</w:t>
      </w:r>
      <w:r>
        <w:rPr>
          <w:sz w:val="20"/>
          <w:szCs w:val="20"/>
          <w:color w:val="auto"/>
        </w:rPr>
        <w:tab/>
      </w:r>
      <w:r>
        <w:rPr>
          <w:rFonts w:ascii="Arial" w:cs="Arial" w:eastAsia="Arial" w:hAnsi="Arial"/>
          <w:sz w:val="19"/>
          <w:szCs w:val="19"/>
          <w:b w:val="1"/>
          <w:bCs w:val="1"/>
          <w:u w:val="single" w:color="auto"/>
          <w:color w:val="auto"/>
        </w:rPr>
        <w:t>Board</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“Board” means the Board of Directors of the Corporation.</w:t>
      </w:r>
    </w:p>
    <w:p>
      <w:pPr>
        <w:spacing w:after="0" w:line="247" w:lineRule="exact"/>
        <w:rPr>
          <w:sz w:val="20"/>
          <w:szCs w:val="20"/>
          <w:color w:val="auto"/>
        </w:rPr>
      </w:pPr>
    </w:p>
    <w:p>
      <w:pPr>
        <w:ind w:left="8440"/>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20"/>
          </w:cols>
          <w:pgMar w:left="240" w:top="625" w:right="239" w:bottom="1440" w:gutter="0" w:footer="0" w:header="0"/>
        </w:sectPr>
      </w:pPr>
    </w:p>
    <w:bookmarkStart w:id="53" w:name="page54"/>
    <w:bookmarkEnd w:id="53"/>
    <w:p>
      <w:pPr>
        <w:spacing w:after="0"/>
        <w:tabs>
          <w:tab w:leader="none" w:pos="640" w:val="left"/>
        </w:tabs>
        <w:rPr>
          <w:sz w:val="20"/>
          <w:szCs w:val="20"/>
          <w:color w:val="auto"/>
        </w:rPr>
      </w:pPr>
      <w:r>
        <w:rPr>
          <w:rFonts w:ascii="Arial" w:cs="Arial" w:eastAsia="Arial" w:hAnsi="Arial"/>
          <w:sz w:val="22"/>
          <w:szCs w:val="22"/>
          <w:b w:val="1"/>
          <w:bCs w:val="1"/>
          <w:color w:val="auto"/>
        </w:rPr>
        <w:t>2.10.</w:t>
      </w:r>
      <w:r>
        <w:rPr>
          <w:sz w:val="20"/>
          <w:szCs w:val="20"/>
          <w:color w:val="auto"/>
        </w:rPr>
        <w:tab/>
      </w:r>
      <w:r>
        <w:rPr>
          <w:rFonts w:ascii="Arial" w:cs="Arial" w:eastAsia="Arial" w:hAnsi="Arial"/>
          <w:sz w:val="18"/>
          <w:szCs w:val="18"/>
          <w:b w:val="1"/>
          <w:bCs w:val="1"/>
          <w:u w:val="single" w:color="auto"/>
          <w:color w:val="auto"/>
        </w:rPr>
        <w:t>Cause</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“Cause” means cause as defined in the LTIP.</w:t>
      </w:r>
    </w:p>
    <w:p>
      <w:pPr>
        <w:spacing w:after="0" w:line="214"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auto"/>
        </w:rPr>
        <w:t>2.11.</w:t>
      </w:r>
      <w:r>
        <w:rPr>
          <w:sz w:val="20"/>
          <w:szCs w:val="20"/>
          <w:color w:val="auto"/>
        </w:rPr>
        <w:tab/>
      </w:r>
      <w:r>
        <w:rPr>
          <w:rFonts w:ascii="Arial" w:cs="Arial" w:eastAsia="Arial" w:hAnsi="Arial"/>
          <w:sz w:val="19"/>
          <w:szCs w:val="19"/>
          <w:b w:val="1"/>
          <w:bCs w:val="1"/>
          <w:u w:val="single" w:color="auto"/>
          <w:color w:val="auto"/>
        </w:rPr>
        <w:t>Change in Control</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“Change in Control” means change in control as defined in the LTIP.</w:t>
      </w:r>
    </w:p>
    <w:p>
      <w:pPr>
        <w:spacing w:after="0" w:line="214"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auto"/>
        </w:rPr>
        <w:t>2.12.</w:t>
      </w:r>
      <w:r>
        <w:rPr>
          <w:sz w:val="20"/>
          <w:szCs w:val="20"/>
          <w:color w:val="auto"/>
        </w:rPr>
        <w:tab/>
      </w:r>
      <w:r>
        <w:rPr>
          <w:rFonts w:ascii="Arial" w:cs="Arial" w:eastAsia="Arial" w:hAnsi="Arial"/>
          <w:sz w:val="19"/>
          <w:szCs w:val="19"/>
          <w:b w:val="1"/>
          <w:bCs w:val="1"/>
          <w:u w:val="single" w:color="auto"/>
          <w:color w:val="auto"/>
        </w:rPr>
        <w:t>Code</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“Code” means the Internal Revenue Code of 1986, as amended from time to time.</w:t>
      </w:r>
    </w:p>
    <w:p>
      <w:pPr>
        <w:spacing w:after="0" w:line="214" w:lineRule="exact"/>
        <w:rPr>
          <w:sz w:val="20"/>
          <w:szCs w:val="20"/>
          <w:color w:val="auto"/>
        </w:rPr>
      </w:pPr>
    </w:p>
    <w:p>
      <w:pPr>
        <w:spacing w:after="0"/>
        <w:tabs>
          <w:tab w:leader="none" w:pos="600" w:val="left"/>
        </w:tabs>
        <w:rPr>
          <w:sz w:val="20"/>
          <w:szCs w:val="20"/>
          <w:color w:val="auto"/>
        </w:rPr>
      </w:pPr>
      <w:r>
        <w:rPr>
          <w:rFonts w:ascii="Arial" w:cs="Arial" w:eastAsia="Arial" w:hAnsi="Arial"/>
          <w:sz w:val="22"/>
          <w:szCs w:val="22"/>
          <w:b w:val="1"/>
          <w:bCs w:val="1"/>
          <w:color w:val="auto"/>
        </w:rPr>
        <w:t>2.13.</w:t>
      </w:r>
      <w:r>
        <w:rPr>
          <w:sz w:val="20"/>
          <w:szCs w:val="20"/>
          <w:color w:val="auto"/>
        </w:rPr>
        <w:tab/>
      </w:r>
      <w:r>
        <w:rPr>
          <w:rFonts w:ascii="Arial" w:cs="Arial" w:eastAsia="Arial" w:hAnsi="Arial"/>
          <w:sz w:val="19"/>
          <w:szCs w:val="19"/>
          <w:b w:val="1"/>
          <w:bCs w:val="1"/>
          <w:u w:val="single" w:color="auto"/>
          <w:color w:val="auto"/>
        </w:rPr>
        <w:t>Committee</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“Committee” means the Compensation and Organization Committee of the Board.</w:t>
      </w:r>
    </w:p>
    <w:p>
      <w:pPr>
        <w:spacing w:after="0" w:line="200" w:lineRule="exact"/>
        <w:rPr>
          <w:sz w:val="20"/>
          <w:szCs w:val="20"/>
          <w:color w:val="auto"/>
        </w:rPr>
      </w:pPr>
    </w:p>
    <w:p>
      <w:pPr>
        <w:spacing w:after="0" w:line="230" w:lineRule="exact"/>
        <w:rPr>
          <w:sz w:val="20"/>
          <w:szCs w:val="20"/>
          <w:color w:val="auto"/>
        </w:rPr>
      </w:pPr>
    </w:p>
    <w:p>
      <w:pPr>
        <w:spacing w:after="0"/>
        <w:tabs>
          <w:tab w:leader="none" w:pos="600" w:val="left"/>
        </w:tabs>
        <w:rPr>
          <w:sz w:val="20"/>
          <w:szCs w:val="20"/>
          <w:color w:val="auto"/>
        </w:rPr>
      </w:pPr>
      <w:r>
        <w:rPr>
          <w:rFonts w:ascii="Arial" w:cs="Arial" w:eastAsia="Arial" w:hAnsi="Arial"/>
          <w:sz w:val="22"/>
          <w:szCs w:val="22"/>
          <w:b w:val="1"/>
          <w:bCs w:val="1"/>
          <w:color w:val="auto"/>
        </w:rPr>
        <w:t>2.14.</w:t>
      </w:r>
      <w:r>
        <w:rPr>
          <w:sz w:val="20"/>
          <w:szCs w:val="20"/>
          <w:color w:val="auto"/>
        </w:rPr>
        <w:tab/>
      </w:r>
      <w:r>
        <w:rPr>
          <w:rFonts w:ascii="Arial" w:cs="Arial" w:eastAsia="Arial" w:hAnsi="Arial"/>
          <w:sz w:val="19"/>
          <w:szCs w:val="19"/>
          <w:b w:val="1"/>
          <w:bCs w:val="1"/>
          <w:u w:val="single" w:color="auto"/>
          <w:color w:val="auto"/>
        </w:rPr>
        <w:t>Company</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“Company” means The Scotts Company LLC.</w:t>
      </w:r>
    </w:p>
    <w:p>
      <w:pPr>
        <w:spacing w:after="0" w:line="214" w:lineRule="exact"/>
        <w:rPr>
          <w:sz w:val="20"/>
          <w:szCs w:val="20"/>
          <w:color w:val="auto"/>
        </w:rPr>
      </w:pPr>
    </w:p>
    <w:p>
      <w:pPr>
        <w:spacing w:after="0"/>
        <w:tabs>
          <w:tab w:leader="none" w:pos="600" w:val="left"/>
        </w:tabs>
        <w:rPr>
          <w:sz w:val="20"/>
          <w:szCs w:val="20"/>
          <w:color w:val="auto"/>
        </w:rPr>
      </w:pPr>
      <w:r>
        <w:rPr>
          <w:rFonts w:ascii="Arial" w:cs="Arial" w:eastAsia="Arial" w:hAnsi="Arial"/>
          <w:sz w:val="22"/>
          <w:szCs w:val="22"/>
          <w:b w:val="1"/>
          <w:bCs w:val="1"/>
          <w:color w:val="auto"/>
        </w:rPr>
        <w:t>2.15.</w:t>
      </w:r>
      <w:r>
        <w:rPr>
          <w:sz w:val="20"/>
          <w:szCs w:val="20"/>
          <w:color w:val="auto"/>
        </w:rPr>
        <w:tab/>
      </w:r>
      <w:r>
        <w:rPr>
          <w:rFonts w:ascii="Arial" w:cs="Arial" w:eastAsia="Arial" w:hAnsi="Arial"/>
          <w:sz w:val="19"/>
          <w:szCs w:val="19"/>
          <w:b w:val="1"/>
          <w:bCs w:val="1"/>
          <w:u w:val="single" w:color="auto"/>
          <w:color w:val="auto"/>
        </w:rPr>
        <w:t>Company Stock Fund</w:t>
      </w:r>
    </w:p>
    <w:p>
      <w:pPr>
        <w:spacing w:after="0" w:line="23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“Company Stock Fund” means an investment fund reflecting common shares, without par value, of The Scotts Miracle-Gro Company that shall be used as a benchmark hereunder. The Investment Committee shall have no responsibility for or discretion over the use of such fund as a benchmark hereunder.</w:t>
      </w:r>
    </w:p>
    <w:p>
      <w:pPr>
        <w:spacing w:after="0" w:line="180" w:lineRule="exact"/>
        <w:rPr>
          <w:sz w:val="20"/>
          <w:szCs w:val="20"/>
          <w:color w:val="auto"/>
        </w:rPr>
      </w:pPr>
    </w:p>
    <w:p>
      <w:pPr>
        <w:spacing w:after="0"/>
        <w:tabs>
          <w:tab w:leader="none" w:pos="600" w:val="left"/>
        </w:tabs>
        <w:rPr>
          <w:sz w:val="20"/>
          <w:szCs w:val="20"/>
          <w:color w:val="auto"/>
        </w:rPr>
      </w:pPr>
      <w:r>
        <w:rPr>
          <w:rFonts w:ascii="Arial" w:cs="Arial" w:eastAsia="Arial" w:hAnsi="Arial"/>
          <w:sz w:val="22"/>
          <w:szCs w:val="22"/>
          <w:b w:val="1"/>
          <w:bCs w:val="1"/>
          <w:color w:val="auto"/>
        </w:rPr>
        <w:t>2.16.</w:t>
      </w:r>
      <w:r>
        <w:rPr>
          <w:sz w:val="20"/>
          <w:szCs w:val="20"/>
          <w:color w:val="auto"/>
        </w:rPr>
        <w:tab/>
      </w:r>
      <w:r>
        <w:rPr>
          <w:rFonts w:ascii="Arial" w:cs="Arial" w:eastAsia="Arial" w:hAnsi="Arial"/>
          <w:sz w:val="19"/>
          <w:szCs w:val="19"/>
          <w:b w:val="1"/>
          <w:bCs w:val="1"/>
          <w:u w:val="single" w:color="auto"/>
          <w:color w:val="auto"/>
        </w:rPr>
        <w:t>Compensation</w:t>
      </w:r>
    </w:p>
    <w:p>
      <w:pPr>
        <w:spacing w:after="0" w:line="23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“Compensation” means, for the applicable Plan Year, compensation used to determine benefits under (and as defined under) the Qualified Plan, without regard to the Pay Cap plus deferrals under this Plan or any other non-qualified plan. Notwithstanding the foregoing, “Compensation” excludes any payments of Performance Awards or any other bonuses that are made after the Participant’s Separation from Service.</w:t>
      </w:r>
    </w:p>
    <w:p>
      <w:pPr>
        <w:spacing w:after="0" w:line="182" w:lineRule="exact"/>
        <w:rPr>
          <w:sz w:val="20"/>
          <w:szCs w:val="20"/>
          <w:color w:val="auto"/>
        </w:rPr>
      </w:pPr>
    </w:p>
    <w:p>
      <w:pPr>
        <w:spacing w:after="0"/>
        <w:tabs>
          <w:tab w:leader="none" w:pos="600" w:val="left"/>
        </w:tabs>
        <w:rPr>
          <w:sz w:val="20"/>
          <w:szCs w:val="20"/>
          <w:color w:val="auto"/>
        </w:rPr>
      </w:pPr>
      <w:r>
        <w:rPr>
          <w:rFonts w:ascii="Arial" w:cs="Arial" w:eastAsia="Arial" w:hAnsi="Arial"/>
          <w:sz w:val="22"/>
          <w:szCs w:val="22"/>
          <w:b w:val="1"/>
          <w:bCs w:val="1"/>
          <w:color w:val="auto"/>
        </w:rPr>
        <w:t>2.17.</w:t>
      </w:r>
      <w:r>
        <w:rPr>
          <w:sz w:val="20"/>
          <w:szCs w:val="20"/>
          <w:color w:val="auto"/>
        </w:rPr>
        <w:tab/>
      </w:r>
      <w:r>
        <w:rPr>
          <w:rFonts w:ascii="Arial" w:cs="Arial" w:eastAsia="Arial" w:hAnsi="Arial"/>
          <w:sz w:val="19"/>
          <w:szCs w:val="19"/>
          <w:b w:val="1"/>
          <w:bCs w:val="1"/>
          <w:u w:val="single" w:color="auto"/>
          <w:color w:val="auto"/>
        </w:rPr>
        <w:t>Corporation</w:t>
      </w:r>
    </w:p>
    <w:p>
      <w:pPr>
        <w:spacing w:after="0" w:line="239" w:lineRule="exact"/>
        <w:rPr>
          <w:sz w:val="20"/>
          <w:szCs w:val="20"/>
          <w:color w:val="auto"/>
        </w:rPr>
      </w:pPr>
    </w:p>
    <w:p>
      <w:pPr>
        <w:ind w:left="660"/>
        <w:spacing w:after="0" w:line="253" w:lineRule="exact"/>
        <w:rPr>
          <w:sz w:val="20"/>
          <w:szCs w:val="20"/>
          <w:color w:val="auto"/>
        </w:rPr>
      </w:pPr>
      <w:r>
        <w:rPr>
          <w:rFonts w:ascii="Arial" w:cs="Arial" w:eastAsia="Arial" w:hAnsi="Arial"/>
          <w:sz w:val="22"/>
          <w:szCs w:val="22"/>
          <w:color w:val="auto"/>
        </w:rPr>
        <w:t>“Corporation” means The Scotts Miracle</w:t>
      </w:r>
      <w:r>
        <w:rPr>
          <w:rFonts w:ascii="MS PGothic" w:cs="MS PGothic" w:eastAsia="MS PGothic" w:hAnsi="MS PGothic"/>
          <w:sz w:val="22"/>
          <w:szCs w:val="22"/>
          <w:color w:val="auto"/>
        </w:rPr>
        <w:t>‑</w:t>
      </w:r>
      <w:r>
        <w:rPr>
          <w:rFonts w:ascii="Arial" w:cs="Arial" w:eastAsia="Arial" w:hAnsi="Arial"/>
          <w:sz w:val="22"/>
          <w:szCs w:val="22"/>
          <w:color w:val="auto"/>
        </w:rPr>
        <w:t>Gro Company.</w:t>
      </w:r>
    </w:p>
    <w:p>
      <w:pPr>
        <w:spacing w:after="0" w:line="214" w:lineRule="exact"/>
        <w:rPr>
          <w:sz w:val="20"/>
          <w:szCs w:val="20"/>
          <w:color w:val="auto"/>
        </w:rPr>
      </w:pPr>
    </w:p>
    <w:p>
      <w:pPr>
        <w:spacing w:after="0"/>
        <w:tabs>
          <w:tab w:leader="none" w:pos="600" w:val="left"/>
        </w:tabs>
        <w:rPr>
          <w:sz w:val="20"/>
          <w:szCs w:val="20"/>
          <w:color w:val="auto"/>
        </w:rPr>
      </w:pPr>
      <w:r>
        <w:rPr>
          <w:rFonts w:ascii="Arial" w:cs="Arial" w:eastAsia="Arial" w:hAnsi="Arial"/>
          <w:sz w:val="22"/>
          <w:szCs w:val="22"/>
          <w:b w:val="1"/>
          <w:bCs w:val="1"/>
          <w:color w:val="auto"/>
        </w:rPr>
        <w:t>2.18.</w:t>
      </w:r>
      <w:r>
        <w:rPr>
          <w:sz w:val="20"/>
          <w:szCs w:val="20"/>
          <w:color w:val="auto"/>
        </w:rPr>
        <w:tab/>
      </w:r>
      <w:r>
        <w:rPr>
          <w:rFonts w:ascii="Arial" w:cs="Arial" w:eastAsia="Arial" w:hAnsi="Arial"/>
          <w:sz w:val="19"/>
          <w:szCs w:val="19"/>
          <w:b w:val="1"/>
          <w:bCs w:val="1"/>
          <w:u w:val="single" w:color="auto"/>
          <w:color w:val="auto"/>
        </w:rPr>
        <w:t>Disabled or Disability</w:t>
      </w:r>
    </w:p>
    <w:p>
      <w:pPr>
        <w:spacing w:after="0" w:line="239"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“Disabled” or “Disability” means that the Participant is (a) unable to engage in any substantial gainful activity by reason of any medically determinable physical or mental impairment that can be expected to result in death or can be expected to last for a continuous period of not less than 12 months, or (b) by reason of any medically determinable physical or mental impairment that can be expected to result in death or can be expected to last for a continuous period of not less than</w:t>
      </w:r>
    </w:p>
    <w:p>
      <w:pPr>
        <w:spacing w:after="0" w:line="170" w:lineRule="exact"/>
        <w:rPr>
          <w:sz w:val="20"/>
          <w:szCs w:val="20"/>
          <w:color w:val="auto"/>
        </w:rPr>
      </w:pPr>
    </w:p>
    <w:p>
      <w:pPr>
        <w:ind w:left="8440"/>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20"/>
          </w:cols>
          <w:pgMar w:left="240" w:top="841" w:right="239" w:bottom="1440" w:gutter="0" w:footer="0" w:header="0"/>
        </w:sectPr>
      </w:pPr>
    </w:p>
    <w:bookmarkStart w:id="54" w:name="page55"/>
    <w:bookmarkEnd w:id="54"/>
    <w:p>
      <w:pPr>
        <w:jc w:val="both"/>
        <w:ind w:right="20"/>
        <w:spacing w:after="0" w:line="263" w:lineRule="auto"/>
        <w:rPr>
          <w:sz w:val="20"/>
          <w:szCs w:val="20"/>
          <w:color w:val="auto"/>
        </w:rPr>
      </w:pPr>
      <w:r>
        <w:rPr>
          <w:rFonts w:ascii="Arial" w:cs="Arial" w:eastAsia="Arial" w:hAnsi="Arial"/>
          <w:sz w:val="22"/>
          <w:szCs w:val="22"/>
          <w:color w:val="auto"/>
        </w:rPr>
        <w:t>12 months, receiving income replacement benefits for a period of not less than three months under an accident and health plan covering Employees of the Employer.</w:t>
      </w:r>
    </w:p>
    <w:p>
      <w:pPr>
        <w:spacing w:after="0" w:line="169" w:lineRule="exact"/>
        <w:rPr>
          <w:sz w:val="20"/>
          <w:szCs w:val="20"/>
          <w:color w:val="auto"/>
        </w:rPr>
      </w:pPr>
    </w:p>
    <w:p>
      <w:pPr>
        <w:spacing w:after="0"/>
        <w:tabs>
          <w:tab w:leader="none" w:pos="600" w:val="left"/>
        </w:tabs>
        <w:rPr>
          <w:sz w:val="20"/>
          <w:szCs w:val="20"/>
          <w:color w:val="auto"/>
        </w:rPr>
      </w:pPr>
      <w:r>
        <w:rPr>
          <w:rFonts w:ascii="Arial" w:cs="Arial" w:eastAsia="Arial" w:hAnsi="Arial"/>
          <w:sz w:val="22"/>
          <w:szCs w:val="22"/>
          <w:b w:val="1"/>
          <w:bCs w:val="1"/>
          <w:color w:val="auto"/>
        </w:rPr>
        <w:t>2.19.</w:t>
      </w:r>
      <w:r>
        <w:rPr>
          <w:sz w:val="20"/>
          <w:szCs w:val="20"/>
          <w:color w:val="auto"/>
        </w:rPr>
        <w:tab/>
      </w:r>
      <w:r>
        <w:rPr>
          <w:rFonts w:ascii="Arial" w:cs="Arial" w:eastAsia="Arial" w:hAnsi="Arial"/>
          <w:sz w:val="21"/>
          <w:szCs w:val="21"/>
          <w:b w:val="1"/>
          <w:bCs w:val="1"/>
          <w:u w:val="single" w:color="auto"/>
          <w:color w:val="auto"/>
        </w:rPr>
        <w:t>ERISA</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“ERISA” means the Employee Retirement Income Security Act of 1974, as amended from time to time.</w:t>
      </w:r>
    </w:p>
    <w:p>
      <w:pPr>
        <w:spacing w:after="0" w:line="254" w:lineRule="exact"/>
        <w:rPr>
          <w:sz w:val="20"/>
          <w:szCs w:val="20"/>
          <w:color w:val="auto"/>
        </w:rPr>
      </w:pPr>
    </w:p>
    <w:p>
      <w:pPr>
        <w:spacing w:after="0"/>
        <w:tabs>
          <w:tab w:leader="none" w:pos="600" w:val="left"/>
        </w:tabs>
        <w:rPr>
          <w:sz w:val="20"/>
          <w:szCs w:val="20"/>
          <w:color w:val="auto"/>
        </w:rPr>
      </w:pPr>
      <w:r>
        <w:rPr>
          <w:rFonts w:ascii="Arial" w:cs="Arial" w:eastAsia="Arial" w:hAnsi="Arial"/>
          <w:sz w:val="22"/>
          <w:szCs w:val="22"/>
          <w:b w:val="1"/>
          <w:bCs w:val="1"/>
          <w:color w:val="auto"/>
        </w:rPr>
        <w:t>2.20.</w:t>
      </w:r>
      <w:r>
        <w:rPr>
          <w:sz w:val="20"/>
          <w:szCs w:val="20"/>
          <w:color w:val="auto"/>
        </w:rPr>
        <w:tab/>
      </w:r>
      <w:r>
        <w:rPr>
          <w:rFonts w:ascii="Arial" w:cs="Arial" w:eastAsia="Arial" w:hAnsi="Arial"/>
          <w:sz w:val="19"/>
          <w:szCs w:val="19"/>
          <w:b w:val="1"/>
          <w:bCs w:val="1"/>
          <w:u w:val="single" w:color="auto"/>
          <w:color w:val="auto"/>
        </w:rPr>
        <w:t>Effective Date</w:t>
      </w:r>
    </w:p>
    <w:p>
      <w:pPr>
        <w:spacing w:after="0" w:line="239"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“Effective Date” means, in general, the effective date for the Plan’s Code Section 409A restatement, January 1, 2005, unless otherwise specifically provided herein or required by law.</w:t>
      </w:r>
    </w:p>
    <w:p>
      <w:pPr>
        <w:spacing w:after="0" w:line="169" w:lineRule="exact"/>
        <w:rPr>
          <w:sz w:val="20"/>
          <w:szCs w:val="20"/>
          <w:color w:val="auto"/>
        </w:rPr>
      </w:pPr>
    </w:p>
    <w:p>
      <w:pPr>
        <w:spacing w:after="0"/>
        <w:tabs>
          <w:tab w:leader="none" w:pos="600" w:val="left"/>
        </w:tabs>
        <w:rPr>
          <w:sz w:val="20"/>
          <w:szCs w:val="20"/>
          <w:color w:val="auto"/>
        </w:rPr>
      </w:pPr>
      <w:r>
        <w:rPr>
          <w:rFonts w:ascii="Arial" w:cs="Arial" w:eastAsia="Arial" w:hAnsi="Arial"/>
          <w:sz w:val="22"/>
          <w:szCs w:val="22"/>
          <w:b w:val="1"/>
          <w:bCs w:val="1"/>
          <w:color w:val="auto"/>
        </w:rPr>
        <w:t>2.21.</w:t>
      </w:r>
      <w:r>
        <w:rPr>
          <w:sz w:val="20"/>
          <w:szCs w:val="20"/>
          <w:color w:val="auto"/>
        </w:rPr>
        <w:tab/>
      </w:r>
      <w:r>
        <w:rPr>
          <w:rFonts w:ascii="Arial" w:cs="Arial" w:eastAsia="Arial" w:hAnsi="Arial"/>
          <w:sz w:val="19"/>
          <w:szCs w:val="19"/>
          <w:b w:val="1"/>
          <w:bCs w:val="1"/>
          <w:u w:val="single" w:color="auto"/>
          <w:color w:val="auto"/>
        </w:rPr>
        <w:t>Eligible Employee</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“Eligible Employee” has the meaning specified in Section 3.</w:t>
      </w:r>
    </w:p>
    <w:p>
      <w:pPr>
        <w:spacing w:after="0" w:line="214" w:lineRule="exact"/>
        <w:rPr>
          <w:sz w:val="20"/>
          <w:szCs w:val="20"/>
          <w:color w:val="auto"/>
        </w:rPr>
      </w:pPr>
    </w:p>
    <w:p>
      <w:pPr>
        <w:spacing w:after="0"/>
        <w:tabs>
          <w:tab w:leader="none" w:pos="600" w:val="left"/>
        </w:tabs>
        <w:rPr>
          <w:sz w:val="20"/>
          <w:szCs w:val="20"/>
          <w:color w:val="auto"/>
        </w:rPr>
      </w:pPr>
      <w:r>
        <w:rPr>
          <w:rFonts w:ascii="Arial" w:cs="Arial" w:eastAsia="Arial" w:hAnsi="Arial"/>
          <w:sz w:val="22"/>
          <w:szCs w:val="22"/>
          <w:b w:val="1"/>
          <w:bCs w:val="1"/>
          <w:color w:val="auto"/>
        </w:rPr>
        <w:t>2.22.</w:t>
      </w:r>
      <w:r>
        <w:rPr>
          <w:sz w:val="20"/>
          <w:szCs w:val="20"/>
          <w:color w:val="auto"/>
        </w:rPr>
        <w:tab/>
      </w:r>
      <w:r>
        <w:rPr>
          <w:rFonts w:ascii="Arial" w:cs="Arial" w:eastAsia="Arial" w:hAnsi="Arial"/>
          <w:sz w:val="19"/>
          <w:szCs w:val="19"/>
          <w:b w:val="1"/>
          <w:bCs w:val="1"/>
          <w:u w:val="single" w:color="auto"/>
          <w:color w:val="auto"/>
        </w:rPr>
        <w:t>Employee</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“Employee” means an individual employed as a common law employee of the Employer.</w:t>
      </w:r>
    </w:p>
    <w:p>
      <w:pPr>
        <w:spacing w:after="0" w:line="214" w:lineRule="exact"/>
        <w:rPr>
          <w:sz w:val="20"/>
          <w:szCs w:val="20"/>
          <w:color w:val="auto"/>
        </w:rPr>
      </w:pPr>
    </w:p>
    <w:p>
      <w:pPr>
        <w:spacing w:after="0"/>
        <w:tabs>
          <w:tab w:leader="none" w:pos="600" w:val="left"/>
        </w:tabs>
        <w:rPr>
          <w:sz w:val="20"/>
          <w:szCs w:val="20"/>
          <w:color w:val="auto"/>
        </w:rPr>
      </w:pPr>
      <w:r>
        <w:rPr>
          <w:rFonts w:ascii="Arial" w:cs="Arial" w:eastAsia="Arial" w:hAnsi="Arial"/>
          <w:sz w:val="22"/>
          <w:szCs w:val="22"/>
          <w:b w:val="1"/>
          <w:bCs w:val="1"/>
          <w:color w:val="auto"/>
        </w:rPr>
        <w:t>2.23.</w:t>
      </w:r>
      <w:r>
        <w:rPr>
          <w:sz w:val="20"/>
          <w:szCs w:val="20"/>
          <w:color w:val="auto"/>
        </w:rPr>
        <w:tab/>
      </w:r>
      <w:r>
        <w:rPr>
          <w:rFonts w:ascii="Arial" w:cs="Arial" w:eastAsia="Arial" w:hAnsi="Arial"/>
          <w:sz w:val="19"/>
          <w:szCs w:val="19"/>
          <w:b w:val="1"/>
          <w:bCs w:val="1"/>
          <w:u w:val="single" w:color="auto"/>
          <w:color w:val="auto"/>
        </w:rPr>
        <w:t>Employer or Employers</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“Employer” or “Employers” means the Company and/or its Affiliates, as indicated by the context.</w:t>
      </w:r>
    </w:p>
    <w:p>
      <w:pPr>
        <w:spacing w:after="0" w:line="214" w:lineRule="exact"/>
        <w:rPr>
          <w:sz w:val="20"/>
          <w:szCs w:val="20"/>
          <w:color w:val="auto"/>
        </w:rPr>
      </w:pPr>
    </w:p>
    <w:p>
      <w:pPr>
        <w:spacing w:after="0"/>
        <w:tabs>
          <w:tab w:leader="none" w:pos="600" w:val="left"/>
        </w:tabs>
        <w:rPr>
          <w:sz w:val="20"/>
          <w:szCs w:val="20"/>
          <w:color w:val="auto"/>
        </w:rPr>
      </w:pPr>
      <w:r>
        <w:rPr>
          <w:rFonts w:ascii="Arial" w:cs="Arial" w:eastAsia="Arial" w:hAnsi="Arial"/>
          <w:sz w:val="22"/>
          <w:szCs w:val="22"/>
          <w:b w:val="1"/>
          <w:bCs w:val="1"/>
          <w:color w:val="auto"/>
        </w:rPr>
        <w:t>2.24.</w:t>
      </w:r>
      <w:r>
        <w:rPr>
          <w:sz w:val="20"/>
          <w:szCs w:val="20"/>
          <w:color w:val="auto"/>
        </w:rPr>
        <w:tab/>
      </w:r>
      <w:r>
        <w:rPr>
          <w:rFonts w:ascii="Arial" w:cs="Arial" w:eastAsia="Arial" w:hAnsi="Arial"/>
          <w:sz w:val="19"/>
          <w:szCs w:val="19"/>
          <w:b w:val="1"/>
          <w:bCs w:val="1"/>
          <w:u w:val="single" w:color="auto"/>
          <w:color w:val="auto"/>
        </w:rPr>
        <w:t>ERP Eligible Pay</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19"/>
          <w:szCs w:val="19"/>
          <w:color w:val="auto"/>
        </w:rPr>
        <w:t>“ERP Eligible Pay” means, for the applicable Plan Year, Compensation less eligible RSP Compensation for the Plan Year.</w:t>
      </w:r>
    </w:p>
    <w:p>
      <w:pPr>
        <w:spacing w:after="0" w:line="248" w:lineRule="exact"/>
        <w:rPr>
          <w:sz w:val="20"/>
          <w:szCs w:val="20"/>
          <w:color w:val="auto"/>
        </w:rPr>
      </w:pPr>
    </w:p>
    <w:p>
      <w:pPr>
        <w:spacing w:after="0"/>
        <w:tabs>
          <w:tab w:leader="none" w:pos="600" w:val="left"/>
        </w:tabs>
        <w:rPr>
          <w:sz w:val="20"/>
          <w:szCs w:val="20"/>
          <w:color w:val="auto"/>
        </w:rPr>
      </w:pPr>
      <w:r>
        <w:rPr>
          <w:rFonts w:ascii="Arial" w:cs="Arial" w:eastAsia="Arial" w:hAnsi="Arial"/>
          <w:sz w:val="22"/>
          <w:szCs w:val="22"/>
          <w:b w:val="1"/>
          <w:bCs w:val="1"/>
          <w:color w:val="auto"/>
        </w:rPr>
        <w:t>2.25.</w:t>
      </w:r>
      <w:r>
        <w:rPr>
          <w:sz w:val="20"/>
          <w:szCs w:val="20"/>
          <w:color w:val="auto"/>
        </w:rPr>
        <w:tab/>
      </w:r>
      <w:r>
        <w:rPr>
          <w:rFonts w:ascii="Arial" w:cs="Arial" w:eastAsia="Arial" w:hAnsi="Arial"/>
          <w:sz w:val="19"/>
          <w:szCs w:val="19"/>
          <w:b w:val="1"/>
          <w:bCs w:val="1"/>
          <w:u w:val="single" w:color="auto"/>
          <w:color w:val="auto"/>
        </w:rPr>
        <w:t>Investment Committee</w:t>
      </w:r>
    </w:p>
    <w:p>
      <w:pPr>
        <w:spacing w:after="0" w:line="239" w:lineRule="exact"/>
        <w:rPr>
          <w:sz w:val="20"/>
          <w:szCs w:val="20"/>
          <w:color w:val="auto"/>
        </w:rPr>
      </w:pPr>
    </w:p>
    <w:p>
      <w:pPr>
        <w:jc w:val="both"/>
        <w:ind w:firstLine="648"/>
        <w:spacing w:after="0" w:line="263" w:lineRule="exact"/>
        <w:rPr>
          <w:sz w:val="20"/>
          <w:szCs w:val="20"/>
          <w:color w:val="auto"/>
        </w:rPr>
      </w:pPr>
      <w:r>
        <w:rPr>
          <w:rFonts w:ascii="Arial" w:cs="Arial" w:eastAsia="Arial" w:hAnsi="Arial"/>
          <w:sz w:val="22"/>
          <w:szCs w:val="22"/>
          <w:color w:val="auto"/>
        </w:rPr>
        <w:t>“Investment Committee” means: (a) the Scotts Miracle</w:t>
      </w:r>
      <w:r>
        <w:rPr>
          <w:rFonts w:ascii="MS PGothic" w:cs="MS PGothic" w:eastAsia="MS PGothic" w:hAnsi="MS PGothic"/>
          <w:sz w:val="22"/>
          <w:szCs w:val="22"/>
          <w:color w:val="auto"/>
        </w:rPr>
        <w:t>‑</w:t>
      </w:r>
      <w:r>
        <w:rPr>
          <w:rFonts w:ascii="Arial" w:cs="Arial" w:eastAsia="Arial" w:hAnsi="Arial"/>
          <w:sz w:val="22"/>
          <w:szCs w:val="22"/>
          <w:color w:val="auto"/>
        </w:rPr>
        <w:t>Gro Investment Committee appointed to monitor all investment and related activities associated with the Outside Benchmark Investment Funds; or (b) any person or entity to which the Investment Committee delegates any of the investment duties assigned to it under the Plan.</w:t>
      </w:r>
    </w:p>
    <w:p>
      <w:pPr>
        <w:spacing w:after="0" w:line="193" w:lineRule="exact"/>
        <w:rPr>
          <w:sz w:val="20"/>
          <w:szCs w:val="20"/>
          <w:color w:val="auto"/>
        </w:rPr>
      </w:pPr>
    </w:p>
    <w:p>
      <w:pPr>
        <w:spacing w:after="0"/>
        <w:tabs>
          <w:tab w:leader="none" w:pos="600" w:val="left"/>
        </w:tabs>
        <w:rPr>
          <w:sz w:val="20"/>
          <w:szCs w:val="20"/>
          <w:color w:val="auto"/>
        </w:rPr>
      </w:pPr>
      <w:r>
        <w:rPr>
          <w:rFonts w:ascii="Arial" w:cs="Arial" w:eastAsia="Arial" w:hAnsi="Arial"/>
          <w:sz w:val="22"/>
          <w:szCs w:val="22"/>
          <w:b w:val="1"/>
          <w:bCs w:val="1"/>
          <w:color w:val="auto"/>
        </w:rPr>
        <w:t>2.26.</w:t>
      </w:r>
      <w:r>
        <w:rPr>
          <w:sz w:val="20"/>
          <w:szCs w:val="20"/>
          <w:color w:val="auto"/>
        </w:rPr>
        <w:tab/>
      </w:r>
      <w:r>
        <w:rPr>
          <w:rFonts w:ascii="Arial" w:cs="Arial" w:eastAsia="Arial" w:hAnsi="Arial"/>
          <w:sz w:val="19"/>
          <w:szCs w:val="19"/>
          <w:b w:val="1"/>
          <w:bCs w:val="1"/>
          <w:u w:val="single" w:color="auto"/>
          <w:color w:val="auto"/>
        </w:rPr>
        <w:t>Investment Fund</w:t>
      </w:r>
    </w:p>
    <w:p>
      <w:pPr>
        <w:spacing w:after="0" w:line="23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“Investment Fund” means the Company Stock Fund or one of the Outside Benchmark Investment Funds used as an earnings benchmark with respect to Participants’ Accounts.</w:t>
      </w:r>
    </w:p>
    <w:p>
      <w:pPr>
        <w:spacing w:after="0" w:line="169" w:lineRule="exact"/>
        <w:rPr>
          <w:sz w:val="20"/>
          <w:szCs w:val="20"/>
          <w:color w:val="auto"/>
        </w:rPr>
      </w:pPr>
    </w:p>
    <w:p>
      <w:pPr>
        <w:spacing w:after="0"/>
        <w:tabs>
          <w:tab w:leader="none" w:pos="600" w:val="left"/>
        </w:tabs>
        <w:rPr>
          <w:sz w:val="20"/>
          <w:szCs w:val="20"/>
          <w:color w:val="auto"/>
        </w:rPr>
      </w:pPr>
      <w:r>
        <w:rPr>
          <w:rFonts w:ascii="Arial" w:cs="Arial" w:eastAsia="Arial" w:hAnsi="Arial"/>
          <w:sz w:val="22"/>
          <w:szCs w:val="22"/>
          <w:b w:val="1"/>
          <w:bCs w:val="1"/>
          <w:color w:val="auto"/>
        </w:rPr>
        <w:t>2.27.</w:t>
      </w:r>
      <w:r>
        <w:rPr>
          <w:sz w:val="20"/>
          <w:szCs w:val="20"/>
          <w:color w:val="auto"/>
        </w:rPr>
        <w:tab/>
      </w:r>
      <w:r>
        <w:rPr>
          <w:rFonts w:ascii="Arial" w:cs="Arial" w:eastAsia="Arial" w:hAnsi="Arial"/>
          <w:sz w:val="22"/>
          <w:szCs w:val="22"/>
          <w:b w:val="1"/>
          <w:bCs w:val="1"/>
          <w:u w:val="single" w:color="auto"/>
          <w:color w:val="auto"/>
        </w:rPr>
        <w:t>LTIP</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“LTIP” means The Scotts Miracle-Gro Company Long-Term Incentive Plan, as amended from time to time.</w:t>
      </w:r>
    </w:p>
    <w:p>
      <w:pPr>
        <w:spacing w:after="0" w:line="200" w:lineRule="exact"/>
        <w:rPr>
          <w:sz w:val="20"/>
          <w:szCs w:val="20"/>
          <w:color w:val="auto"/>
        </w:rPr>
      </w:pPr>
    </w:p>
    <w:p>
      <w:pPr>
        <w:spacing w:after="0" w:line="263" w:lineRule="exact"/>
        <w:rPr>
          <w:sz w:val="20"/>
          <w:szCs w:val="20"/>
          <w:color w:val="auto"/>
        </w:rPr>
      </w:pPr>
    </w:p>
    <w:p>
      <w:pPr>
        <w:ind w:left="8440"/>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420"/>
          </w:cols>
          <w:pgMar w:left="240" w:top="631" w:right="239" w:bottom="1440" w:gutter="0" w:footer="0" w:header="0"/>
        </w:sectPr>
      </w:pPr>
    </w:p>
    <w:bookmarkStart w:id="55" w:name="page56"/>
    <w:bookmarkEnd w:id="55"/>
    <w:p>
      <w:pPr>
        <w:spacing w:after="0"/>
        <w:tabs>
          <w:tab w:leader="none" w:pos="600" w:val="left"/>
        </w:tabs>
        <w:rPr>
          <w:sz w:val="20"/>
          <w:szCs w:val="20"/>
          <w:color w:val="auto"/>
        </w:rPr>
      </w:pPr>
      <w:r>
        <w:rPr>
          <w:rFonts w:ascii="Arial" w:cs="Arial" w:eastAsia="Arial" w:hAnsi="Arial"/>
          <w:sz w:val="22"/>
          <w:szCs w:val="22"/>
          <w:b w:val="1"/>
          <w:bCs w:val="1"/>
          <w:color w:val="auto"/>
        </w:rPr>
        <w:t>2.28.</w:t>
      </w:r>
      <w:r>
        <w:rPr>
          <w:sz w:val="20"/>
          <w:szCs w:val="20"/>
          <w:color w:val="auto"/>
        </w:rPr>
        <w:tab/>
      </w:r>
      <w:r>
        <w:rPr>
          <w:rFonts w:ascii="Arial" w:cs="Arial" w:eastAsia="Arial" w:hAnsi="Arial"/>
          <w:sz w:val="19"/>
          <w:szCs w:val="19"/>
          <w:b w:val="1"/>
          <w:bCs w:val="1"/>
          <w:u w:val="single" w:color="auto"/>
          <w:color w:val="auto"/>
        </w:rPr>
        <w:t>LTI Offset Payment</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19"/>
          <w:szCs w:val="19"/>
          <w:color w:val="auto"/>
        </w:rPr>
        <w:t>“LTI Offset Payment” means an amount that is designated as an LTI Offset Payment in the Company’s payroll system.</w:t>
      </w:r>
    </w:p>
    <w:p>
      <w:pPr>
        <w:spacing w:after="0" w:line="248" w:lineRule="exact"/>
        <w:rPr>
          <w:sz w:val="20"/>
          <w:szCs w:val="20"/>
          <w:color w:val="auto"/>
        </w:rPr>
      </w:pPr>
    </w:p>
    <w:p>
      <w:pPr>
        <w:spacing w:after="0"/>
        <w:tabs>
          <w:tab w:leader="none" w:pos="600" w:val="left"/>
        </w:tabs>
        <w:rPr>
          <w:sz w:val="20"/>
          <w:szCs w:val="20"/>
          <w:color w:val="auto"/>
        </w:rPr>
      </w:pPr>
      <w:r>
        <w:rPr>
          <w:rFonts w:ascii="Arial" w:cs="Arial" w:eastAsia="Arial" w:hAnsi="Arial"/>
          <w:sz w:val="22"/>
          <w:szCs w:val="22"/>
          <w:b w:val="1"/>
          <w:bCs w:val="1"/>
          <w:color w:val="auto"/>
        </w:rPr>
        <w:t>2.29.</w:t>
      </w:r>
      <w:r>
        <w:rPr>
          <w:sz w:val="20"/>
          <w:szCs w:val="20"/>
          <w:color w:val="auto"/>
        </w:rPr>
        <w:tab/>
      </w:r>
      <w:r>
        <w:rPr>
          <w:rFonts w:ascii="Arial" w:cs="Arial" w:eastAsia="Arial" w:hAnsi="Arial"/>
          <w:sz w:val="19"/>
          <w:szCs w:val="19"/>
          <w:b w:val="1"/>
          <w:bCs w:val="1"/>
          <w:u w:val="single" w:color="auto"/>
          <w:color w:val="auto"/>
        </w:rPr>
        <w:t>Matching Account</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19"/>
          <w:szCs w:val="19"/>
          <w:color w:val="auto"/>
        </w:rPr>
        <w:t>“Matching Account” means the Participant’s subaccount to which Matching Contributions are allocated pursuant to Section</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4.4(b).</w:t>
      </w:r>
    </w:p>
    <w:p>
      <w:pPr>
        <w:spacing w:after="0" w:line="196" w:lineRule="exact"/>
        <w:rPr>
          <w:sz w:val="20"/>
          <w:szCs w:val="20"/>
          <w:color w:val="auto"/>
        </w:rPr>
      </w:pPr>
    </w:p>
    <w:p>
      <w:pPr>
        <w:spacing w:after="0"/>
        <w:tabs>
          <w:tab w:leader="none" w:pos="600" w:val="left"/>
        </w:tabs>
        <w:rPr>
          <w:sz w:val="20"/>
          <w:szCs w:val="20"/>
          <w:color w:val="auto"/>
        </w:rPr>
      </w:pPr>
      <w:r>
        <w:rPr>
          <w:rFonts w:ascii="Arial" w:cs="Arial" w:eastAsia="Arial" w:hAnsi="Arial"/>
          <w:sz w:val="22"/>
          <w:szCs w:val="22"/>
          <w:b w:val="1"/>
          <w:bCs w:val="1"/>
          <w:color w:val="auto"/>
        </w:rPr>
        <w:t>2.30.</w:t>
      </w:r>
      <w:r>
        <w:rPr>
          <w:sz w:val="20"/>
          <w:szCs w:val="20"/>
          <w:color w:val="auto"/>
        </w:rPr>
        <w:tab/>
      </w:r>
      <w:r>
        <w:rPr>
          <w:rFonts w:ascii="Arial" w:cs="Arial" w:eastAsia="Arial" w:hAnsi="Arial"/>
          <w:sz w:val="19"/>
          <w:szCs w:val="19"/>
          <w:b w:val="1"/>
          <w:bCs w:val="1"/>
          <w:u w:val="single" w:color="auto"/>
          <w:color w:val="auto"/>
        </w:rPr>
        <w:t>Outside Benchmark Investment Fund</w:t>
      </w:r>
    </w:p>
    <w:p>
      <w:pPr>
        <w:spacing w:after="0" w:line="239" w:lineRule="exact"/>
        <w:rPr>
          <w:sz w:val="20"/>
          <w:szCs w:val="20"/>
          <w:color w:val="auto"/>
        </w:rPr>
      </w:pPr>
    </w:p>
    <w:p>
      <w:pPr>
        <w:ind w:firstLine="648"/>
        <w:spacing w:after="0" w:line="343" w:lineRule="auto"/>
        <w:rPr>
          <w:sz w:val="20"/>
          <w:szCs w:val="20"/>
          <w:color w:val="auto"/>
        </w:rPr>
      </w:pPr>
      <w:r>
        <w:rPr>
          <w:rFonts w:ascii="Arial" w:cs="Arial" w:eastAsia="Arial" w:hAnsi="Arial"/>
          <w:sz w:val="19"/>
          <w:szCs w:val="19"/>
          <w:color w:val="auto"/>
        </w:rPr>
        <w:t>“Outside Benchmark Investment Fund” means an Investment Fund, other than the Company Stock Fund, which has been designated by the Investment Committee as available to use as an earnings benchmark with respect to Participants’ Accounts.</w:t>
      </w:r>
    </w:p>
    <w:p>
      <w:pPr>
        <w:spacing w:after="0" w:line="99" w:lineRule="exact"/>
        <w:rPr>
          <w:sz w:val="20"/>
          <w:szCs w:val="20"/>
          <w:color w:val="auto"/>
        </w:rPr>
      </w:pPr>
    </w:p>
    <w:p>
      <w:pPr>
        <w:spacing w:after="0"/>
        <w:tabs>
          <w:tab w:leader="none" w:pos="600" w:val="left"/>
        </w:tabs>
        <w:rPr>
          <w:sz w:val="20"/>
          <w:szCs w:val="20"/>
          <w:color w:val="auto"/>
        </w:rPr>
      </w:pPr>
      <w:r>
        <w:rPr>
          <w:rFonts w:ascii="Arial" w:cs="Arial" w:eastAsia="Arial" w:hAnsi="Arial"/>
          <w:sz w:val="22"/>
          <w:szCs w:val="22"/>
          <w:b w:val="1"/>
          <w:bCs w:val="1"/>
          <w:color w:val="auto"/>
        </w:rPr>
        <w:t>2.31.</w:t>
      </w:r>
      <w:r>
        <w:rPr>
          <w:sz w:val="20"/>
          <w:szCs w:val="20"/>
          <w:color w:val="auto"/>
        </w:rPr>
        <w:tab/>
      </w:r>
      <w:r>
        <w:rPr>
          <w:rFonts w:ascii="Arial" w:cs="Arial" w:eastAsia="Arial" w:hAnsi="Arial"/>
          <w:sz w:val="19"/>
          <w:szCs w:val="19"/>
          <w:b w:val="1"/>
          <w:bCs w:val="1"/>
          <w:u w:val="single" w:color="auto"/>
          <w:color w:val="auto"/>
        </w:rPr>
        <w:t>Pay Cap</w:t>
      </w:r>
    </w:p>
    <w:p>
      <w:pPr>
        <w:spacing w:after="0" w:line="239"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“Pay Cap” means, for each Plan Year, the dollar threshold at which an Eligible Employee’s RSP Compensation reaches the maximum recognizable annual compensation limit under Code Section 401(a)(17).</w:t>
      </w:r>
    </w:p>
    <w:p>
      <w:pPr>
        <w:spacing w:after="0" w:line="169" w:lineRule="exact"/>
        <w:rPr>
          <w:sz w:val="20"/>
          <w:szCs w:val="20"/>
          <w:color w:val="auto"/>
        </w:rPr>
      </w:pPr>
    </w:p>
    <w:p>
      <w:pPr>
        <w:spacing w:after="0"/>
        <w:tabs>
          <w:tab w:leader="none" w:pos="600" w:val="left"/>
        </w:tabs>
        <w:rPr>
          <w:sz w:val="20"/>
          <w:szCs w:val="20"/>
          <w:color w:val="auto"/>
        </w:rPr>
      </w:pPr>
      <w:r>
        <w:rPr>
          <w:rFonts w:ascii="Arial" w:cs="Arial" w:eastAsia="Arial" w:hAnsi="Arial"/>
          <w:sz w:val="22"/>
          <w:szCs w:val="22"/>
          <w:b w:val="1"/>
          <w:bCs w:val="1"/>
          <w:color w:val="auto"/>
        </w:rPr>
        <w:t>2.32.</w:t>
      </w:r>
      <w:r>
        <w:rPr>
          <w:sz w:val="20"/>
          <w:szCs w:val="20"/>
          <w:color w:val="auto"/>
        </w:rPr>
        <w:tab/>
      </w:r>
      <w:r>
        <w:rPr>
          <w:rFonts w:ascii="Arial" w:cs="Arial" w:eastAsia="Arial" w:hAnsi="Arial"/>
          <w:sz w:val="19"/>
          <w:szCs w:val="19"/>
          <w:b w:val="1"/>
          <w:bCs w:val="1"/>
          <w:u w:val="single" w:color="auto"/>
          <w:color w:val="auto"/>
        </w:rPr>
        <w:t>Participant</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“Participant” has the meaning specified in Section 3.</w:t>
      </w:r>
    </w:p>
    <w:p>
      <w:pPr>
        <w:spacing w:after="0" w:line="214" w:lineRule="exact"/>
        <w:rPr>
          <w:sz w:val="20"/>
          <w:szCs w:val="20"/>
          <w:color w:val="auto"/>
        </w:rPr>
      </w:pPr>
    </w:p>
    <w:p>
      <w:pPr>
        <w:spacing w:after="0"/>
        <w:tabs>
          <w:tab w:leader="none" w:pos="600" w:val="left"/>
        </w:tabs>
        <w:rPr>
          <w:sz w:val="20"/>
          <w:szCs w:val="20"/>
          <w:color w:val="auto"/>
        </w:rPr>
      </w:pPr>
      <w:r>
        <w:rPr>
          <w:rFonts w:ascii="Arial" w:cs="Arial" w:eastAsia="Arial" w:hAnsi="Arial"/>
          <w:sz w:val="22"/>
          <w:szCs w:val="22"/>
          <w:b w:val="1"/>
          <w:bCs w:val="1"/>
          <w:color w:val="auto"/>
        </w:rPr>
        <w:t>2.33.</w:t>
      </w:r>
      <w:r>
        <w:rPr>
          <w:sz w:val="20"/>
          <w:szCs w:val="20"/>
          <w:color w:val="auto"/>
        </w:rPr>
        <w:tab/>
      </w:r>
      <w:r>
        <w:rPr>
          <w:rFonts w:ascii="Arial" w:cs="Arial" w:eastAsia="Arial" w:hAnsi="Arial"/>
          <w:sz w:val="19"/>
          <w:szCs w:val="19"/>
          <w:b w:val="1"/>
          <w:bCs w:val="1"/>
          <w:u w:val="single" w:color="auto"/>
          <w:color w:val="auto"/>
        </w:rPr>
        <w:t>Performance Award</w:t>
      </w:r>
    </w:p>
    <w:p>
      <w:pPr>
        <w:spacing w:after="0" w:line="239" w:lineRule="exact"/>
        <w:rPr>
          <w:sz w:val="20"/>
          <w:szCs w:val="20"/>
          <w:color w:val="auto"/>
        </w:rPr>
      </w:pPr>
    </w:p>
    <w:p>
      <w:pPr>
        <w:ind w:firstLine="648"/>
        <w:spacing w:after="0" w:line="265" w:lineRule="exact"/>
        <w:rPr>
          <w:sz w:val="20"/>
          <w:szCs w:val="20"/>
          <w:color w:val="auto"/>
        </w:rPr>
      </w:pPr>
      <w:r>
        <w:rPr>
          <w:rFonts w:ascii="Arial" w:cs="Arial" w:eastAsia="Arial" w:hAnsi="Arial"/>
          <w:sz w:val="22"/>
          <w:szCs w:val="22"/>
          <w:color w:val="auto"/>
        </w:rPr>
        <w:t>“Performance Award” means an annual bonus payable pursuant to a plan or program maintained by an Employer that constitutes performance-based compensation under Treasury Regulation Section 1.409A</w:t>
      </w:r>
      <w:r>
        <w:rPr>
          <w:rFonts w:ascii="MS PGothic" w:cs="MS PGothic" w:eastAsia="MS PGothic" w:hAnsi="MS PGothic"/>
          <w:sz w:val="22"/>
          <w:szCs w:val="22"/>
          <w:color w:val="auto"/>
        </w:rPr>
        <w:t>‑</w:t>
      </w:r>
      <w:r>
        <w:rPr>
          <w:rFonts w:ascii="Arial" w:cs="Arial" w:eastAsia="Arial" w:hAnsi="Arial"/>
          <w:sz w:val="22"/>
          <w:szCs w:val="22"/>
          <w:color w:val="auto"/>
        </w:rPr>
        <w:t>1(e).</w:t>
      </w:r>
    </w:p>
    <w:p>
      <w:pPr>
        <w:spacing w:after="0" w:line="200" w:lineRule="exact"/>
        <w:rPr>
          <w:sz w:val="20"/>
          <w:szCs w:val="20"/>
          <w:color w:val="auto"/>
        </w:rPr>
      </w:pPr>
    </w:p>
    <w:p>
      <w:pPr>
        <w:spacing w:after="0" w:line="210" w:lineRule="exact"/>
        <w:rPr>
          <w:sz w:val="20"/>
          <w:szCs w:val="20"/>
          <w:color w:val="auto"/>
        </w:rPr>
      </w:pPr>
    </w:p>
    <w:p>
      <w:pPr>
        <w:spacing w:after="0"/>
        <w:tabs>
          <w:tab w:leader="none" w:pos="600" w:val="left"/>
        </w:tabs>
        <w:rPr>
          <w:sz w:val="20"/>
          <w:szCs w:val="20"/>
          <w:color w:val="auto"/>
        </w:rPr>
      </w:pPr>
      <w:r>
        <w:rPr>
          <w:rFonts w:ascii="Arial" w:cs="Arial" w:eastAsia="Arial" w:hAnsi="Arial"/>
          <w:sz w:val="22"/>
          <w:szCs w:val="22"/>
          <w:b w:val="1"/>
          <w:bCs w:val="1"/>
          <w:color w:val="auto"/>
        </w:rPr>
        <w:t>2.34.</w:t>
      </w:r>
      <w:r>
        <w:rPr>
          <w:sz w:val="20"/>
          <w:szCs w:val="20"/>
          <w:color w:val="auto"/>
        </w:rPr>
        <w:tab/>
      </w:r>
      <w:r>
        <w:rPr>
          <w:rFonts w:ascii="Arial" w:cs="Arial" w:eastAsia="Arial" w:hAnsi="Arial"/>
          <w:sz w:val="19"/>
          <w:szCs w:val="19"/>
          <w:b w:val="1"/>
          <w:bCs w:val="1"/>
          <w:u w:val="single" w:color="auto"/>
          <w:color w:val="auto"/>
        </w:rPr>
        <w:t>Performance Award Deferral Election</w:t>
      </w:r>
    </w:p>
    <w:p>
      <w:pPr>
        <w:spacing w:after="0" w:line="239"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“Performance Award Deferral Election” means an Eligible Employee’s election to defer, in a manner prescribed by the Benefits Administrative Committee, a Performance Award pursuant to the Plan.</w:t>
      </w:r>
    </w:p>
    <w:p>
      <w:pPr>
        <w:spacing w:after="0" w:line="169" w:lineRule="exact"/>
        <w:rPr>
          <w:sz w:val="20"/>
          <w:szCs w:val="20"/>
          <w:color w:val="auto"/>
        </w:rPr>
      </w:pPr>
    </w:p>
    <w:p>
      <w:pPr>
        <w:spacing w:after="0"/>
        <w:tabs>
          <w:tab w:leader="none" w:pos="600" w:val="left"/>
        </w:tabs>
        <w:rPr>
          <w:sz w:val="20"/>
          <w:szCs w:val="20"/>
          <w:color w:val="auto"/>
        </w:rPr>
      </w:pPr>
      <w:r>
        <w:rPr>
          <w:rFonts w:ascii="Arial" w:cs="Arial" w:eastAsia="Arial" w:hAnsi="Arial"/>
          <w:sz w:val="22"/>
          <w:szCs w:val="22"/>
          <w:b w:val="1"/>
          <w:bCs w:val="1"/>
          <w:color w:val="auto"/>
        </w:rPr>
        <w:t>2.35.</w:t>
      </w:r>
      <w:r>
        <w:rPr>
          <w:sz w:val="20"/>
          <w:szCs w:val="20"/>
          <w:color w:val="auto"/>
        </w:rPr>
        <w:tab/>
      </w:r>
      <w:r>
        <w:rPr>
          <w:rFonts w:ascii="Arial" w:cs="Arial" w:eastAsia="Arial" w:hAnsi="Arial"/>
          <w:sz w:val="19"/>
          <w:szCs w:val="19"/>
          <w:b w:val="1"/>
          <w:bCs w:val="1"/>
          <w:u w:val="single" w:color="auto"/>
          <w:color w:val="auto"/>
        </w:rPr>
        <w:t>Plan</w:t>
      </w:r>
    </w:p>
    <w:p>
      <w:pPr>
        <w:spacing w:after="0" w:line="239"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“Plan” means The Scotts Company LLC Executive Retirement Plan, as reflected in this document, as amended from time to time after the Effective Date.</w:t>
      </w:r>
    </w:p>
    <w:p>
      <w:pPr>
        <w:spacing w:after="0" w:line="169" w:lineRule="exact"/>
        <w:rPr>
          <w:sz w:val="20"/>
          <w:szCs w:val="20"/>
          <w:color w:val="auto"/>
        </w:rPr>
      </w:pPr>
    </w:p>
    <w:p>
      <w:pPr>
        <w:spacing w:after="0"/>
        <w:tabs>
          <w:tab w:leader="none" w:pos="600" w:val="left"/>
        </w:tabs>
        <w:rPr>
          <w:sz w:val="20"/>
          <w:szCs w:val="20"/>
          <w:color w:val="auto"/>
        </w:rPr>
      </w:pPr>
      <w:r>
        <w:rPr>
          <w:rFonts w:ascii="Arial" w:cs="Arial" w:eastAsia="Arial" w:hAnsi="Arial"/>
          <w:sz w:val="22"/>
          <w:szCs w:val="22"/>
          <w:b w:val="1"/>
          <w:bCs w:val="1"/>
          <w:color w:val="auto"/>
        </w:rPr>
        <w:t>2.36.</w:t>
      </w:r>
      <w:r>
        <w:rPr>
          <w:sz w:val="20"/>
          <w:szCs w:val="20"/>
          <w:color w:val="auto"/>
        </w:rPr>
        <w:tab/>
      </w:r>
      <w:r>
        <w:rPr>
          <w:rFonts w:ascii="Arial" w:cs="Arial" w:eastAsia="Arial" w:hAnsi="Arial"/>
          <w:sz w:val="19"/>
          <w:szCs w:val="19"/>
          <w:b w:val="1"/>
          <w:bCs w:val="1"/>
          <w:u w:val="single" w:color="auto"/>
          <w:color w:val="auto"/>
        </w:rPr>
        <w:t>Plan Year</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“Plan Year” means the calendar year.</w:t>
      </w:r>
    </w:p>
    <w:p>
      <w:pPr>
        <w:spacing w:after="0" w:line="200" w:lineRule="exact"/>
        <w:rPr>
          <w:sz w:val="20"/>
          <w:szCs w:val="20"/>
          <w:color w:val="auto"/>
        </w:rPr>
      </w:pPr>
    </w:p>
    <w:p>
      <w:pPr>
        <w:spacing w:after="0" w:line="263" w:lineRule="exact"/>
        <w:rPr>
          <w:sz w:val="20"/>
          <w:szCs w:val="20"/>
          <w:color w:val="auto"/>
        </w:rPr>
      </w:pPr>
    </w:p>
    <w:p>
      <w:pPr>
        <w:ind w:left="8440"/>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420"/>
          </w:cols>
          <w:pgMar w:left="240" w:top="625" w:right="239" w:bottom="1440" w:gutter="0" w:footer="0" w:header="0"/>
        </w:sectPr>
      </w:pPr>
    </w:p>
    <w:bookmarkStart w:id="56" w:name="page57"/>
    <w:bookmarkEnd w:id="56"/>
    <w:p>
      <w:pPr>
        <w:spacing w:after="0"/>
        <w:tabs>
          <w:tab w:leader="none" w:pos="600" w:val="left"/>
        </w:tabs>
        <w:rPr>
          <w:sz w:val="20"/>
          <w:szCs w:val="20"/>
          <w:color w:val="auto"/>
        </w:rPr>
      </w:pPr>
      <w:r>
        <w:rPr>
          <w:rFonts w:ascii="Arial" w:cs="Arial" w:eastAsia="Arial" w:hAnsi="Arial"/>
          <w:sz w:val="22"/>
          <w:szCs w:val="22"/>
          <w:b w:val="1"/>
          <w:bCs w:val="1"/>
          <w:color w:val="auto"/>
        </w:rPr>
        <w:t>2.37.</w:t>
      </w:r>
      <w:r>
        <w:rPr>
          <w:sz w:val="20"/>
          <w:szCs w:val="20"/>
          <w:color w:val="auto"/>
        </w:rPr>
        <w:tab/>
      </w:r>
      <w:r>
        <w:rPr>
          <w:rFonts w:ascii="Arial" w:cs="Arial" w:eastAsia="Arial" w:hAnsi="Arial"/>
          <w:sz w:val="19"/>
          <w:szCs w:val="19"/>
          <w:b w:val="1"/>
          <w:bCs w:val="1"/>
          <w:u w:val="single" w:color="auto"/>
          <w:color w:val="auto"/>
        </w:rPr>
        <w:t>Qualified Plan</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“Qualified Plan” means The Scotts Company LLC Retirement Savings Plan, and any amendments thereto.</w:t>
      </w:r>
    </w:p>
    <w:p>
      <w:pPr>
        <w:spacing w:after="0" w:line="214" w:lineRule="exact"/>
        <w:rPr>
          <w:sz w:val="20"/>
          <w:szCs w:val="20"/>
          <w:color w:val="auto"/>
        </w:rPr>
      </w:pPr>
    </w:p>
    <w:p>
      <w:pPr>
        <w:spacing w:after="0"/>
        <w:tabs>
          <w:tab w:leader="none" w:pos="600" w:val="left"/>
        </w:tabs>
        <w:rPr>
          <w:sz w:val="20"/>
          <w:szCs w:val="20"/>
          <w:color w:val="auto"/>
        </w:rPr>
      </w:pPr>
      <w:r>
        <w:rPr>
          <w:rFonts w:ascii="Arial" w:cs="Arial" w:eastAsia="Arial" w:hAnsi="Arial"/>
          <w:sz w:val="22"/>
          <w:szCs w:val="22"/>
          <w:b w:val="1"/>
          <w:bCs w:val="1"/>
          <w:color w:val="auto"/>
        </w:rPr>
        <w:t>2.38.</w:t>
      </w:r>
      <w:r>
        <w:rPr>
          <w:sz w:val="20"/>
          <w:szCs w:val="20"/>
          <w:color w:val="auto"/>
        </w:rPr>
        <w:tab/>
      </w:r>
      <w:r>
        <w:rPr>
          <w:rFonts w:ascii="Arial" w:cs="Arial" w:eastAsia="Arial" w:hAnsi="Arial"/>
          <w:sz w:val="19"/>
          <w:szCs w:val="19"/>
          <w:b w:val="1"/>
          <w:bCs w:val="1"/>
          <w:u w:val="single" w:color="auto"/>
          <w:color w:val="auto"/>
        </w:rPr>
        <w:t>Retention Award</w:t>
      </w:r>
    </w:p>
    <w:p>
      <w:pPr>
        <w:spacing w:after="0" w:line="239"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“Retention Award” means an award, allocable to a Participant’s Retention Award Account in accordance with Section 4.2(c). The designation of the Participants who receive a Retention Award and the amount of each Retention Award shall be determined by the Committee in its discretion. Each Retention Award shall be evidenced by a written agreement between the Employer and the Participant. The written agreement shall set forth the terms and conditions governing the Retention Award and shall be consistent with the applicable provisions of the Plan.</w:t>
      </w:r>
    </w:p>
    <w:p>
      <w:pPr>
        <w:spacing w:after="0" w:line="186" w:lineRule="exact"/>
        <w:rPr>
          <w:sz w:val="20"/>
          <w:szCs w:val="20"/>
          <w:color w:val="auto"/>
        </w:rPr>
      </w:pPr>
    </w:p>
    <w:p>
      <w:pPr>
        <w:spacing w:after="0"/>
        <w:tabs>
          <w:tab w:leader="none" w:pos="600" w:val="left"/>
        </w:tabs>
        <w:rPr>
          <w:sz w:val="20"/>
          <w:szCs w:val="20"/>
          <w:color w:val="auto"/>
        </w:rPr>
      </w:pPr>
      <w:r>
        <w:rPr>
          <w:rFonts w:ascii="Arial" w:cs="Arial" w:eastAsia="Arial" w:hAnsi="Arial"/>
          <w:sz w:val="22"/>
          <w:szCs w:val="22"/>
          <w:b w:val="1"/>
          <w:bCs w:val="1"/>
          <w:color w:val="auto"/>
        </w:rPr>
        <w:t>2.39.</w:t>
      </w:r>
      <w:r>
        <w:rPr>
          <w:sz w:val="20"/>
          <w:szCs w:val="20"/>
          <w:color w:val="auto"/>
        </w:rPr>
        <w:tab/>
      </w:r>
      <w:r>
        <w:rPr>
          <w:rFonts w:ascii="Arial" w:cs="Arial" w:eastAsia="Arial" w:hAnsi="Arial"/>
          <w:sz w:val="19"/>
          <w:szCs w:val="19"/>
          <w:b w:val="1"/>
          <w:bCs w:val="1"/>
          <w:u w:val="single" w:color="auto"/>
          <w:color w:val="auto"/>
        </w:rPr>
        <w:t>Retention Award Account</w:t>
      </w:r>
    </w:p>
    <w:p>
      <w:pPr>
        <w:spacing w:after="0" w:line="23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“Retention Award Account” means the Participant’s subaccount to which Retention Awards are allocated pursuant to Section 4.4(d).</w:t>
      </w:r>
    </w:p>
    <w:p>
      <w:pPr>
        <w:spacing w:after="0" w:line="169" w:lineRule="exact"/>
        <w:rPr>
          <w:sz w:val="20"/>
          <w:szCs w:val="20"/>
          <w:color w:val="auto"/>
        </w:rPr>
      </w:pPr>
    </w:p>
    <w:p>
      <w:pPr>
        <w:spacing w:after="0"/>
        <w:tabs>
          <w:tab w:leader="none" w:pos="600" w:val="left"/>
        </w:tabs>
        <w:rPr>
          <w:sz w:val="20"/>
          <w:szCs w:val="20"/>
          <w:color w:val="auto"/>
        </w:rPr>
      </w:pPr>
      <w:r>
        <w:rPr>
          <w:rFonts w:ascii="Arial" w:cs="Arial" w:eastAsia="Arial" w:hAnsi="Arial"/>
          <w:sz w:val="22"/>
          <w:szCs w:val="22"/>
          <w:b w:val="1"/>
          <w:bCs w:val="1"/>
          <w:color w:val="auto"/>
        </w:rPr>
        <w:t>2.40.</w:t>
      </w:r>
      <w:r>
        <w:rPr>
          <w:sz w:val="20"/>
          <w:szCs w:val="20"/>
          <w:color w:val="auto"/>
        </w:rPr>
        <w:tab/>
      </w:r>
      <w:r>
        <w:rPr>
          <w:rFonts w:ascii="Arial" w:cs="Arial" w:eastAsia="Arial" w:hAnsi="Arial"/>
          <w:sz w:val="19"/>
          <w:szCs w:val="19"/>
          <w:b w:val="1"/>
          <w:bCs w:val="1"/>
          <w:u w:val="single" w:color="auto"/>
          <w:color w:val="auto"/>
        </w:rPr>
        <w:t>Retirement Account</w:t>
      </w:r>
    </w:p>
    <w:p>
      <w:pPr>
        <w:spacing w:after="0" w:line="23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“Retirement Account” means the Participant’s subaccount to which Retirement Contributions are allocated pursuant to Section 4.4(a).</w:t>
      </w:r>
    </w:p>
    <w:p>
      <w:pPr>
        <w:spacing w:after="0" w:line="209" w:lineRule="exact"/>
        <w:rPr>
          <w:sz w:val="20"/>
          <w:szCs w:val="20"/>
          <w:color w:val="auto"/>
        </w:rPr>
      </w:pPr>
    </w:p>
    <w:p>
      <w:pPr>
        <w:spacing w:after="0"/>
        <w:tabs>
          <w:tab w:leader="none" w:pos="600" w:val="left"/>
        </w:tabs>
        <w:rPr>
          <w:sz w:val="20"/>
          <w:szCs w:val="20"/>
          <w:color w:val="auto"/>
        </w:rPr>
      </w:pPr>
      <w:r>
        <w:rPr>
          <w:rFonts w:ascii="Arial" w:cs="Arial" w:eastAsia="Arial" w:hAnsi="Arial"/>
          <w:sz w:val="22"/>
          <w:szCs w:val="22"/>
          <w:b w:val="1"/>
          <w:bCs w:val="1"/>
          <w:color w:val="auto"/>
        </w:rPr>
        <w:t>2.41.</w:t>
      </w:r>
      <w:r>
        <w:rPr>
          <w:sz w:val="20"/>
          <w:szCs w:val="20"/>
          <w:color w:val="auto"/>
        </w:rPr>
        <w:tab/>
      </w:r>
      <w:r>
        <w:rPr>
          <w:rFonts w:ascii="Arial" w:cs="Arial" w:eastAsia="Arial" w:hAnsi="Arial"/>
          <w:sz w:val="19"/>
          <w:szCs w:val="19"/>
          <w:b w:val="1"/>
          <w:bCs w:val="1"/>
          <w:u w:val="single" w:color="auto"/>
          <w:color w:val="auto"/>
        </w:rPr>
        <w:t>Retirement Contribution</w:t>
      </w:r>
    </w:p>
    <w:p>
      <w:pPr>
        <w:spacing w:after="0" w:line="239"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Retirement Contribution means, for Plan Years beginning before January 1, 2011, an Employer contribution allocated to each Eligible Employee’s Retirement Account.</w:t>
      </w:r>
    </w:p>
    <w:p>
      <w:pPr>
        <w:spacing w:after="0" w:line="169" w:lineRule="exact"/>
        <w:rPr>
          <w:sz w:val="20"/>
          <w:szCs w:val="20"/>
          <w:color w:val="auto"/>
        </w:rPr>
      </w:pPr>
    </w:p>
    <w:p>
      <w:pPr>
        <w:spacing w:after="0"/>
        <w:tabs>
          <w:tab w:leader="none" w:pos="600" w:val="left"/>
        </w:tabs>
        <w:rPr>
          <w:sz w:val="20"/>
          <w:szCs w:val="20"/>
          <w:color w:val="auto"/>
        </w:rPr>
      </w:pPr>
      <w:r>
        <w:rPr>
          <w:rFonts w:ascii="Arial" w:cs="Arial" w:eastAsia="Arial" w:hAnsi="Arial"/>
          <w:sz w:val="22"/>
          <w:szCs w:val="22"/>
          <w:b w:val="1"/>
          <w:bCs w:val="1"/>
          <w:color w:val="auto"/>
        </w:rPr>
        <w:t>2.42.</w:t>
      </w:r>
      <w:r>
        <w:rPr>
          <w:sz w:val="20"/>
          <w:szCs w:val="20"/>
          <w:color w:val="auto"/>
        </w:rPr>
        <w:tab/>
      </w:r>
      <w:r>
        <w:rPr>
          <w:rFonts w:ascii="Arial" w:cs="Arial" w:eastAsia="Arial" w:hAnsi="Arial"/>
          <w:sz w:val="19"/>
          <w:szCs w:val="19"/>
          <w:b w:val="1"/>
          <w:bCs w:val="1"/>
          <w:u w:val="single" w:color="auto"/>
          <w:color w:val="auto"/>
        </w:rPr>
        <w:t>RSP Compensation</w:t>
      </w:r>
    </w:p>
    <w:p>
      <w:pPr>
        <w:spacing w:after="0" w:line="23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“RSP Compensation” means compensation as defined under the Qualified Plan. RSP Compensation does not include deferrals to the Plan.</w:t>
      </w:r>
    </w:p>
    <w:p>
      <w:pPr>
        <w:spacing w:after="0" w:line="169" w:lineRule="exact"/>
        <w:rPr>
          <w:sz w:val="20"/>
          <w:szCs w:val="20"/>
          <w:color w:val="auto"/>
        </w:rPr>
      </w:pPr>
    </w:p>
    <w:p>
      <w:pPr>
        <w:spacing w:after="0"/>
        <w:tabs>
          <w:tab w:leader="none" w:pos="600" w:val="left"/>
        </w:tabs>
        <w:rPr>
          <w:sz w:val="20"/>
          <w:szCs w:val="20"/>
          <w:color w:val="auto"/>
        </w:rPr>
      </w:pPr>
      <w:r>
        <w:rPr>
          <w:rFonts w:ascii="Arial" w:cs="Arial" w:eastAsia="Arial" w:hAnsi="Arial"/>
          <w:sz w:val="22"/>
          <w:szCs w:val="22"/>
          <w:b w:val="1"/>
          <w:bCs w:val="1"/>
          <w:color w:val="auto"/>
        </w:rPr>
        <w:t>2.43.</w:t>
      </w:r>
      <w:r>
        <w:rPr>
          <w:sz w:val="20"/>
          <w:szCs w:val="20"/>
          <w:color w:val="auto"/>
        </w:rPr>
        <w:tab/>
      </w:r>
      <w:r>
        <w:rPr>
          <w:rFonts w:ascii="Arial" w:cs="Arial" w:eastAsia="Arial" w:hAnsi="Arial"/>
          <w:sz w:val="19"/>
          <w:szCs w:val="19"/>
          <w:b w:val="1"/>
          <w:bCs w:val="1"/>
          <w:u w:val="single" w:color="auto"/>
          <w:color w:val="auto"/>
        </w:rPr>
        <w:t>Separation from Service</w:t>
      </w:r>
    </w:p>
    <w:p>
      <w:pPr>
        <w:spacing w:after="0" w:line="239" w:lineRule="exact"/>
        <w:rPr>
          <w:sz w:val="20"/>
          <w:szCs w:val="20"/>
          <w:color w:val="auto"/>
        </w:rPr>
      </w:pPr>
    </w:p>
    <w:p>
      <w:pPr>
        <w:jc w:val="both"/>
        <w:ind w:right="20" w:firstLine="648"/>
        <w:spacing w:after="0" w:line="291" w:lineRule="auto"/>
        <w:rPr>
          <w:sz w:val="20"/>
          <w:szCs w:val="20"/>
          <w:color w:val="auto"/>
        </w:rPr>
      </w:pPr>
      <w:r>
        <w:rPr>
          <w:rFonts w:ascii="Arial" w:cs="Arial" w:eastAsia="Arial" w:hAnsi="Arial"/>
          <w:sz w:val="19"/>
          <w:szCs w:val="19"/>
          <w:color w:val="auto"/>
        </w:rPr>
        <w:t>“Separation from Service” means a Participant’s termination of employment with the Company and its Affiliates for any reason. A termination of employment will occur when the Participant and the Company and its Affiliates reasonably anticipate that</w:t>
      </w:r>
    </w:p>
    <w:p>
      <w:pPr>
        <w:spacing w:after="0" w:line="1" w:lineRule="exact"/>
        <w:rPr>
          <w:sz w:val="20"/>
          <w:szCs w:val="20"/>
          <w:color w:val="auto"/>
        </w:rPr>
      </w:pPr>
    </w:p>
    <w:p>
      <w:pPr>
        <w:jc w:val="both"/>
        <w:ind w:firstLine="8"/>
        <w:spacing w:after="0" w:line="257" w:lineRule="exact"/>
        <w:tabs>
          <w:tab w:leader="none" w:pos="284" w:val="left"/>
        </w:tabs>
        <w:numPr>
          <w:ilvl w:val="0"/>
          <w:numId w:val="15"/>
        </w:numPr>
        <w:rPr>
          <w:rFonts w:ascii="Arial" w:cs="Arial" w:eastAsia="Arial" w:hAnsi="Arial"/>
          <w:sz w:val="22"/>
          <w:szCs w:val="22"/>
          <w:color w:val="auto"/>
        </w:rPr>
      </w:pPr>
      <w:r>
        <w:rPr>
          <w:rFonts w:ascii="Arial" w:cs="Arial" w:eastAsia="Arial" w:hAnsi="Arial"/>
          <w:sz w:val="22"/>
          <w:szCs w:val="22"/>
          <w:color w:val="auto"/>
        </w:rPr>
        <w:t>no further services will be performed by the Participant after a certain date or (ii) the level of bona fide services which the Participant is expected to perform for the Company and its Affiliates, as an employee or otherwise, as of a certain date is expected to permanently decrease to a level equal to 20% or less of the average level of services performed by the Participant during the immediately preceding 36</w:t>
      </w:r>
      <w:r>
        <w:rPr>
          <w:rFonts w:ascii="MS PGothic" w:cs="MS PGothic" w:eastAsia="MS PGothic" w:hAnsi="MS PGothic"/>
          <w:sz w:val="22"/>
          <w:szCs w:val="22"/>
          <w:color w:val="auto"/>
        </w:rPr>
        <w:t>‑</w:t>
      </w:r>
      <w:r>
        <w:rPr>
          <w:rFonts w:ascii="Arial" w:cs="Arial" w:eastAsia="Arial" w:hAnsi="Arial"/>
          <w:sz w:val="22"/>
          <w:szCs w:val="22"/>
          <w:color w:val="auto"/>
        </w:rPr>
        <w:t>month period (or the Participant’s entire period of service if less than 36 months). Further, for purposes of the Plan, a termination of employment is deemed to occur on the first date following six months after a Participant is first on a military leave, sick leave or other bona fide leave of absence. Such six</w:t>
      </w:r>
      <w:r>
        <w:rPr>
          <w:rFonts w:ascii="MS PGothic" w:cs="MS PGothic" w:eastAsia="MS PGothic" w:hAnsi="MS PGothic"/>
          <w:sz w:val="22"/>
          <w:szCs w:val="22"/>
          <w:color w:val="auto"/>
        </w:rPr>
        <w:t>‑</w:t>
      </w:r>
      <w:r>
        <w:rPr>
          <w:rFonts w:ascii="Arial" w:cs="Arial" w:eastAsia="Arial" w:hAnsi="Arial"/>
          <w:sz w:val="22"/>
          <w:szCs w:val="22"/>
          <w:color w:val="auto"/>
        </w:rPr>
        <w:t>month period may be extended if the Participant retains a right to reemployment with the</w:t>
      </w:r>
    </w:p>
    <w:p>
      <w:pPr>
        <w:spacing w:after="0" w:line="228" w:lineRule="exact"/>
        <w:rPr>
          <w:sz w:val="20"/>
          <w:szCs w:val="20"/>
          <w:color w:val="auto"/>
        </w:rPr>
      </w:pPr>
    </w:p>
    <w:p>
      <w:pPr>
        <w:ind w:left="8440"/>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420"/>
          </w:cols>
          <w:pgMar w:left="240" w:top="625" w:right="239" w:bottom="1440" w:gutter="0" w:footer="0" w:header="0"/>
        </w:sectPr>
      </w:pPr>
    </w:p>
    <w:bookmarkStart w:id="57" w:name="page58"/>
    <w:bookmarkEnd w:id="57"/>
    <w:p>
      <w:pPr>
        <w:jc w:val="both"/>
        <w:spacing w:after="0" w:line="259" w:lineRule="exact"/>
        <w:rPr>
          <w:sz w:val="20"/>
          <w:szCs w:val="20"/>
          <w:color w:val="auto"/>
        </w:rPr>
      </w:pPr>
      <w:r>
        <w:rPr>
          <w:rFonts w:ascii="Arial" w:cs="Arial" w:eastAsia="Arial" w:hAnsi="Arial"/>
          <w:sz w:val="19"/>
          <w:szCs w:val="19"/>
          <w:color w:val="auto"/>
        </w:rPr>
        <w:t>Company or its Affiliates under applicable statute or contract. Notwithstanding the foregoing, where a leave of absence is due to a medically determinable physical or mental impairment that can be expected to result in death or can be expected to last for a continuous period of not less than six months and where such impairment causes the Participant to be unable to perform the duties of his or her position of employment or any substantially similar position of employment with the Company, a 29</w:t>
      </w:r>
      <w:r>
        <w:rPr>
          <w:rFonts w:ascii="MS PGothic" w:cs="MS PGothic" w:eastAsia="MS PGothic" w:hAnsi="MS PGothic"/>
          <w:sz w:val="19"/>
          <w:szCs w:val="19"/>
          <w:color w:val="auto"/>
        </w:rPr>
        <w:t>‑</w:t>
      </w:r>
      <w:r>
        <w:rPr>
          <w:rFonts w:ascii="Arial" w:cs="Arial" w:eastAsia="Arial" w:hAnsi="Arial"/>
          <w:sz w:val="19"/>
          <w:szCs w:val="19"/>
          <w:color w:val="auto"/>
        </w:rPr>
        <w:t>month period of absence may be substituted for such six</w:t>
      </w:r>
      <w:r>
        <w:rPr>
          <w:rFonts w:ascii="MS PGothic" w:cs="MS PGothic" w:eastAsia="MS PGothic" w:hAnsi="MS PGothic"/>
          <w:sz w:val="19"/>
          <w:szCs w:val="19"/>
          <w:color w:val="auto"/>
        </w:rPr>
        <w:t>‑</w:t>
      </w:r>
      <w:r>
        <w:rPr>
          <w:rFonts w:ascii="Arial" w:cs="Arial" w:eastAsia="Arial" w:hAnsi="Arial"/>
          <w:sz w:val="19"/>
          <w:szCs w:val="19"/>
          <w:color w:val="auto"/>
        </w:rPr>
        <w:t>month period. Whether there has been a termination of employment will be determined by the Benefits Administrative Committee, taking into account all of the facts and circumstances at the time of the termination of employment in accordance with the guidelines described in Treasury Regulation Section 1.409</w:t>
      </w:r>
      <w:r>
        <w:rPr>
          <w:rFonts w:ascii="MS PGothic" w:cs="MS PGothic" w:eastAsia="MS PGothic" w:hAnsi="MS PGothic"/>
          <w:sz w:val="19"/>
          <w:szCs w:val="19"/>
          <w:color w:val="auto"/>
        </w:rPr>
        <w:t>‑</w:t>
      </w:r>
      <w:r>
        <w:rPr>
          <w:rFonts w:ascii="Arial" w:cs="Arial" w:eastAsia="Arial" w:hAnsi="Arial"/>
          <w:sz w:val="19"/>
          <w:szCs w:val="19"/>
          <w:color w:val="auto"/>
        </w:rPr>
        <w:t>1(h). Notwithstanding the foregoing, Separation from Service does not include a Participant’s termination of employment on account of death or Disability.</w:t>
      </w:r>
    </w:p>
    <w:p>
      <w:pPr>
        <w:spacing w:after="0" w:line="195" w:lineRule="exact"/>
        <w:rPr>
          <w:sz w:val="20"/>
          <w:szCs w:val="20"/>
          <w:color w:val="auto"/>
        </w:rPr>
      </w:pPr>
    </w:p>
    <w:p>
      <w:pPr>
        <w:spacing w:after="0"/>
        <w:tabs>
          <w:tab w:leader="none" w:pos="600" w:val="left"/>
        </w:tabs>
        <w:rPr>
          <w:sz w:val="20"/>
          <w:szCs w:val="20"/>
          <w:color w:val="auto"/>
        </w:rPr>
      </w:pPr>
      <w:r>
        <w:rPr>
          <w:rFonts w:ascii="Arial" w:cs="Arial" w:eastAsia="Arial" w:hAnsi="Arial"/>
          <w:sz w:val="22"/>
          <w:szCs w:val="22"/>
          <w:b w:val="1"/>
          <w:bCs w:val="1"/>
          <w:color w:val="auto"/>
        </w:rPr>
        <w:t>2.44.</w:t>
      </w:r>
      <w:r>
        <w:rPr>
          <w:sz w:val="20"/>
          <w:szCs w:val="20"/>
          <w:color w:val="auto"/>
        </w:rPr>
        <w:tab/>
      </w:r>
      <w:r>
        <w:rPr>
          <w:rFonts w:ascii="Arial" w:cs="Arial" w:eastAsia="Arial" w:hAnsi="Arial"/>
          <w:sz w:val="19"/>
          <w:szCs w:val="19"/>
          <w:b w:val="1"/>
          <w:bCs w:val="1"/>
          <w:u w:val="single" w:color="auto"/>
          <w:color w:val="auto"/>
        </w:rPr>
        <w:t>Statutory Limits</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“Statutory Limits” means the following:</w:t>
      </w:r>
    </w:p>
    <w:p>
      <w:pPr>
        <w:spacing w:after="0" w:line="220" w:lineRule="exact"/>
        <w:rPr>
          <w:sz w:val="20"/>
          <w:szCs w:val="20"/>
          <w:color w:val="auto"/>
        </w:rPr>
      </w:pPr>
    </w:p>
    <w:p>
      <w:pPr>
        <w:ind w:left="1140" w:hanging="484"/>
        <w:spacing w:after="0"/>
        <w:tabs>
          <w:tab w:leader="none" w:pos="1140" w:val="left"/>
        </w:tabs>
        <w:numPr>
          <w:ilvl w:val="0"/>
          <w:numId w:val="16"/>
        </w:numPr>
        <w:rPr>
          <w:rFonts w:ascii="Arial" w:cs="Arial" w:eastAsia="Arial" w:hAnsi="Arial"/>
          <w:sz w:val="22"/>
          <w:szCs w:val="22"/>
          <w:color w:val="auto"/>
        </w:rPr>
      </w:pPr>
      <w:r>
        <w:rPr>
          <w:rFonts w:ascii="Arial" w:cs="Arial" w:eastAsia="Arial" w:hAnsi="Arial"/>
          <w:sz w:val="22"/>
          <w:szCs w:val="22"/>
          <w:color w:val="auto"/>
        </w:rPr>
        <w:t>the maximum recognizable annual compensation under Code Section 401(a)(17);</w:t>
      </w:r>
    </w:p>
    <w:p>
      <w:pPr>
        <w:spacing w:after="0" w:line="219" w:lineRule="exact"/>
        <w:rPr>
          <w:rFonts w:ascii="Arial" w:cs="Arial" w:eastAsia="Arial" w:hAnsi="Arial"/>
          <w:sz w:val="22"/>
          <w:szCs w:val="22"/>
          <w:color w:val="auto"/>
        </w:rPr>
      </w:pPr>
    </w:p>
    <w:p>
      <w:pPr>
        <w:ind w:left="1140" w:hanging="484"/>
        <w:spacing w:after="0"/>
        <w:tabs>
          <w:tab w:leader="none" w:pos="1140" w:val="left"/>
        </w:tabs>
        <w:numPr>
          <w:ilvl w:val="0"/>
          <w:numId w:val="16"/>
        </w:numPr>
        <w:rPr>
          <w:rFonts w:ascii="Arial" w:cs="Arial" w:eastAsia="Arial" w:hAnsi="Arial"/>
          <w:sz w:val="22"/>
          <w:szCs w:val="22"/>
          <w:color w:val="auto"/>
        </w:rPr>
      </w:pPr>
      <w:r>
        <w:rPr>
          <w:rFonts w:ascii="Arial" w:cs="Arial" w:eastAsia="Arial" w:hAnsi="Arial"/>
          <w:sz w:val="22"/>
          <w:szCs w:val="22"/>
          <w:color w:val="auto"/>
        </w:rPr>
        <w:t>the maximum annual additions under Code Section 415(c) - the “415 Limit”;</w:t>
      </w:r>
    </w:p>
    <w:p>
      <w:pPr>
        <w:spacing w:after="0" w:line="219" w:lineRule="exact"/>
        <w:rPr>
          <w:rFonts w:ascii="Arial" w:cs="Arial" w:eastAsia="Arial" w:hAnsi="Arial"/>
          <w:sz w:val="22"/>
          <w:szCs w:val="22"/>
          <w:color w:val="auto"/>
        </w:rPr>
      </w:pPr>
    </w:p>
    <w:p>
      <w:pPr>
        <w:ind w:left="1080" w:hanging="424"/>
        <w:spacing w:after="0"/>
        <w:tabs>
          <w:tab w:leader="none" w:pos="1080" w:val="left"/>
        </w:tabs>
        <w:numPr>
          <w:ilvl w:val="0"/>
          <w:numId w:val="16"/>
        </w:numPr>
        <w:rPr>
          <w:rFonts w:ascii="Arial" w:cs="Arial" w:eastAsia="Arial" w:hAnsi="Arial"/>
          <w:sz w:val="22"/>
          <w:szCs w:val="22"/>
          <w:color w:val="auto"/>
        </w:rPr>
      </w:pPr>
      <w:r>
        <w:rPr>
          <w:rFonts w:ascii="Arial" w:cs="Arial" w:eastAsia="Arial" w:hAnsi="Arial"/>
          <w:sz w:val="22"/>
          <w:szCs w:val="22"/>
          <w:color w:val="auto"/>
        </w:rPr>
        <w:t>the deferral limit under Code Section 402(g) - the “Deferral Limit”; and</w:t>
      </w:r>
    </w:p>
    <w:p>
      <w:pPr>
        <w:spacing w:after="0" w:line="233" w:lineRule="exact"/>
        <w:rPr>
          <w:rFonts w:ascii="Arial" w:cs="Arial" w:eastAsia="Arial" w:hAnsi="Arial"/>
          <w:sz w:val="22"/>
          <w:szCs w:val="22"/>
          <w:color w:val="auto"/>
        </w:rPr>
      </w:pPr>
    </w:p>
    <w:p>
      <w:pPr>
        <w:ind w:right="240" w:firstLine="656"/>
        <w:spacing w:after="0" w:line="276" w:lineRule="auto"/>
        <w:tabs>
          <w:tab w:leader="none" w:pos="1080" w:val="left"/>
        </w:tabs>
        <w:numPr>
          <w:ilvl w:val="0"/>
          <w:numId w:val="16"/>
        </w:numPr>
        <w:rPr>
          <w:rFonts w:ascii="Arial" w:cs="Arial" w:eastAsia="Arial" w:hAnsi="Arial"/>
          <w:sz w:val="22"/>
          <w:szCs w:val="22"/>
          <w:color w:val="auto"/>
        </w:rPr>
      </w:pPr>
      <w:r>
        <w:rPr>
          <w:rFonts w:ascii="Arial" w:cs="Arial" w:eastAsia="Arial" w:hAnsi="Arial"/>
          <w:sz w:val="22"/>
          <w:szCs w:val="22"/>
          <w:color w:val="auto"/>
        </w:rPr>
        <w:t>the limits on contributions for highly compensated employees under Code Sections 401(k)(3) - the “ADP Test” - and 401(m)(2) - the “ACP Test.”</w:t>
      </w:r>
    </w:p>
    <w:p>
      <w:pPr>
        <w:spacing w:after="0" w:line="155"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auto"/>
        </w:rPr>
        <w:t>2.45.</w:t>
      </w:r>
      <w:r>
        <w:rPr>
          <w:sz w:val="20"/>
          <w:szCs w:val="20"/>
          <w:color w:val="auto"/>
        </w:rPr>
        <w:tab/>
      </w:r>
      <w:r>
        <w:rPr>
          <w:rFonts w:ascii="Arial" w:cs="Arial" w:eastAsia="Arial" w:hAnsi="Arial"/>
          <w:sz w:val="19"/>
          <w:szCs w:val="19"/>
          <w:b w:val="1"/>
          <w:bCs w:val="1"/>
          <w:u w:val="single" w:color="auto"/>
          <w:color w:val="auto"/>
        </w:rPr>
        <w:t>Supplemental Retirement Award</w:t>
      </w:r>
    </w:p>
    <w:p>
      <w:pPr>
        <w:spacing w:after="0" w:line="22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1"/>
          <w:szCs w:val="21"/>
          <w:color w:val="auto"/>
        </w:rPr>
        <w:t>“Supplemental Retirement Award” means an award, allocable to a Participant’s Supplemental Retirement Award Account, in accordance with Section 4.4(e). The designation of the Participants who receive a Supplemental Retirement Award and the amount of such Supplemental Retirement Award shall be determined by the Committee in its discretion.</w:t>
      </w:r>
    </w:p>
    <w:p>
      <w:pPr>
        <w:spacing w:after="0" w:line="162"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auto"/>
        </w:rPr>
        <w:t>2.46.</w:t>
      </w:r>
      <w:r>
        <w:rPr>
          <w:sz w:val="20"/>
          <w:szCs w:val="20"/>
          <w:color w:val="auto"/>
        </w:rPr>
        <w:tab/>
      </w:r>
      <w:r>
        <w:rPr>
          <w:rFonts w:ascii="Arial" w:cs="Arial" w:eastAsia="Arial" w:hAnsi="Arial"/>
          <w:sz w:val="19"/>
          <w:szCs w:val="19"/>
          <w:b w:val="1"/>
          <w:bCs w:val="1"/>
          <w:u w:val="single" w:color="auto"/>
          <w:color w:val="auto"/>
        </w:rPr>
        <w:t>Supplemental Retirement Award Account</w:t>
      </w:r>
    </w:p>
    <w:p>
      <w:pPr>
        <w:spacing w:after="0" w:line="22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“Supplemental Retirement Award Account” means the Participant’s subaccount to which Supplemental Retirement Awards are allocated pursuant to Section 4.4(e).</w:t>
      </w:r>
    </w:p>
    <w:p>
      <w:pPr>
        <w:spacing w:after="0" w:line="169"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auto"/>
        </w:rPr>
        <w:t>2.47.</w:t>
      </w:r>
      <w:r>
        <w:rPr>
          <w:sz w:val="20"/>
          <w:szCs w:val="20"/>
          <w:color w:val="auto"/>
        </w:rPr>
        <w:tab/>
      </w:r>
      <w:r>
        <w:rPr>
          <w:rFonts w:ascii="Arial" w:cs="Arial" w:eastAsia="Arial" w:hAnsi="Arial"/>
          <w:sz w:val="19"/>
          <w:szCs w:val="19"/>
          <w:b w:val="1"/>
          <w:bCs w:val="1"/>
          <w:u w:val="single" w:color="auto"/>
          <w:color w:val="auto"/>
        </w:rPr>
        <w:t>Transitional Contribution</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19"/>
          <w:szCs w:val="19"/>
          <w:color w:val="auto"/>
        </w:rPr>
        <w:t>Transitional Contribution means a special Employer contribution made for certain Participants for Plan Years from 1998 -</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2000.</w:t>
      </w:r>
    </w:p>
    <w:p>
      <w:pPr>
        <w:spacing w:after="0" w:line="196" w:lineRule="exact"/>
        <w:rPr>
          <w:sz w:val="20"/>
          <w:szCs w:val="20"/>
          <w:color w:val="auto"/>
        </w:rPr>
      </w:pPr>
    </w:p>
    <w:p>
      <w:pPr>
        <w:spacing w:after="0"/>
        <w:tabs>
          <w:tab w:leader="none" w:pos="600" w:val="left"/>
        </w:tabs>
        <w:rPr>
          <w:sz w:val="20"/>
          <w:szCs w:val="20"/>
          <w:color w:val="auto"/>
        </w:rPr>
      </w:pPr>
      <w:r>
        <w:rPr>
          <w:rFonts w:ascii="Arial" w:cs="Arial" w:eastAsia="Arial" w:hAnsi="Arial"/>
          <w:sz w:val="22"/>
          <w:szCs w:val="22"/>
          <w:b w:val="1"/>
          <w:bCs w:val="1"/>
          <w:color w:val="auto"/>
        </w:rPr>
        <w:t>2.48.</w:t>
      </w:r>
      <w:r>
        <w:rPr>
          <w:sz w:val="20"/>
          <w:szCs w:val="20"/>
          <w:color w:val="auto"/>
        </w:rPr>
        <w:tab/>
      </w:r>
      <w:r>
        <w:rPr>
          <w:rFonts w:ascii="Arial" w:cs="Arial" w:eastAsia="Arial" w:hAnsi="Arial"/>
          <w:sz w:val="19"/>
          <w:szCs w:val="19"/>
          <w:b w:val="1"/>
          <w:bCs w:val="1"/>
          <w:u w:val="single" w:color="auto"/>
          <w:color w:val="auto"/>
        </w:rPr>
        <w:t>Transitional Contributions Account</w:t>
      </w:r>
    </w:p>
    <w:p>
      <w:pPr>
        <w:spacing w:after="0" w:line="239"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“Transitional Contributions Account” means the Participant’s subaccount to which Transitional Contributions are allocated pursuant to Section 4.4(c).</w:t>
      </w:r>
    </w:p>
    <w:p>
      <w:pPr>
        <w:spacing w:after="0" w:line="200" w:lineRule="exact"/>
        <w:rPr>
          <w:sz w:val="20"/>
          <w:szCs w:val="20"/>
          <w:color w:val="auto"/>
        </w:rPr>
      </w:pPr>
    </w:p>
    <w:p>
      <w:pPr>
        <w:spacing w:after="0" w:line="218" w:lineRule="exact"/>
        <w:rPr>
          <w:sz w:val="20"/>
          <w:szCs w:val="20"/>
          <w:color w:val="auto"/>
        </w:rPr>
      </w:pPr>
    </w:p>
    <w:p>
      <w:pPr>
        <w:ind w:left="8440"/>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420"/>
          </w:cols>
          <w:pgMar w:left="240" w:top="631" w:right="239" w:bottom="1440" w:gutter="0" w:footer="0" w:header="0"/>
        </w:sectPr>
      </w:pPr>
    </w:p>
    <w:bookmarkStart w:id="58" w:name="page59"/>
    <w:bookmarkEnd w:id="58"/>
    <w:p>
      <w:pPr>
        <w:spacing w:after="0"/>
        <w:tabs>
          <w:tab w:leader="none" w:pos="600" w:val="left"/>
        </w:tabs>
        <w:rPr>
          <w:sz w:val="20"/>
          <w:szCs w:val="20"/>
          <w:color w:val="auto"/>
        </w:rPr>
      </w:pPr>
      <w:r>
        <w:rPr>
          <w:rFonts w:ascii="Arial" w:cs="Arial" w:eastAsia="Arial" w:hAnsi="Arial"/>
          <w:sz w:val="22"/>
          <w:szCs w:val="22"/>
          <w:b w:val="1"/>
          <w:bCs w:val="1"/>
          <w:color w:val="auto"/>
        </w:rPr>
        <w:t>2.49.</w:t>
      </w:r>
      <w:r>
        <w:rPr>
          <w:sz w:val="20"/>
          <w:szCs w:val="20"/>
          <w:color w:val="auto"/>
        </w:rPr>
        <w:tab/>
      </w:r>
      <w:r>
        <w:rPr>
          <w:rFonts w:ascii="Arial" w:cs="Arial" w:eastAsia="Arial" w:hAnsi="Arial"/>
          <w:sz w:val="19"/>
          <w:szCs w:val="19"/>
          <w:b w:val="1"/>
          <w:bCs w:val="1"/>
          <w:u w:val="single" w:color="auto"/>
          <w:color w:val="auto"/>
        </w:rPr>
        <w:t>Years of Service</w:t>
      </w:r>
    </w:p>
    <w:p>
      <w:pPr>
        <w:spacing w:after="0" w:line="23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“Years of Service” means the total of an Employee’s full years of employment with the Employer from the Employee’s adjusted service date, as assigned by the Employer, until the Employee’s Separation from Service.</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SECTION 3</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PARTICIPANTS</w:t>
      </w:r>
    </w:p>
    <w:p>
      <w:pPr>
        <w:spacing w:after="0" w:line="202" w:lineRule="exact"/>
        <w:rPr>
          <w:sz w:val="20"/>
          <w:szCs w:val="20"/>
          <w:color w:val="auto"/>
        </w:rPr>
      </w:pPr>
    </w:p>
    <w:p>
      <w:pPr>
        <w:jc w:val="both"/>
        <w:ind w:firstLine="648"/>
        <w:spacing w:after="0" w:line="258" w:lineRule="exact"/>
        <w:rPr>
          <w:sz w:val="20"/>
          <w:szCs w:val="20"/>
          <w:color w:val="auto"/>
        </w:rPr>
      </w:pPr>
      <w:r>
        <w:rPr>
          <w:rFonts w:ascii="Arial" w:cs="Arial" w:eastAsia="Arial" w:hAnsi="Arial"/>
          <w:sz w:val="19"/>
          <w:szCs w:val="19"/>
          <w:color w:val="auto"/>
        </w:rPr>
        <w:t>Each United States-based vice president or more senior executive is an Eligible Employee and may participate in the Plan. Each other management or highly compensated employee who is designated by the Chief Executive Officer or the Executive Vice President of Global Human Resources as eligible to participate in the Plan is an Eligible Employee and may participate in the Plan so long as such Employee’s eligibility or participation does not affect the Plan’s intended exemption from the funding, participation, vesting and fiduciary provisions of Title I of ERISA. Each Eligible Employee who elects to participate in the Plan or for whom Employer contributions are credited in accordance with Section 4 shall be a Participant in the Plan. A Participant shall continue to participate in the Plan until his or her status as a Participant is terminated by: (a) a complete distribution of his or her Accounts pursuant to the terms of the Plan; (b) the termination of the Plan; or (c) a written directive of the Company’s senior human resources officer. Furthermore, for purposes of administering this Plan, each such Participant shall be deemed to be a “Specified Employee,” as defined in Code Section 409A(a)(2)(B)(i) and Treasury Regulation Section 1.409A</w:t>
      </w:r>
      <w:r>
        <w:rPr>
          <w:rFonts w:ascii="MS PGothic" w:cs="MS PGothic" w:eastAsia="MS PGothic" w:hAnsi="MS PGothic"/>
          <w:sz w:val="19"/>
          <w:szCs w:val="19"/>
          <w:color w:val="auto"/>
        </w:rPr>
        <w:t>‑</w:t>
      </w:r>
      <w:r>
        <w:rPr>
          <w:rFonts w:ascii="Arial" w:cs="Arial" w:eastAsia="Arial" w:hAnsi="Arial"/>
          <w:sz w:val="19"/>
          <w:szCs w:val="19"/>
          <w:color w:val="auto"/>
        </w:rPr>
        <w:t>1(i).</w:t>
      </w:r>
    </w:p>
    <w:p>
      <w:pPr>
        <w:spacing w:after="0" w:line="200" w:lineRule="exact"/>
        <w:rPr>
          <w:sz w:val="20"/>
          <w:szCs w:val="20"/>
          <w:color w:val="auto"/>
        </w:rPr>
      </w:pPr>
    </w:p>
    <w:p>
      <w:pPr>
        <w:ind w:left="5140"/>
        <w:spacing w:after="0"/>
        <w:rPr>
          <w:sz w:val="20"/>
          <w:szCs w:val="20"/>
          <w:color w:val="auto"/>
        </w:rPr>
      </w:pPr>
      <w:r>
        <w:rPr>
          <w:rFonts w:ascii="Arial" w:cs="Arial" w:eastAsia="Arial" w:hAnsi="Arial"/>
          <w:sz w:val="22"/>
          <w:szCs w:val="22"/>
          <w:b w:val="1"/>
          <w:bCs w:val="1"/>
          <w:color w:val="auto"/>
        </w:rPr>
        <w:t>SECTION 4</w:t>
      </w:r>
    </w:p>
    <w:p>
      <w:pPr>
        <w:spacing w:after="0" w:line="28" w:lineRule="exact"/>
        <w:rPr>
          <w:sz w:val="20"/>
          <w:szCs w:val="20"/>
          <w:color w:val="auto"/>
        </w:rPr>
      </w:pPr>
    </w:p>
    <w:p>
      <w:pPr>
        <w:ind w:left="5100"/>
        <w:spacing w:after="0"/>
        <w:rPr>
          <w:sz w:val="20"/>
          <w:szCs w:val="20"/>
          <w:color w:val="auto"/>
        </w:rPr>
      </w:pPr>
      <w:r>
        <w:rPr>
          <w:rFonts w:ascii="Arial" w:cs="Arial" w:eastAsia="Arial" w:hAnsi="Arial"/>
          <w:sz w:val="22"/>
          <w:szCs w:val="22"/>
          <w:b w:val="1"/>
          <w:bCs w:val="1"/>
          <w:color w:val="auto"/>
        </w:rPr>
        <w:t>ACCOUNTS</w:t>
      </w:r>
    </w:p>
    <w:p>
      <w:pPr>
        <w:spacing w:after="0" w:line="196" w:lineRule="exact"/>
        <w:rPr>
          <w:sz w:val="20"/>
          <w:szCs w:val="20"/>
          <w:color w:val="auto"/>
        </w:rPr>
      </w:pPr>
    </w:p>
    <w:p>
      <w:pPr>
        <w:spacing w:after="0"/>
        <w:tabs>
          <w:tab w:leader="none" w:pos="500" w:val="left"/>
        </w:tabs>
        <w:rPr>
          <w:sz w:val="20"/>
          <w:szCs w:val="20"/>
          <w:color w:val="auto"/>
        </w:rPr>
      </w:pPr>
      <w:r>
        <w:rPr>
          <w:rFonts w:ascii="Arial" w:cs="Arial" w:eastAsia="Arial" w:hAnsi="Arial"/>
          <w:sz w:val="22"/>
          <w:szCs w:val="22"/>
          <w:b w:val="1"/>
          <w:bCs w:val="1"/>
          <w:color w:val="auto"/>
        </w:rPr>
        <w:t>4.1.</w:t>
      </w:r>
      <w:r>
        <w:rPr>
          <w:sz w:val="20"/>
          <w:szCs w:val="20"/>
          <w:color w:val="auto"/>
        </w:rPr>
        <w:tab/>
      </w:r>
      <w:r>
        <w:rPr>
          <w:rFonts w:ascii="Arial" w:cs="Arial" w:eastAsia="Arial" w:hAnsi="Arial"/>
          <w:sz w:val="19"/>
          <w:szCs w:val="19"/>
          <w:b w:val="1"/>
          <w:bCs w:val="1"/>
          <w:u w:val="single" w:color="auto"/>
          <w:color w:val="auto"/>
        </w:rPr>
        <w:t>Establishment of Accounts</w:t>
      </w:r>
    </w:p>
    <w:p>
      <w:pPr>
        <w:spacing w:after="0" w:line="23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The recordkeeper will establish an Account for each Participant. A Participant’s Account shall consist of a Performance Award Account, a Base Salary Account, a Matching Account, a Retirement Account, a Transitional Contributions Account, a Retention Award Account and a Supplemental Retirement Award Account.</w:t>
      </w:r>
    </w:p>
    <w:p>
      <w:pPr>
        <w:spacing w:after="0" w:line="180" w:lineRule="exact"/>
        <w:rPr>
          <w:sz w:val="20"/>
          <w:szCs w:val="20"/>
          <w:color w:val="auto"/>
        </w:rPr>
      </w:pPr>
    </w:p>
    <w:p>
      <w:pPr>
        <w:spacing w:after="0"/>
        <w:tabs>
          <w:tab w:leader="none" w:pos="500" w:val="left"/>
        </w:tabs>
        <w:rPr>
          <w:sz w:val="20"/>
          <w:szCs w:val="20"/>
          <w:color w:val="auto"/>
        </w:rPr>
      </w:pPr>
      <w:r>
        <w:rPr>
          <w:rFonts w:ascii="Arial" w:cs="Arial" w:eastAsia="Arial" w:hAnsi="Arial"/>
          <w:sz w:val="22"/>
          <w:szCs w:val="22"/>
          <w:b w:val="1"/>
          <w:bCs w:val="1"/>
          <w:color w:val="auto"/>
        </w:rPr>
        <w:t>4.2.</w:t>
      </w:r>
      <w:r>
        <w:rPr>
          <w:sz w:val="20"/>
          <w:szCs w:val="20"/>
          <w:color w:val="auto"/>
        </w:rPr>
        <w:tab/>
      </w:r>
      <w:r>
        <w:rPr>
          <w:rFonts w:ascii="Arial" w:cs="Arial" w:eastAsia="Arial" w:hAnsi="Arial"/>
          <w:sz w:val="19"/>
          <w:szCs w:val="19"/>
          <w:b w:val="1"/>
          <w:bCs w:val="1"/>
          <w:u w:val="single" w:color="auto"/>
          <w:color w:val="auto"/>
        </w:rPr>
        <w:t>Election of Participant to Defer Performance Awards</w:t>
      </w:r>
    </w:p>
    <w:p>
      <w:pPr>
        <w:spacing w:after="0" w:line="239" w:lineRule="exact"/>
        <w:rPr>
          <w:sz w:val="20"/>
          <w:szCs w:val="20"/>
          <w:color w:val="auto"/>
        </w:rPr>
      </w:pPr>
    </w:p>
    <w:p>
      <w:pPr>
        <w:jc w:val="both"/>
        <w:ind w:firstLine="656"/>
        <w:spacing w:after="0" w:line="286" w:lineRule="auto"/>
        <w:tabs>
          <w:tab w:leader="none" w:pos="1068" w:val="left"/>
        </w:tabs>
        <w:numPr>
          <w:ilvl w:val="1"/>
          <w:numId w:val="17"/>
        </w:numPr>
        <w:rPr>
          <w:rFonts w:ascii="Arial" w:cs="Arial" w:eastAsia="Arial" w:hAnsi="Arial"/>
          <w:sz w:val="19"/>
          <w:szCs w:val="19"/>
          <w:color w:val="auto"/>
        </w:rPr>
      </w:pPr>
      <w:r>
        <w:rPr>
          <w:rFonts w:ascii="Arial" w:cs="Arial" w:eastAsia="Arial" w:hAnsi="Arial"/>
          <w:sz w:val="19"/>
          <w:szCs w:val="19"/>
          <w:u w:val="single" w:color="auto"/>
          <w:color w:val="auto"/>
        </w:rPr>
        <w:t>Performance Awards</w:t>
      </w:r>
      <w:r>
        <w:rPr>
          <w:rFonts w:ascii="Arial" w:cs="Arial" w:eastAsia="Arial" w:hAnsi="Arial"/>
          <w:sz w:val="19"/>
          <w:szCs w:val="19"/>
          <w:color w:val="auto"/>
        </w:rPr>
        <w:t>. An Eligible Employee may, at the discretion of the Committee, and on such terms and conditions as it may specify, elect to have a percentage of any Performance Award that may be awarded to him or her by the Employer for, as applicable, (i) a Plan Year or (ii) a fiscal year ending in the following Plan Year, allocated to his or her Performance Award Account and paid on a deferred basis pursuant to the terms of the Plan. To make an election with respect to a Performance Award, an Eligible Employee must advise the Employer of his or her election in writing or by filing an election electronically, using procedures prescribed by the Benefits Administrative Committee. Such elections must be made on or before the date prescribed by the Benefits Administrative Committee, which shall be no later than December 31 of the preceding calendar year, as applicable,</w:t>
      </w:r>
    </w:p>
    <w:p>
      <w:pPr>
        <w:spacing w:after="0" w:line="5" w:lineRule="exact"/>
        <w:rPr>
          <w:rFonts w:ascii="Arial" w:cs="Arial" w:eastAsia="Arial" w:hAnsi="Arial"/>
          <w:sz w:val="19"/>
          <w:szCs w:val="19"/>
          <w:color w:val="auto"/>
        </w:rPr>
      </w:pPr>
    </w:p>
    <w:p>
      <w:pPr>
        <w:ind w:left="260" w:hanging="252"/>
        <w:spacing w:after="0"/>
        <w:tabs>
          <w:tab w:leader="none" w:pos="260" w:val="left"/>
        </w:tabs>
        <w:numPr>
          <w:ilvl w:val="0"/>
          <w:numId w:val="18"/>
        </w:numPr>
        <w:rPr>
          <w:rFonts w:ascii="Arial" w:cs="Arial" w:eastAsia="Arial" w:hAnsi="Arial"/>
          <w:sz w:val="22"/>
          <w:szCs w:val="22"/>
          <w:color w:val="auto"/>
        </w:rPr>
      </w:pPr>
      <w:r>
        <w:rPr>
          <w:rFonts w:ascii="Arial" w:cs="Arial" w:eastAsia="Arial" w:hAnsi="Arial"/>
          <w:sz w:val="22"/>
          <w:szCs w:val="22"/>
          <w:color w:val="auto"/>
        </w:rPr>
        <w:t>the Plan Year to which the Performance Award relates or (ii) the</w:t>
      </w:r>
    </w:p>
    <w:p>
      <w:pPr>
        <w:spacing w:after="0" w:line="229" w:lineRule="exact"/>
        <w:rPr>
          <w:sz w:val="20"/>
          <w:szCs w:val="20"/>
          <w:color w:val="auto"/>
        </w:rPr>
      </w:pPr>
    </w:p>
    <w:p>
      <w:pPr>
        <w:ind w:left="8440"/>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420"/>
          </w:cols>
          <w:pgMar w:left="240" w:top="625" w:right="239" w:bottom="1440" w:gutter="0" w:footer="0" w:header="0"/>
        </w:sectPr>
      </w:pPr>
    </w:p>
    <w:bookmarkStart w:id="59" w:name="page60"/>
    <w:bookmarkEnd w:id="59"/>
    <w:p>
      <w:pPr>
        <w:jc w:val="both"/>
        <w:spacing w:after="0" w:line="246" w:lineRule="auto"/>
        <w:rPr>
          <w:sz w:val="20"/>
          <w:szCs w:val="20"/>
          <w:color w:val="auto"/>
        </w:rPr>
      </w:pPr>
      <w:r>
        <w:rPr>
          <w:rFonts w:ascii="Arial" w:cs="Arial" w:eastAsia="Arial" w:hAnsi="Arial"/>
          <w:sz w:val="22"/>
          <w:szCs w:val="22"/>
          <w:color w:val="auto"/>
        </w:rPr>
        <w:t xml:space="preserve">Plan Year in which the fiscal year to which the Performance Award relates ends. In no event may a deferral election be made with respect to any portion of a Performance Award that is “readily ascertainable,” </w:t>
      </w:r>
      <w:r>
        <w:rPr>
          <w:rFonts w:ascii="Arial" w:cs="Arial" w:eastAsia="Arial" w:hAnsi="Arial"/>
          <w:sz w:val="22"/>
          <w:szCs w:val="22"/>
          <w:i w:val="1"/>
          <w:iCs w:val="1"/>
          <w:color w:val="auto"/>
        </w:rPr>
        <w:t>i.e.</w:t>
      </w:r>
      <w:r>
        <w:rPr>
          <w:rFonts w:ascii="Arial" w:cs="Arial" w:eastAsia="Arial" w:hAnsi="Arial"/>
          <w:sz w:val="22"/>
          <w:szCs w:val="22"/>
          <w:color w:val="auto"/>
        </w:rPr>
        <w:t>, both calculable and substantially certain to be paid at the time of the election. Further, for such election to be effective, an Eligible Employee must have provided services for the Employer continuously from the beginning of the applicable performance period. Finally, deferral elections made with respect to Performance Awards that become payable as a result of death or Disability or in the event of a Change in Control, without regard to the satisfaction of the applicable performance criteria, do not constitute performance-based compensation and shall not be effective unless made by December 31 of the calendar year preceding the beginning of the calendar or fiscal year to which such award relates.</w:t>
      </w:r>
    </w:p>
    <w:p>
      <w:pPr>
        <w:spacing w:after="0" w:line="195" w:lineRule="exact"/>
        <w:rPr>
          <w:sz w:val="20"/>
          <w:szCs w:val="20"/>
          <w:color w:val="auto"/>
        </w:rPr>
      </w:pPr>
    </w:p>
    <w:p>
      <w:pPr>
        <w:jc w:val="both"/>
        <w:ind w:firstLine="656"/>
        <w:spacing w:after="0" w:line="307" w:lineRule="auto"/>
        <w:tabs>
          <w:tab w:leader="none" w:pos="1148" w:val="left"/>
        </w:tabs>
        <w:numPr>
          <w:ilvl w:val="0"/>
          <w:numId w:val="19"/>
        </w:numPr>
        <w:rPr>
          <w:rFonts w:ascii="Arial" w:cs="Arial" w:eastAsia="Arial" w:hAnsi="Arial"/>
          <w:sz w:val="19"/>
          <w:szCs w:val="19"/>
          <w:color w:val="auto"/>
        </w:rPr>
      </w:pPr>
      <w:r>
        <w:rPr>
          <w:rFonts w:ascii="Arial" w:cs="Arial" w:eastAsia="Arial" w:hAnsi="Arial"/>
          <w:sz w:val="19"/>
          <w:szCs w:val="19"/>
          <w:u w:val="single" w:color="auto"/>
          <w:color w:val="auto"/>
        </w:rPr>
        <w:t>Performance Awards for Newly Eligible Employees</w:t>
      </w:r>
      <w:r>
        <w:rPr>
          <w:rFonts w:ascii="Arial" w:cs="Arial" w:eastAsia="Arial" w:hAnsi="Arial"/>
          <w:sz w:val="19"/>
          <w:szCs w:val="19"/>
          <w:color w:val="auto"/>
        </w:rPr>
        <w:t>. Notwithstanding the preceding paragraph, for the Plan Year in which an Employee first becomes an Eligible Employee, such Eligible Employee is not eligible to defer Performance Awards with respect to any performance period that begins in such Plan Year. Such Eligible Employee can make a Performance Award Deferral Election for performance periods beginning in the following Plan Year in accordance with Section 4.2(a).</w:t>
      </w:r>
    </w:p>
    <w:p>
      <w:pPr>
        <w:spacing w:after="0" w:line="138" w:lineRule="exact"/>
        <w:rPr>
          <w:rFonts w:ascii="Arial" w:cs="Arial" w:eastAsia="Arial" w:hAnsi="Arial"/>
          <w:sz w:val="19"/>
          <w:szCs w:val="19"/>
          <w:color w:val="auto"/>
        </w:rPr>
      </w:pPr>
    </w:p>
    <w:p>
      <w:pPr>
        <w:ind w:firstLine="656"/>
        <w:spacing w:after="0" w:line="276" w:lineRule="auto"/>
        <w:tabs>
          <w:tab w:leader="none" w:pos="1068" w:val="left"/>
        </w:tabs>
        <w:numPr>
          <w:ilvl w:val="0"/>
          <w:numId w:val="19"/>
        </w:numPr>
        <w:rPr>
          <w:rFonts w:ascii="Arial" w:cs="Arial" w:eastAsia="Arial" w:hAnsi="Arial"/>
          <w:sz w:val="22"/>
          <w:szCs w:val="22"/>
          <w:color w:val="auto"/>
        </w:rPr>
      </w:pPr>
      <w:r>
        <w:rPr>
          <w:rFonts w:ascii="Arial" w:cs="Arial" w:eastAsia="Arial" w:hAnsi="Arial"/>
          <w:sz w:val="22"/>
          <w:szCs w:val="22"/>
          <w:u w:val="single" w:color="auto"/>
          <w:color w:val="auto"/>
        </w:rPr>
        <w:t>Calendar Year Performance Awards</w:t>
      </w:r>
      <w:r>
        <w:rPr>
          <w:rFonts w:ascii="Arial" w:cs="Arial" w:eastAsia="Arial" w:hAnsi="Arial"/>
          <w:sz w:val="22"/>
          <w:szCs w:val="22"/>
          <w:color w:val="auto"/>
        </w:rPr>
        <w:t>. Calendar year Performance Awards shall be taken into account in the Plan Year in which any non-deferred portion of such Performance Award would be paid.</w:t>
      </w:r>
    </w:p>
    <w:p>
      <w:pPr>
        <w:spacing w:after="0" w:line="160" w:lineRule="exact"/>
        <w:rPr>
          <w:rFonts w:ascii="Arial" w:cs="Arial" w:eastAsia="Arial" w:hAnsi="Arial"/>
          <w:sz w:val="22"/>
          <w:szCs w:val="22"/>
          <w:color w:val="auto"/>
        </w:rPr>
      </w:pPr>
    </w:p>
    <w:p>
      <w:pPr>
        <w:jc w:val="both"/>
        <w:ind w:firstLine="656"/>
        <w:spacing w:after="0" w:line="266" w:lineRule="auto"/>
        <w:tabs>
          <w:tab w:leader="none" w:pos="1080" w:val="left"/>
        </w:tabs>
        <w:numPr>
          <w:ilvl w:val="0"/>
          <w:numId w:val="19"/>
        </w:numPr>
        <w:rPr>
          <w:rFonts w:ascii="Arial" w:cs="Arial" w:eastAsia="Arial" w:hAnsi="Arial"/>
          <w:sz w:val="21"/>
          <w:szCs w:val="21"/>
          <w:color w:val="auto"/>
        </w:rPr>
      </w:pPr>
      <w:r>
        <w:rPr>
          <w:rFonts w:ascii="Arial" w:cs="Arial" w:eastAsia="Arial" w:hAnsi="Arial"/>
          <w:sz w:val="21"/>
          <w:szCs w:val="21"/>
          <w:u w:val="single" w:color="auto"/>
          <w:color w:val="auto"/>
        </w:rPr>
        <w:t>Performance Award Account</w:t>
      </w:r>
      <w:r>
        <w:rPr>
          <w:rFonts w:ascii="Arial" w:cs="Arial" w:eastAsia="Arial" w:hAnsi="Arial"/>
          <w:sz w:val="21"/>
          <w:szCs w:val="21"/>
          <w:color w:val="auto"/>
        </w:rPr>
        <w:t>. If a Performance Award Deferral Election is submitted to the recordkeeper in accordance with this Section 4.2., the Employer will credit to the Participant’s Performance Award Account the amount of any timely deferral determined in accordance with this Section 4.2. All such deferral elections must be submitted no later than December 31 of the calendar year in which such deferral elections are made. Such deferral elections become irrevocable on such date and cannot be changed even if the Participant ceases to be an Eligible Employee.</w:t>
      </w:r>
    </w:p>
    <w:p>
      <w:pPr>
        <w:spacing w:after="0" w:line="174" w:lineRule="exact"/>
        <w:rPr>
          <w:rFonts w:ascii="Arial" w:cs="Arial" w:eastAsia="Arial" w:hAnsi="Arial"/>
          <w:sz w:val="21"/>
          <w:szCs w:val="21"/>
          <w:color w:val="auto"/>
        </w:rPr>
      </w:pPr>
    </w:p>
    <w:p>
      <w:pPr>
        <w:jc w:val="both"/>
        <w:ind w:firstLine="656"/>
        <w:spacing w:after="0" w:line="260" w:lineRule="auto"/>
        <w:tabs>
          <w:tab w:leader="none" w:pos="1095" w:val="left"/>
        </w:tabs>
        <w:numPr>
          <w:ilvl w:val="0"/>
          <w:numId w:val="19"/>
        </w:numPr>
        <w:rPr>
          <w:rFonts w:ascii="Arial" w:cs="Arial" w:eastAsia="Arial" w:hAnsi="Arial"/>
          <w:sz w:val="22"/>
          <w:szCs w:val="22"/>
          <w:color w:val="auto"/>
        </w:rPr>
      </w:pPr>
      <w:r>
        <w:rPr>
          <w:rFonts w:ascii="Arial" w:cs="Arial" w:eastAsia="Arial" w:hAnsi="Arial"/>
          <w:sz w:val="22"/>
          <w:szCs w:val="22"/>
          <w:u w:val="single" w:color="auto"/>
          <w:color w:val="auto"/>
        </w:rPr>
        <w:t>Deferral Election Effective Only If Employed on the Payment Date</w:t>
      </w:r>
      <w:r>
        <w:rPr>
          <w:rFonts w:ascii="Arial" w:cs="Arial" w:eastAsia="Arial" w:hAnsi="Arial"/>
          <w:sz w:val="22"/>
          <w:szCs w:val="22"/>
          <w:color w:val="auto"/>
        </w:rPr>
        <w:t>. Notwithstanding any provision of this Plan to the contrary, no Performance Award may be deferred under this Section 4.2 unless the Participant is an Employee on the date that such amount actually is distributed.</w:t>
      </w:r>
    </w:p>
    <w:p>
      <w:pPr>
        <w:spacing w:after="0" w:line="171" w:lineRule="exact"/>
        <w:rPr>
          <w:sz w:val="20"/>
          <w:szCs w:val="20"/>
          <w:color w:val="auto"/>
        </w:rPr>
      </w:pPr>
    </w:p>
    <w:p>
      <w:pPr>
        <w:spacing w:after="0"/>
        <w:tabs>
          <w:tab w:leader="none" w:pos="500" w:val="left"/>
        </w:tabs>
        <w:rPr>
          <w:sz w:val="20"/>
          <w:szCs w:val="20"/>
          <w:color w:val="auto"/>
        </w:rPr>
      </w:pPr>
      <w:r>
        <w:rPr>
          <w:rFonts w:ascii="Arial" w:cs="Arial" w:eastAsia="Arial" w:hAnsi="Arial"/>
          <w:sz w:val="22"/>
          <w:szCs w:val="22"/>
          <w:b w:val="1"/>
          <w:bCs w:val="1"/>
          <w:color w:val="auto"/>
        </w:rPr>
        <w:t>4.3.</w:t>
      </w:r>
      <w:r>
        <w:rPr>
          <w:sz w:val="20"/>
          <w:szCs w:val="20"/>
          <w:color w:val="auto"/>
        </w:rPr>
        <w:tab/>
      </w:r>
      <w:r>
        <w:rPr>
          <w:rFonts w:ascii="Arial" w:cs="Arial" w:eastAsia="Arial" w:hAnsi="Arial"/>
          <w:sz w:val="19"/>
          <w:szCs w:val="19"/>
          <w:b w:val="1"/>
          <w:bCs w:val="1"/>
          <w:u w:val="single" w:color="auto"/>
          <w:color w:val="auto"/>
        </w:rPr>
        <w:t>Election of Participant to Defer Base Salary</w:t>
      </w:r>
    </w:p>
    <w:p>
      <w:pPr>
        <w:spacing w:after="0" w:line="239" w:lineRule="exact"/>
        <w:rPr>
          <w:sz w:val="20"/>
          <w:szCs w:val="20"/>
          <w:color w:val="auto"/>
        </w:rPr>
      </w:pPr>
    </w:p>
    <w:p>
      <w:pPr>
        <w:ind w:firstLine="656"/>
        <w:spacing w:after="0" w:line="276" w:lineRule="auto"/>
        <w:tabs>
          <w:tab w:leader="none" w:pos="1095" w:val="left"/>
        </w:tabs>
        <w:numPr>
          <w:ilvl w:val="0"/>
          <w:numId w:val="20"/>
        </w:numPr>
        <w:rPr>
          <w:rFonts w:ascii="Arial" w:cs="Arial" w:eastAsia="Arial" w:hAnsi="Arial"/>
          <w:sz w:val="22"/>
          <w:szCs w:val="22"/>
          <w:color w:val="auto"/>
        </w:rPr>
      </w:pPr>
      <w:r>
        <w:rPr>
          <w:rFonts w:ascii="Arial" w:cs="Arial" w:eastAsia="Arial" w:hAnsi="Arial"/>
          <w:sz w:val="22"/>
          <w:szCs w:val="22"/>
          <w:u w:val="single" w:color="auto"/>
          <w:color w:val="auto"/>
        </w:rPr>
        <w:t>Annual Base Salary Deferral Elections</w:t>
      </w:r>
      <w:r>
        <w:rPr>
          <w:rFonts w:ascii="Arial" w:cs="Arial" w:eastAsia="Arial" w:hAnsi="Arial"/>
          <w:sz w:val="22"/>
          <w:szCs w:val="22"/>
          <w:color w:val="auto"/>
        </w:rPr>
        <w:t>. Each Eligible Employee may, on such terms and conditions as the Committee may specify, elect separate “ERP 1” and “ERP 2” deferral percentages as provided in (i) and (ii) below:</w:t>
      </w:r>
    </w:p>
    <w:p>
      <w:pPr>
        <w:spacing w:after="0" w:line="160" w:lineRule="exact"/>
        <w:rPr>
          <w:rFonts w:ascii="Arial" w:cs="Arial" w:eastAsia="Arial" w:hAnsi="Arial"/>
          <w:sz w:val="22"/>
          <w:szCs w:val="22"/>
          <w:color w:val="auto"/>
        </w:rPr>
      </w:pPr>
    </w:p>
    <w:p>
      <w:pPr>
        <w:jc w:val="both"/>
        <w:ind w:left="660" w:firstLine="645"/>
        <w:spacing w:after="0" w:line="260" w:lineRule="auto"/>
        <w:tabs>
          <w:tab w:leader="none" w:pos="1719" w:val="left"/>
        </w:tabs>
        <w:numPr>
          <w:ilvl w:val="1"/>
          <w:numId w:val="20"/>
        </w:numPr>
        <w:rPr>
          <w:rFonts w:ascii="Arial" w:cs="Arial" w:eastAsia="Arial" w:hAnsi="Arial"/>
          <w:sz w:val="22"/>
          <w:szCs w:val="22"/>
          <w:color w:val="auto"/>
        </w:rPr>
      </w:pPr>
      <w:r>
        <w:rPr>
          <w:rFonts w:ascii="Arial" w:cs="Arial" w:eastAsia="Arial" w:hAnsi="Arial"/>
          <w:sz w:val="22"/>
          <w:szCs w:val="22"/>
          <w:u w:val="single" w:color="auto"/>
          <w:color w:val="auto"/>
        </w:rPr>
        <w:t>ERP 1 Deferrals</w:t>
      </w:r>
      <w:r>
        <w:rPr>
          <w:rFonts w:ascii="Arial" w:cs="Arial" w:eastAsia="Arial" w:hAnsi="Arial"/>
          <w:sz w:val="22"/>
          <w:szCs w:val="22"/>
          <w:color w:val="auto"/>
        </w:rPr>
        <w:t>. Each Eligible Employee may elect to have a percentage of his or her Base Salary attributable to Compensation that would be paid before the Eligible Employee reaches the Pay Cap deferred and allocated to his or her Base Salary Account and paid pursuant to the terms of the Plan.</w:t>
      </w:r>
    </w:p>
    <w:p>
      <w:pPr>
        <w:spacing w:after="0" w:line="177" w:lineRule="exact"/>
        <w:rPr>
          <w:rFonts w:ascii="Arial" w:cs="Arial" w:eastAsia="Arial" w:hAnsi="Arial"/>
          <w:sz w:val="22"/>
          <w:szCs w:val="22"/>
          <w:color w:val="auto"/>
        </w:rPr>
      </w:pPr>
    </w:p>
    <w:p>
      <w:pPr>
        <w:ind w:left="660" w:firstLine="645"/>
        <w:spacing w:after="0" w:line="276" w:lineRule="auto"/>
        <w:tabs>
          <w:tab w:leader="none" w:pos="1766" w:val="left"/>
        </w:tabs>
        <w:numPr>
          <w:ilvl w:val="1"/>
          <w:numId w:val="20"/>
        </w:numPr>
        <w:rPr>
          <w:rFonts w:ascii="Arial" w:cs="Arial" w:eastAsia="Arial" w:hAnsi="Arial"/>
          <w:sz w:val="22"/>
          <w:szCs w:val="22"/>
          <w:color w:val="auto"/>
        </w:rPr>
      </w:pPr>
      <w:r>
        <w:rPr>
          <w:rFonts w:ascii="Arial" w:cs="Arial" w:eastAsia="Arial" w:hAnsi="Arial"/>
          <w:sz w:val="22"/>
          <w:szCs w:val="22"/>
          <w:u w:val="single" w:color="auto"/>
          <w:color w:val="auto"/>
        </w:rPr>
        <w:t>ERP 2 Deferrals</w:t>
      </w:r>
      <w:r>
        <w:rPr>
          <w:rFonts w:ascii="Arial" w:cs="Arial" w:eastAsia="Arial" w:hAnsi="Arial"/>
          <w:sz w:val="22"/>
          <w:szCs w:val="22"/>
          <w:color w:val="auto"/>
        </w:rPr>
        <w:t>. Each Eligible Employee may elect to have a percentage of his or her Base Salary attributable to Compensation that would be paid after the Eligible</w:t>
      </w:r>
    </w:p>
    <w:p>
      <w:pPr>
        <w:spacing w:after="0" w:line="188" w:lineRule="exact"/>
        <w:rPr>
          <w:sz w:val="20"/>
          <w:szCs w:val="20"/>
          <w:color w:val="auto"/>
        </w:rPr>
      </w:pPr>
    </w:p>
    <w:p>
      <w:pPr>
        <w:ind w:left="8440"/>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420"/>
          </w:cols>
          <w:pgMar w:left="240" w:top="631" w:right="239" w:bottom="1440" w:gutter="0" w:footer="0" w:header="0"/>
        </w:sectPr>
      </w:pPr>
    </w:p>
    <w:bookmarkStart w:id="60" w:name="page61"/>
    <w:bookmarkEnd w:id="60"/>
    <w:p>
      <w:pPr>
        <w:ind w:left="660"/>
        <w:spacing w:after="0" w:line="263" w:lineRule="auto"/>
        <w:rPr>
          <w:sz w:val="20"/>
          <w:szCs w:val="20"/>
          <w:color w:val="auto"/>
        </w:rPr>
      </w:pPr>
      <w:r>
        <w:rPr>
          <w:rFonts w:ascii="Arial" w:cs="Arial" w:eastAsia="Arial" w:hAnsi="Arial"/>
          <w:sz w:val="22"/>
          <w:szCs w:val="22"/>
          <w:color w:val="auto"/>
        </w:rPr>
        <w:t>Employee reaches the Pay Cap deferred and allocated to his or her Base Salary Account and paid pursuant to the terms of the Plan.</w:t>
      </w:r>
    </w:p>
    <w:p>
      <w:pPr>
        <w:spacing w:after="0" w:line="175"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To exercise such elections for any Plan Year, on or before the date prescribed by the Benefits Administrative Committee (which shall be no later than December 31 of the calendar year preceding the Plan Year in which the services relating to such Base Salary are performed), the Eligible Employee must advise the Employer of his or her elections in writing or by filing such elections electronically using procedures prescribed by the Benefits Administrative Committee. Such Base Salary Deferral Elections shall apply only to Base Salary earned by and payable to the Participant after the date on which the Base Salary Deferral Election is received by the recordkeeper.</w:t>
      </w:r>
    </w:p>
    <w:p>
      <w:pPr>
        <w:spacing w:after="0" w:line="194" w:lineRule="exact"/>
        <w:rPr>
          <w:sz w:val="20"/>
          <w:szCs w:val="20"/>
          <w:color w:val="auto"/>
        </w:rPr>
      </w:pPr>
    </w:p>
    <w:p>
      <w:pPr>
        <w:jc w:val="both"/>
        <w:ind w:firstLine="656"/>
        <w:spacing w:after="0" w:line="260" w:lineRule="auto"/>
        <w:tabs>
          <w:tab w:leader="none" w:pos="1080" w:val="left"/>
        </w:tabs>
        <w:numPr>
          <w:ilvl w:val="0"/>
          <w:numId w:val="21"/>
        </w:numPr>
        <w:rPr>
          <w:rFonts w:ascii="Arial" w:cs="Arial" w:eastAsia="Arial" w:hAnsi="Arial"/>
          <w:sz w:val="22"/>
          <w:szCs w:val="22"/>
          <w:color w:val="auto"/>
        </w:rPr>
      </w:pPr>
      <w:r>
        <w:rPr>
          <w:rFonts w:ascii="Arial" w:cs="Arial" w:eastAsia="Arial" w:hAnsi="Arial"/>
          <w:sz w:val="22"/>
          <w:szCs w:val="22"/>
          <w:u w:val="single" w:color="auto"/>
          <w:color w:val="auto"/>
        </w:rPr>
        <w:t>Newly Eligible Employees</w:t>
      </w:r>
      <w:r>
        <w:rPr>
          <w:rFonts w:ascii="Arial" w:cs="Arial" w:eastAsia="Arial" w:hAnsi="Arial"/>
          <w:sz w:val="22"/>
          <w:szCs w:val="22"/>
          <w:color w:val="auto"/>
        </w:rPr>
        <w:t>. For the Plan Year in which an Employee first becomes an Eligible Employee, such Eligible Employee is not eligible to defer a portion of his or her Base Salary. Such Eligible Employee can make a Base Salary Deferral Election for the following Plan Year in accordance with Section 4.3(a).</w:t>
      </w:r>
    </w:p>
    <w:p>
      <w:pPr>
        <w:spacing w:after="0" w:line="177" w:lineRule="exact"/>
        <w:rPr>
          <w:rFonts w:ascii="Arial" w:cs="Arial" w:eastAsia="Arial" w:hAnsi="Arial"/>
          <w:sz w:val="22"/>
          <w:szCs w:val="22"/>
          <w:color w:val="auto"/>
        </w:rPr>
      </w:pPr>
    </w:p>
    <w:p>
      <w:pPr>
        <w:jc w:val="both"/>
        <w:ind w:firstLine="656"/>
        <w:spacing w:after="0" w:line="300" w:lineRule="auto"/>
        <w:tabs>
          <w:tab w:leader="none" w:pos="1068" w:val="left"/>
        </w:tabs>
        <w:numPr>
          <w:ilvl w:val="0"/>
          <w:numId w:val="21"/>
        </w:numPr>
        <w:rPr>
          <w:rFonts w:ascii="Arial" w:cs="Arial" w:eastAsia="Arial" w:hAnsi="Arial"/>
          <w:sz w:val="19"/>
          <w:szCs w:val="19"/>
          <w:color w:val="auto"/>
        </w:rPr>
      </w:pPr>
      <w:r>
        <w:rPr>
          <w:rFonts w:ascii="Arial" w:cs="Arial" w:eastAsia="Arial" w:hAnsi="Arial"/>
          <w:sz w:val="19"/>
          <w:szCs w:val="19"/>
          <w:u w:val="single" w:color="auto"/>
          <w:color w:val="auto"/>
        </w:rPr>
        <w:t>Base Salary Account</w:t>
      </w:r>
      <w:r>
        <w:rPr>
          <w:rFonts w:ascii="Arial" w:cs="Arial" w:eastAsia="Arial" w:hAnsi="Arial"/>
          <w:sz w:val="19"/>
          <w:szCs w:val="19"/>
          <w:color w:val="auto"/>
        </w:rPr>
        <w:t>. If Base Salary Deferral Elections are submitted to the recordkeeper, the Employer will allocate to the Participant’s Base Salary Account the amount of Base Salary determined in accordance with Section 4.3(a). All Base Salary Deferral Elections made under Section 4.3(a) must be submitted no later than December 31 of the calendar year in which the valid election is made in order to be effective for the following calendar year. Such deferral elections become irrevocable on such date and cannot be changed even if the Participant ceases to be an Eligible Employee.</w:t>
      </w:r>
    </w:p>
    <w:p>
      <w:pPr>
        <w:spacing w:after="0" w:line="141" w:lineRule="exact"/>
        <w:rPr>
          <w:sz w:val="20"/>
          <w:szCs w:val="20"/>
          <w:color w:val="auto"/>
        </w:rPr>
      </w:pPr>
    </w:p>
    <w:p>
      <w:pPr>
        <w:spacing w:after="0"/>
        <w:tabs>
          <w:tab w:leader="none" w:pos="500" w:val="left"/>
        </w:tabs>
        <w:rPr>
          <w:sz w:val="20"/>
          <w:szCs w:val="20"/>
          <w:color w:val="auto"/>
        </w:rPr>
      </w:pPr>
      <w:r>
        <w:rPr>
          <w:rFonts w:ascii="Arial" w:cs="Arial" w:eastAsia="Arial" w:hAnsi="Arial"/>
          <w:sz w:val="22"/>
          <w:szCs w:val="22"/>
          <w:b w:val="1"/>
          <w:bCs w:val="1"/>
          <w:color w:val="auto"/>
        </w:rPr>
        <w:t>4.4.</w:t>
      </w:r>
      <w:r>
        <w:rPr>
          <w:sz w:val="20"/>
          <w:szCs w:val="20"/>
          <w:color w:val="auto"/>
        </w:rPr>
        <w:tab/>
      </w:r>
      <w:r>
        <w:rPr>
          <w:rFonts w:ascii="Arial" w:cs="Arial" w:eastAsia="Arial" w:hAnsi="Arial"/>
          <w:sz w:val="19"/>
          <w:szCs w:val="19"/>
          <w:b w:val="1"/>
          <w:bCs w:val="1"/>
          <w:u w:val="single" w:color="auto"/>
          <w:color w:val="auto"/>
        </w:rPr>
        <w:t>Employer Contributions</w:t>
      </w:r>
    </w:p>
    <w:p>
      <w:pPr>
        <w:spacing w:after="0" w:line="239" w:lineRule="exact"/>
        <w:rPr>
          <w:sz w:val="20"/>
          <w:szCs w:val="20"/>
          <w:color w:val="auto"/>
        </w:rPr>
      </w:pPr>
    </w:p>
    <w:p>
      <w:pPr>
        <w:ind w:firstLine="656"/>
        <w:spacing w:after="0" w:line="276" w:lineRule="auto"/>
        <w:tabs>
          <w:tab w:leader="none" w:pos="1082" w:val="left"/>
        </w:tabs>
        <w:numPr>
          <w:ilvl w:val="0"/>
          <w:numId w:val="22"/>
        </w:numPr>
        <w:rPr>
          <w:rFonts w:ascii="Arial" w:cs="Arial" w:eastAsia="Arial" w:hAnsi="Arial"/>
          <w:sz w:val="22"/>
          <w:szCs w:val="22"/>
          <w:color w:val="auto"/>
        </w:rPr>
      </w:pPr>
      <w:r>
        <w:rPr>
          <w:rFonts w:ascii="Arial" w:cs="Arial" w:eastAsia="Arial" w:hAnsi="Arial"/>
          <w:sz w:val="22"/>
          <w:szCs w:val="22"/>
          <w:u w:val="single" w:color="auto"/>
          <w:color w:val="auto"/>
        </w:rPr>
        <w:t>Retirement Contributions</w:t>
      </w:r>
      <w:r>
        <w:rPr>
          <w:rFonts w:ascii="Arial" w:cs="Arial" w:eastAsia="Arial" w:hAnsi="Arial"/>
          <w:sz w:val="22"/>
          <w:szCs w:val="22"/>
          <w:color w:val="auto"/>
        </w:rPr>
        <w:t>. No Retirement Contributions will be allocated to Participants’ Retirement Base Account for Plan Years beginning on or after January 1, 2011.</w:t>
      </w:r>
    </w:p>
    <w:p>
      <w:pPr>
        <w:spacing w:after="0" w:line="160" w:lineRule="exact"/>
        <w:rPr>
          <w:rFonts w:ascii="Arial" w:cs="Arial" w:eastAsia="Arial" w:hAnsi="Arial"/>
          <w:sz w:val="22"/>
          <w:szCs w:val="22"/>
          <w:color w:val="auto"/>
        </w:rPr>
      </w:pPr>
    </w:p>
    <w:p>
      <w:pPr>
        <w:jc w:val="both"/>
        <w:ind w:firstLine="656"/>
        <w:spacing w:after="0" w:line="250" w:lineRule="auto"/>
        <w:tabs>
          <w:tab w:leader="none" w:pos="1080" w:val="left"/>
        </w:tabs>
        <w:numPr>
          <w:ilvl w:val="0"/>
          <w:numId w:val="22"/>
        </w:numPr>
        <w:rPr>
          <w:rFonts w:ascii="Arial" w:cs="Arial" w:eastAsia="Arial" w:hAnsi="Arial"/>
          <w:sz w:val="22"/>
          <w:szCs w:val="22"/>
          <w:color w:val="auto"/>
        </w:rPr>
      </w:pPr>
      <w:r>
        <w:rPr>
          <w:rFonts w:ascii="Arial" w:cs="Arial" w:eastAsia="Arial" w:hAnsi="Arial"/>
          <w:sz w:val="22"/>
          <w:szCs w:val="22"/>
          <w:u w:val="single" w:color="auto"/>
          <w:color w:val="auto"/>
        </w:rPr>
        <w:t>Matching Contributions</w:t>
      </w:r>
      <w:r>
        <w:rPr>
          <w:rFonts w:ascii="Arial" w:cs="Arial" w:eastAsia="Arial" w:hAnsi="Arial"/>
          <w:sz w:val="22"/>
          <w:szCs w:val="22"/>
          <w:color w:val="auto"/>
        </w:rPr>
        <w:t>. The Employer shall make a matching contribution with respect to each Participant who, under the Plan, has made or caused to be made a Base Salary Deferral Election and/or a Performance Award Deferral Election for such Plan Year. Such Participant’s matching contributions shall equal 150% of the first 4% of the Participant’s ERP Eligible Pay deferred to the Plan plus 50% of the next 2% of the Participant’s ERP Eligible Pay deferred to the Plan. Matching contributions shall be determined and credited to a Participant’s Matching Account between January 1 and March 31 of the Plan Year following the Plan Year to which they apply.</w:t>
      </w:r>
    </w:p>
    <w:p>
      <w:pPr>
        <w:spacing w:after="0" w:line="18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To be eligible to receive an allocation of such matching contributions, a Participant must be an Employee on the last day of the Plan Year or: (i) other than for Cause, has incurred a Separation from Service after obtaining age 55 and completing 10 Years of Service; (ii) died; or (iii) become Disabled during the applicable Plan Year.</w:t>
      </w:r>
    </w:p>
    <w:p>
      <w:pPr>
        <w:spacing w:after="0" w:line="186" w:lineRule="exact"/>
        <w:rPr>
          <w:sz w:val="20"/>
          <w:szCs w:val="20"/>
          <w:color w:val="auto"/>
        </w:rPr>
      </w:pPr>
    </w:p>
    <w:p>
      <w:pPr>
        <w:ind w:firstLine="656"/>
        <w:spacing w:after="0" w:line="276" w:lineRule="auto"/>
        <w:tabs>
          <w:tab w:leader="none" w:pos="1082" w:val="left"/>
        </w:tabs>
        <w:numPr>
          <w:ilvl w:val="0"/>
          <w:numId w:val="23"/>
        </w:numPr>
        <w:rPr>
          <w:rFonts w:ascii="Arial" w:cs="Arial" w:eastAsia="Arial" w:hAnsi="Arial"/>
          <w:sz w:val="22"/>
          <w:szCs w:val="22"/>
          <w:color w:val="auto"/>
        </w:rPr>
      </w:pPr>
      <w:r>
        <w:rPr>
          <w:rFonts w:ascii="Arial" w:cs="Arial" w:eastAsia="Arial" w:hAnsi="Arial"/>
          <w:sz w:val="22"/>
          <w:szCs w:val="22"/>
          <w:u w:val="single" w:color="auto"/>
          <w:color w:val="auto"/>
        </w:rPr>
        <w:t>Transitional Contributions</w:t>
      </w:r>
      <w:r>
        <w:rPr>
          <w:rFonts w:ascii="Arial" w:cs="Arial" w:eastAsia="Arial" w:hAnsi="Arial"/>
          <w:sz w:val="22"/>
          <w:szCs w:val="22"/>
          <w:color w:val="auto"/>
        </w:rPr>
        <w:t>. No Transitional Contributions shall be made to any Participant’s Transitional Contributions Account for any Plan Year beginning on or after January 1, 2003.</w:t>
      </w:r>
    </w:p>
    <w:p>
      <w:pPr>
        <w:spacing w:after="0" w:line="188" w:lineRule="exact"/>
        <w:rPr>
          <w:sz w:val="20"/>
          <w:szCs w:val="20"/>
          <w:color w:val="auto"/>
        </w:rPr>
      </w:pPr>
    </w:p>
    <w:p>
      <w:pPr>
        <w:ind w:left="8440"/>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420"/>
          </w:cols>
          <w:pgMar w:left="240" w:top="631" w:right="239" w:bottom="1440" w:gutter="0" w:footer="0" w:header="0"/>
        </w:sectPr>
      </w:pPr>
    </w:p>
    <w:bookmarkStart w:id="61" w:name="page62"/>
    <w:bookmarkEnd w:id="61"/>
    <w:p>
      <w:pPr>
        <w:ind w:right="20" w:firstLine="656"/>
        <w:spacing w:after="0" w:line="276" w:lineRule="auto"/>
        <w:tabs>
          <w:tab w:leader="none" w:pos="1148" w:val="left"/>
        </w:tabs>
        <w:numPr>
          <w:ilvl w:val="0"/>
          <w:numId w:val="24"/>
        </w:numPr>
        <w:rPr>
          <w:rFonts w:ascii="Arial" w:cs="Arial" w:eastAsia="Arial" w:hAnsi="Arial"/>
          <w:sz w:val="22"/>
          <w:szCs w:val="22"/>
          <w:color w:val="auto"/>
        </w:rPr>
      </w:pPr>
      <w:r>
        <w:rPr>
          <w:rFonts w:ascii="Arial" w:cs="Arial" w:eastAsia="Arial" w:hAnsi="Arial"/>
          <w:sz w:val="22"/>
          <w:szCs w:val="22"/>
          <w:u w:val="single" w:color="auto"/>
          <w:color w:val="auto"/>
        </w:rPr>
        <w:t>Retention Awards</w:t>
      </w:r>
      <w:r>
        <w:rPr>
          <w:rFonts w:ascii="Arial" w:cs="Arial" w:eastAsia="Arial" w:hAnsi="Arial"/>
          <w:sz w:val="22"/>
          <w:szCs w:val="22"/>
          <w:color w:val="auto"/>
        </w:rPr>
        <w:t>. The Employer shall allocate an amount equal to the Participant’s Retention Award, if any, to the Participant’s Retention Award Account.</w:t>
      </w:r>
    </w:p>
    <w:p>
      <w:pPr>
        <w:spacing w:after="0" w:line="160" w:lineRule="exact"/>
        <w:rPr>
          <w:rFonts w:ascii="Arial" w:cs="Arial" w:eastAsia="Arial" w:hAnsi="Arial"/>
          <w:sz w:val="22"/>
          <w:szCs w:val="22"/>
          <w:color w:val="auto"/>
        </w:rPr>
      </w:pPr>
    </w:p>
    <w:p>
      <w:pPr>
        <w:ind w:right="20" w:firstLine="656"/>
        <w:spacing w:after="0" w:line="276" w:lineRule="auto"/>
        <w:tabs>
          <w:tab w:leader="none" w:pos="1095" w:val="left"/>
        </w:tabs>
        <w:numPr>
          <w:ilvl w:val="0"/>
          <w:numId w:val="24"/>
        </w:numPr>
        <w:rPr>
          <w:rFonts w:ascii="Arial" w:cs="Arial" w:eastAsia="Arial" w:hAnsi="Arial"/>
          <w:sz w:val="22"/>
          <w:szCs w:val="22"/>
          <w:color w:val="auto"/>
        </w:rPr>
      </w:pPr>
      <w:r>
        <w:rPr>
          <w:rFonts w:ascii="Arial" w:cs="Arial" w:eastAsia="Arial" w:hAnsi="Arial"/>
          <w:sz w:val="22"/>
          <w:szCs w:val="22"/>
          <w:u w:val="single" w:color="auto"/>
          <w:color w:val="auto"/>
        </w:rPr>
        <w:t>Supplemental Retirement Awards</w:t>
      </w:r>
      <w:r>
        <w:rPr>
          <w:rFonts w:ascii="Arial" w:cs="Arial" w:eastAsia="Arial" w:hAnsi="Arial"/>
          <w:sz w:val="22"/>
          <w:szCs w:val="22"/>
          <w:color w:val="auto"/>
        </w:rPr>
        <w:t>. The Employer shall allocate the amount, if any, as determined by the Committee to the Participant’s Supplemental Retirement Award Account at the time specified by the Committee.</w:t>
      </w:r>
    </w:p>
    <w:p>
      <w:pPr>
        <w:spacing w:after="0" w:line="155" w:lineRule="exact"/>
        <w:rPr>
          <w:sz w:val="20"/>
          <w:szCs w:val="20"/>
          <w:color w:val="auto"/>
        </w:rPr>
      </w:pPr>
    </w:p>
    <w:p>
      <w:pPr>
        <w:spacing w:after="0"/>
        <w:tabs>
          <w:tab w:leader="none" w:pos="500" w:val="left"/>
        </w:tabs>
        <w:rPr>
          <w:sz w:val="20"/>
          <w:szCs w:val="20"/>
          <w:color w:val="auto"/>
        </w:rPr>
      </w:pPr>
      <w:r>
        <w:rPr>
          <w:rFonts w:ascii="Arial" w:cs="Arial" w:eastAsia="Arial" w:hAnsi="Arial"/>
          <w:sz w:val="22"/>
          <w:szCs w:val="22"/>
          <w:b w:val="1"/>
          <w:bCs w:val="1"/>
          <w:color w:val="auto"/>
        </w:rPr>
        <w:t>4.5.</w:t>
      </w:r>
      <w:r>
        <w:rPr>
          <w:sz w:val="20"/>
          <w:szCs w:val="20"/>
          <w:color w:val="auto"/>
        </w:rPr>
        <w:tab/>
      </w:r>
      <w:r>
        <w:rPr>
          <w:rFonts w:ascii="Arial" w:cs="Arial" w:eastAsia="Arial" w:hAnsi="Arial"/>
          <w:sz w:val="19"/>
          <w:szCs w:val="19"/>
          <w:b w:val="1"/>
          <w:bCs w:val="1"/>
          <w:u w:val="single" w:color="auto"/>
          <w:color w:val="auto"/>
        </w:rPr>
        <w:t>Benchmark Investment Funds</w:t>
      </w:r>
    </w:p>
    <w:p>
      <w:pPr>
        <w:spacing w:after="0" w:line="239" w:lineRule="exact"/>
        <w:rPr>
          <w:sz w:val="20"/>
          <w:szCs w:val="20"/>
          <w:color w:val="auto"/>
        </w:rPr>
      </w:pPr>
    </w:p>
    <w:p>
      <w:pPr>
        <w:jc w:val="both"/>
        <w:ind w:firstLine="648"/>
        <w:spacing w:after="0" w:line="343" w:lineRule="auto"/>
        <w:rPr>
          <w:sz w:val="20"/>
          <w:szCs w:val="20"/>
          <w:color w:val="auto"/>
        </w:rPr>
      </w:pPr>
      <w:r>
        <w:rPr>
          <w:rFonts w:ascii="Arial" w:cs="Arial" w:eastAsia="Arial" w:hAnsi="Arial"/>
          <w:sz w:val="19"/>
          <w:szCs w:val="19"/>
          <w:color w:val="auto"/>
        </w:rPr>
        <w:t>The Investment Committee may change or discontinue the Investment Funds used as investment benchmarks under the Plan, other than the Company Stock Fund, for the measure of appreciation or depreciation of previously credited amounts.</w:t>
      </w:r>
    </w:p>
    <w:p>
      <w:pPr>
        <w:spacing w:after="0" w:line="99" w:lineRule="exact"/>
        <w:rPr>
          <w:sz w:val="20"/>
          <w:szCs w:val="20"/>
          <w:color w:val="auto"/>
        </w:rPr>
      </w:pPr>
    </w:p>
    <w:p>
      <w:pPr>
        <w:spacing w:after="0"/>
        <w:tabs>
          <w:tab w:leader="none" w:pos="500" w:val="left"/>
        </w:tabs>
        <w:rPr>
          <w:sz w:val="20"/>
          <w:szCs w:val="20"/>
          <w:color w:val="auto"/>
        </w:rPr>
      </w:pPr>
      <w:r>
        <w:rPr>
          <w:rFonts w:ascii="Arial" w:cs="Arial" w:eastAsia="Arial" w:hAnsi="Arial"/>
          <w:sz w:val="22"/>
          <w:szCs w:val="22"/>
          <w:b w:val="1"/>
          <w:bCs w:val="1"/>
          <w:color w:val="auto"/>
        </w:rPr>
        <w:t>4.6.</w:t>
      </w:r>
      <w:r>
        <w:rPr>
          <w:sz w:val="20"/>
          <w:szCs w:val="20"/>
          <w:color w:val="auto"/>
        </w:rPr>
        <w:tab/>
      </w:r>
      <w:r>
        <w:rPr>
          <w:rFonts w:ascii="Arial" w:cs="Arial" w:eastAsia="Arial" w:hAnsi="Arial"/>
          <w:sz w:val="19"/>
          <w:szCs w:val="19"/>
          <w:b w:val="1"/>
          <w:bCs w:val="1"/>
          <w:u w:val="single" w:color="auto"/>
          <w:color w:val="auto"/>
        </w:rPr>
        <w:t>Outside Benchmark Investment Funds</w:t>
      </w:r>
    </w:p>
    <w:p>
      <w:pPr>
        <w:spacing w:after="0" w:line="239"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Each Participant shall direct the portion of future credits to, and the existing balance of, the Participant’s Account that is to be treated as invested in one or more of the Outside Benchmark Investment Funds. A Participant may change his or her direction as of any business day subject to any applicable restrictions. If a Participant does not designate one or more of the Outside Benchmark Investment Funds, the investment of his or her Account default to the benchmarked Investment Fund designated by the Investment Committee from time to time.</w:t>
      </w:r>
    </w:p>
    <w:p>
      <w:pPr>
        <w:spacing w:after="0" w:line="186" w:lineRule="exact"/>
        <w:rPr>
          <w:sz w:val="20"/>
          <w:szCs w:val="20"/>
          <w:color w:val="auto"/>
        </w:rPr>
      </w:pPr>
    </w:p>
    <w:p>
      <w:pPr>
        <w:spacing w:after="0"/>
        <w:tabs>
          <w:tab w:leader="none" w:pos="500" w:val="left"/>
        </w:tabs>
        <w:rPr>
          <w:sz w:val="20"/>
          <w:szCs w:val="20"/>
          <w:color w:val="auto"/>
        </w:rPr>
      </w:pPr>
      <w:r>
        <w:rPr>
          <w:rFonts w:ascii="Arial" w:cs="Arial" w:eastAsia="Arial" w:hAnsi="Arial"/>
          <w:sz w:val="22"/>
          <w:szCs w:val="22"/>
          <w:b w:val="1"/>
          <w:bCs w:val="1"/>
          <w:color w:val="auto"/>
        </w:rPr>
        <w:t>4.7.</w:t>
      </w:r>
      <w:r>
        <w:rPr>
          <w:sz w:val="20"/>
          <w:szCs w:val="20"/>
          <w:color w:val="auto"/>
        </w:rPr>
        <w:tab/>
      </w:r>
      <w:r>
        <w:rPr>
          <w:rFonts w:ascii="Arial" w:cs="Arial" w:eastAsia="Arial" w:hAnsi="Arial"/>
          <w:sz w:val="19"/>
          <w:szCs w:val="19"/>
          <w:b w:val="1"/>
          <w:bCs w:val="1"/>
          <w:u w:val="single" w:color="auto"/>
          <w:color w:val="auto"/>
        </w:rPr>
        <w:t>Company Stock Fund</w:t>
      </w:r>
    </w:p>
    <w:p>
      <w:pPr>
        <w:spacing w:after="0" w:line="23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A Participant may direct that all or a portion of future credits to the Participant’s Account be treated as invested in the Company Stock Fund. A Participant’s direction to have amounts treated as invested in the Company Stock Fund shall be irrevocable as to amounts so treated pursuant to such direction (</w:t>
      </w:r>
      <w:r>
        <w:rPr>
          <w:rFonts w:ascii="Arial" w:cs="Arial" w:eastAsia="Arial" w:hAnsi="Arial"/>
          <w:sz w:val="22"/>
          <w:szCs w:val="22"/>
          <w:i w:val="1"/>
          <w:iCs w:val="1"/>
          <w:color w:val="auto"/>
        </w:rPr>
        <w:t>i.e.</w:t>
      </w:r>
      <w:r>
        <w:rPr>
          <w:rFonts w:ascii="Arial" w:cs="Arial" w:eastAsia="Arial" w:hAnsi="Arial"/>
          <w:sz w:val="22"/>
          <w:szCs w:val="22"/>
          <w:color w:val="auto"/>
        </w:rPr>
        <w:t>, amounts treated as invested in the Company Stock Fund cannot subsequently be treated as invested in an Outside Benchmark Investment Fund).</w:t>
      </w:r>
    </w:p>
    <w:p>
      <w:pPr>
        <w:spacing w:after="0" w:line="182" w:lineRule="exact"/>
        <w:rPr>
          <w:sz w:val="20"/>
          <w:szCs w:val="20"/>
          <w:color w:val="auto"/>
        </w:rPr>
      </w:pPr>
    </w:p>
    <w:p>
      <w:pPr>
        <w:spacing w:after="0"/>
        <w:tabs>
          <w:tab w:leader="none" w:pos="500" w:val="left"/>
        </w:tabs>
        <w:rPr>
          <w:sz w:val="20"/>
          <w:szCs w:val="20"/>
          <w:color w:val="auto"/>
        </w:rPr>
      </w:pPr>
      <w:r>
        <w:rPr>
          <w:rFonts w:ascii="Arial" w:cs="Arial" w:eastAsia="Arial" w:hAnsi="Arial"/>
          <w:sz w:val="22"/>
          <w:szCs w:val="22"/>
          <w:b w:val="1"/>
          <w:bCs w:val="1"/>
          <w:color w:val="auto"/>
        </w:rPr>
        <w:t>4.8.</w:t>
      </w:r>
      <w:r>
        <w:rPr>
          <w:sz w:val="20"/>
          <w:szCs w:val="20"/>
          <w:color w:val="auto"/>
        </w:rPr>
        <w:tab/>
      </w:r>
      <w:r>
        <w:rPr>
          <w:rFonts w:ascii="Arial" w:cs="Arial" w:eastAsia="Arial" w:hAnsi="Arial"/>
          <w:sz w:val="19"/>
          <w:szCs w:val="19"/>
          <w:b w:val="1"/>
          <w:bCs w:val="1"/>
          <w:u w:val="single" w:color="auto"/>
          <w:color w:val="auto"/>
        </w:rPr>
        <w:t>Adjustment of Account Balances and Other Rules</w:t>
      </w:r>
    </w:p>
    <w:p>
      <w:pPr>
        <w:spacing w:after="0" w:line="239"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9"/>
          <w:szCs w:val="19"/>
          <w:color w:val="auto"/>
        </w:rPr>
        <w:t>As of each business day, the recordkeeper shall credit or debit the balances in a Participant’s Accounts with Adjustments that mirror the appreciation or depreciation experienced by the Investment Funds against which such Participant’s Account is benchmarked. For this purpose, appreciation shall include interest, dividends and other distributions that would have been credited or paid on such Investment Funds. Any such amounts shall be deemed to have been reinvested in the applicable benchmarked Investment Fund pursuant to procedures approved by the Benefits Administrative Committee. The crediting or debiting of Adjustments shall occur so long as there is a balance in the Participant’s Account, regardless of whether such Participant has terminated employment with the Employer or has died. The Benefits Administrative Committee may prescribe any reasonable method or procedure regarding accounting for Adjustments.</w:t>
      </w:r>
    </w:p>
    <w:p>
      <w:pPr>
        <w:spacing w:after="0" w:line="15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The Benefits Administrative Committee may, from time to time, establish policies or rules consistent with Code Section 409A and the regulations promulgated thereunder to govern the manner and form in which Performance Award Deferral Elections and Base Salary Deferral Elections may</w:t>
      </w:r>
    </w:p>
    <w:p>
      <w:pPr>
        <w:spacing w:after="0" w:line="213" w:lineRule="exact"/>
        <w:rPr>
          <w:sz w:val="20"/>
          <w:szCs w:val="20"/>
          <w:color w:val="auto"/>
        </w:rPr>
      </w:pPr>
    </w:p>
    <w:p>
      <w:pPr>
        <w:ind w:left="8440"/>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420"/>
          </w:cols>
          <w:pgMar w:left="240" w:top="847" w:right="239" w:bottom="1440" w:gutter="0" w:footer="0" w:header="0"/>
        </w:sectPr>
      </w:pPr>
    </w:p>
    <w:bookmarkStart w:id="62" w:name="page63"/>
    <w:bookmarkEnd w:id="62"/>
    <w:p>
      <w:pPr>
        <w:jc w:val="both"/>
        <w:spacing w:after="0" w:line="253" w:lineRule="auto"/>
        <w:rPr>
          <w:sz w:val="20"/>
          <w:szCs w:val="20"/>
          <w:color w:val="auto"/>
        </w:rPr>
      </w:pPr>
      <w:r>
        <w:rPr>
          <w:rFonts w:ascii="Arial" w:cs="Arial" w:eastAsia="Arial" w:hAnsi="Arial"/>
          <w:sz w:val="22"/>
          <w:szCs w:val="22"/>
          <w:color w:val="auto"/>
        </w:rPr>
        <w:t>be made as well as the manner in which the amount of any deferral, contribution, credit or Adjustment is determined, made or allocated under the Plan. Notwithstanding any contrary Plan provision, all contributions and deferrals credited to a Participant’s Accounts shall be subject to the restrictions described in Section 12.8 of the Plan.</w:t>
      </w:r>
    </w:p>
    <w:p>
      <w:pPr>
        <w:spacing w:after="0" w:line="180" w:lineRule="exact"/>
        <w:rPr>
          <w:sz w:val="20"/>
          <w:szCs w:val="20"/>
          <w:color w:val="auto"/>
        </w:rPr>
      </w:pPr>
    </w:p>
    <w:p>
      <w:pPr>
        <w:spacing w:after="0"/>
        <w:tabs>
          <w:tab w:leader="none" w:pos="500" w:val="left"/>
        </w:tabs>
        <w:rPr>
          <w:sz w:val="20"/>
          <w:szCs w:val="20"/>
          <w:color w:val="auto"/>
        </w:rPr>
      </w:pPr>
      <w:r>
        <w:rPr>
          <w:rFonts w:ascii="Arial" w:cs="Arial" w:eastAsia="Arial" w:hAnsi="Arial"/>
          <w:sz w:val="22"/>
          <w:szCs w:val="22"/>
          <w:b w:val="1"/>
          <w:bCs w:val="1"/>
          <w:color w:val="auto"/>
        </w:rPr>
        <w:t>4.9.</w:t>
      </w:r>
      <w:r>
        <w:rPr>
          <w:sz w:val="20"/>
          <w:szCs w:val="20"/>
          <w:color w:val="auto"/>
        </w:rPr>
        <w:tab/>
      </w:r>
      <w:r>
        <w:rPr>
          <w:rFonts w:ascii="Arial" w:cs="Arial" w:eastAsia="Arial" w:hAnsi="Arial"/>
          <w:sz w:val="22"/>
          <w:szCs w:val="22"/>
          <w:b w:val="1"/>
          <w:bCs w:val="1"/>
          <w:u w:val="single" w:color="auto"/>
          <w:color w:val="auto"/>
        </w:rPr>
        <w:t>FICA</w:t>
      </w:r>
    </w:p>
    <w:p>
      <w:pPr>
        <w:spacing w:after="0" w:line="23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 xml:space="preserve">Deferrals, Employer contributions and Adjustments shall, to the extent required by law, be treated as “wages” for purposes of Federal Insurance Contributions Act (“FICA”) taxes, </w:t>
      </w:r>
      <w:r>
        <w:rPr>
          <w:rFonts w:ascii="Arial" w:cs="Arial" w:eastAsia="Arial" w:hAnsi="Arial"/>
          <w:sz w:val="22"/>
          <w:szCs w:val="22"/>
          <w:i w:val="1"/>
          <w:iCs w:val="1"/>
          <w:color w:val="auto"/>
        </w:rPr>
        <w:t>i.e.</w:t>
      </w:r>
      <w:r>
        <w:rPr>
          <w:rFonts w:ascii="Arial" w:cs="Arial" w:eastAsia="Arial" w:hAnsi="Arial"/>
          <w:sz w:val="22"/>
          <w:szCs w:val="22"/>
          <w:color w:val="auto"/>
        </w:rPr>
        <w:t>, Social Security taxes.</w:t>
      </w:r>
    </w:p>
    <w:p>
      <w:pPr>
        <w:spacing w:after="0" w:line="169" w:lineRule="exact"/>
        <w:rPr>
          <w:sz w:val="20"/>
          <w:szCs w:val="20"/>
          <w:color w:val="auto"/>
        </w:rPr>
      </w:pPr>
    </w:p>
    <w:p>
      <w:pPr>
        <w:jc w:val="center"/>
        <w:ind w:left="660"/>
        <w:spacing w:after="0"/>
        <w:rPr>
          <w:sz w:val="20"/>
          <w:szCs w:val="20"/>
          <w:color w:val="auto"/>
        </w:rPr>
      </w:pPr>
      <w:r>
        <w:rPr>
          <w:rFonts w:ascii="Arial" w:cs="Arial" w:eastAsia="Arial" w:hAnsi="Arial"/>
          <w:sz w:val="22"/>
          <w:szCs w:val="22"/>
          <w:b w:val="1"/>
          <w:bCs w:val="1"/>
          <w:color w:val="auto"/>
        </w:rPr>
        <w:t>SECTION 5</w:t>
      </w:r>
    </w:p>
    <w:p>
      <w:pPr>
        <w:spacing w:after="0" w:line="28" w:lineRule="exact"/>
        <w:rPr>
          <w:sz w:val="20"/>
          <w:szCs w:val="20"/>
          <w:color w:val="auto"/>
        </w:rPr>
      </w:pPr>
    </w:p>
    <w:p>
      <w:pPr>
        <w:jc w:val="center"/>
        <w:ind w:left="660"/>
        <w:spacing w:after="0"/>
        <w:rPr>
          <w:sz w:val="20"/>
          <w:szCs w:val="20"/>
          <w:color w:val="auto"/>
        </w:rPr>
      </w:pPr>
      <w:r>
        <w:rPr>
          <w:rFonts w:ascii="Arial" w:cs="Arial" w:eastAsia="Arial" w:hAnsi="Arial"/>
          <w:sz w:val="22"/>
          <w:szCs w:val="22"/>
          <w:b w:val="1"/>
          <w:bCs w:val="1"/>
          <w:color w:val="auto"/>
        </w:rPr>
        <w:t>METHOD OF DISTIBUTION OF DEFERRED COMPENSATION</w:t>
      </w:r>
    </w:p>
    <w:p>
      <w:pPr>
        <w:spacing w:after="0" w:line="196" w:lineRule="exact"/>
        <w:rPr>
          <w:sz w:val="20"/>
          <w:szCs w:val="20"/>
          <w:color w:val="auto"/>
        </w:rPr>
      </w:pPr>
    </w:p>
    <w:p>
      <w:pPr>
        <w:spacing w:after="0"/>
        <w:tabs>
          <w:tab w:leader="none" w:pos="500" w:val="left"/>
        </w:tabs>
        <w:rPr>
          <w:sz w:val="20"/>
          <w:szCs w:val="20"/>
          <w:color w:val="auto"/>
        </w:rPr>
      </w:pPr>
      <w:r>
        <w:rPr>
          <w:rFonts w:ascii="Arial" w:cs="Arial" w:eastAsia="Arial" w:hAnsi="Arial"/>
          <w:sz w:val="22"/>
          <w:szCs w:val="22"/>
          <w:b w:val="1"/>
          <w:bCs w:val="1"/>
          <w:color w:val="auto"/>
        </w:rPr>
        <w:t>5.1.</w:t>
      </w:r>
      <w:r>
        <w:rPr>
          <w:sz w:val="20"/>
          <w:szCs w:val="20"/>
          <w:color w:val="auto"/>
        </w:rPr>
        <w:tab/>
      </w:r>
      <w:r>
        <w:rPr>
          <w:rFonts w:ascii="Arial" w:cs="Arial" w:eastAsia="Arial" w:hAnsi="Arial"/>
          <w:sz w:val="19"/>
          <w:szCs w:val="19"/>
          <w:b w:val="1"/>
          <w:bCs w:val="1"/>
          <w:u w:val="single" w:color="auto"/>
          <w:color w:val="auto"/>
        </w:rPr>
        <w:t>Time and Form of Distribution</w:t>
      </w:r>
    </w:p>
    <w:p>
      <w:pPr>
        <w:spacing w:after="0" w:line="239" w:lineRule="exact"/>
        <w:rPr>
          <w:sz w:val="20"/>
          <w:szCs w:val="20"/>
          <w:color w:val="auto"/>
        </w:rPr>
      </w:pPr>
    </w:p>
    <w:p>
      <w:pPr>
        <w:jc w:val="both"/>
        <w:ind w:firstLine="656"/>
        <w:spacing w:after="0" w:line="260" w:lineRule="auto"/>
        <w:tabs>
          <w:tab w:leader="none" w:pos="1082" w:val="left"/>
        </w:tabs>
        <w:numPr>
          <w:ilvl w:val="0"/>
          <w:numId w:val="25"/>
        </w:numPr>
        <w:rPr>
          <w:rFonts w:ascii="Arial" w:cs="Arial" w:eastAsia="Arial" w:hAnsi="Arial"/>
          <w:sz w:val="22"/>
          <w:szCs w:val="22"/>
          <w:color w:val="auto"/>
        </w:rPr>
      </w:pPr>
      <w:r>
        <w:rPr>
          <w:rFonts w:ascii="Arial" w:cs="Arial" w:eastAsia="Arial" w:hAnsi="Arial"/>
          <w:sz w:val="22"/>
          <w:szCs w:val="22"/>
          <w:u w:val="single" w:color="auto"/>
          <w:color w:val="auto"/>
        </w:rPr>
        <w:t>Election of Time and Form of Distribution</w:t>
      </w:r>
      <w:r>
        <w:rPr>
          <w:rFonts w:ascii="Arial" w:cs="Arial" w:eastAsia="Arial" w:hAnsi="Arial"/>
          <w:sz w:val="22"/>
          <w:szCs w:val="22"/>
          <w:color w:val="auto"/>
        </w:rPr>
        <w:t>. At the time a Participant makes a deferral election pursuant to Sections 4.2 and 4.3, the Participant shall also elect a time and form of distribution with respect to any deferral elections and applicable matching contributions to made in the same calendar year.</w:t>
      </w:r>
    </w:p>
    <w:p>
      <w:pPr>
        <w:spacing w:after="0" w:line="177" w:lineRule="exact"/>
        <w:rPr>
          <w:rFonts w:ascii="Arial" w:cs="Arial" w:eastAsia="Arial" w:hAnsi="Arial"/>
          <w:sz w:val="22"/>
          <w:szCs w:val="22"/>
          <w:color w:val="auto"/>
        </w:rPr>
      </w:pPr>
    </w:p>
    <w:p>
      <w:pPr>
        <w:jc w:val="both"/>
        <w:ind w:left="660" w:firstLine="645"/>
        <w:spacing w:after="0" w:line="260" w:lineRule="auto"/>
        <w:tabs>
          <w:tab w:leader="none" w:pos="1868" w:val="left"/>
        </w:tabs>
        <w:numPr>
          <w:ilvl w:val="1"/>
          <w:numId w:val="25"/>
        </w:numPr>
        <w:rPr>
          <w:rFonts w:ascii="Arial" w:cs="Arial" w:eastAsia="Arial" w:hAnsi="Arial"/>
          <w:sz w:val="22"/>
          <w:szCs w:val="22"/>
          <w:color w:val="auto"/>
        </w:rPr>
      </w:pPr>
      <w:r>
        <w:rPr>
          <w:rFonts w:ascii="Arial" w:cs="Arial" w:eastAsia="Arial" w:hAnsi="Arial"/>
          <w:sz w:val="22"/>
          <w:szCs w:val="22"/>
          <w:color w:val="auto"/>
        </w:rPr>
        <w:t>The Participant shall deliver such election to the recordkeeper at the time the deferral elections for the applicable calendar year are made, or in the case of distributions from the Retention Award Account, in accordance with the written agreement evidencing the Participant’s Retention Award.</w:t>
      </w:r>
    </w:p>
    <w:p>
      <w:pPr>
        <w:spacing w:after="0" w:line="177" w:lineRule="exact"/>
        <w:rPr>
          <w:rFonts w:ascii="Arial" w:cs="Arial" w:eastAsia="Arial" w:hAnsi="Arial"/>
          <w:sz w:val="22"/>
          <w:szCs w:val="22"/>
          <w:color w:val="auto"/>
        </w:rPr>
      </w:pPr>
    </w:p>
    <w:p>
      <w:pPr>
        <w:ind w:left="660" w:firstLine="645"/>
        <w:spacing w:after="0" w:line="276" w:lineRule="auto"/>
        <w:tabs>
          <w:tab w:leader="none" w:pos="1793" w:val="left"/>
        </w:tabs>
        <w:numPr>
          <w:ilvl w:val="1"/>
          <w:numId w:val="25"/>
        </w:numPr>
        <w:rPr>
          <w:rFonts w:ascii="Arial" w:cs="Arial" w:eastAsia="Arial" w:hAnsi="Arial"/>
          <w:sz w:val="22"/>
          <w:szCs w:val="22"/>
          <w:color w:val="auto"/>
        </w:rPr>
      </w:pPr>
      <w:r>
        <w:rPr>
          <w:rFonts w:ascii="Arial" w:cs="Arial" w:eastAsia="Arial" w:hAnsi="Arial"/>
          <w:sz w:val="22"/>
          <w:szCs w:val="22"/>
          <w:color w:val="auto"/>
        </w:rPr>
        <w:t>Such elections shall also apply to any other credits to a Participant’s Accounts as specified in Sections 5.1(b) and 5.1(c) for such Plan Year.</w:t>
      </w:r>
    </w:p>
    <w:p>
      <w:pPr>
        <w:spacing w:after="0" w:line="160" w:lineRule="exact"/>
        <w:rPr>
          <w:rFonts w:ascii="Arial" w:cs="Arial" w:eastAsia="Arial" w:hAnsi="Arial"/>
          <w:sz w:val="22"/>
          <w:szCs w:val="22"/>
          <w:color w:val="auto"/>
        </w:rPr>
      </w:pPr>
    </w:p>
    <w:p>
      <w:pPr>
        <w:jc w:val="both"/>
        <w:ind w:firstLine="656"/>
        <w:spacing w:after="0" w:line="254" w:lineRule="auto"/>
        <w:tabs>
          <w:tab w:leader="none" w:pos="1094" w:val="left"/>
        </w:tabs>
        <w:numPr>
          <w:ilvl w:val="0"/>
          <w:numId w:val="25"/>
        </w:numPr>
        <w:rPr>
          <w:rFonts w:ascii="Arial" w:cs="Arial" w:eastAsia="Arial" w:hAnsi="Arial"/>
          <w:sz w:val="22"/>
          <w:szCs w:val="22"/>
          <w:color w:val="auto"/>
        </w:rPr>
      </w:pPr>
      <w:r>
        <w:rPr>
          <w:rFonts w:ascii="Arial" w:cs="Arial" w:eastAsia="Arial" w:hAnsi="Arial"/>
          <w:sz w:val="22"/>
          <w:szCs w:val="22"/>
          <w:u w:val="single" w:color="auto"/>
          <w:color w:val="auto"/>
        </w:rPr>
        <w:t>Election of Time of Distribution</w:t>
      </w:r>
      <w:r>
        <w:rPr>
          <w:rFonts w:ascii="Arial" w:cs="Arial" w:eastAsia="Arial" w:hAnsi="Arial"/>
          <w:sz w:val="22"/>
          <w:szCs w:val="22"/>
          <w:color w:val="auto"/>
        </w:rPr>
        <w:t>. Amounts credited to a Participant’s Accounts (other than a Retention Award Account or a Supplemental Retirement Award Account) shall be distributed to the Participant upon: (a) the Participant’s Separation from Service; (b) the Participant’s death; (c) the Participant’s Disability; or, where applicable, (d) a date certain elected by the Participant.</w:t>
      </w:r>
    </w:p>
    <w:p>
      <w:pPr>
        <w:spacing w:after="0" w:line="185" w:lineRule="exact"/>
        <w:rPr>
          <w:rFonts w:ascii="Arial" w:cs="Arial" w:eastAsia="Arial" w:hAnsi="Arial"/>
          <w:sz w:val="22"/>
          <w:szCs w:val="22"/>
          <w:color w:val="auto"/>
        </w:rPr>
      </w:pPr>
    </w:p>
    <w:p>
      <w:pPr>
        <w:jc w:val="both"/>
        <w:ind w:left="660" w:firstLine="645"/>
        <w:spacing w:after="0" w:line="260" w:lineRule="auto"/>
        <w:tabs>
          <w:tab w:leader="none" w:pos="1800" w:val="left"/>
        </w:tabs>
        <w:numPr>
          <w:ilvl w:val="1"/>
          <w:numId w:val="25"/>
        </w:numPr>
        <w:rPr>
          <w:rFonts w:ascii="Arial" w:cs="Arial" w:eastAsia="Arial" w:hAnsi="Arial"/>
          <w:sz w:val="22"/>
          <w:szCs w:val="22"/>
          <w:color w:val="auto"/>
        </w:rPr>
      </w:pPr>
      <w:r>
        <w:rPr>
          <w:rFonts w:ascii="Arial" w:cs="Arial" w:eastAsia="Arial" w:hAnsi="Arial"/>
          <w:sz w:val="22"/>
          <w:szCs w:val="22"/>
          <w:color w:val="auto"/>
        </w:rPr>
        <w:t>A Participant shall elect either a time or an event for distribution with respect to (A) Base Salary Deferral Elections, (B) Performance Award Deferral Election and (C) applicable matching contributions made in the same calendar year.</w:t>
      </w:r>
    </w:p>
    <w:p>
      <w:pPr>
        <w:spacing w:after="0" w:line="177" w:lineRule="exact"/>
        <w:rPr>
          <w:rFonts w:ascii="Arial" w:cs="Arial" w:eastAsia="Arial" w:hAnsi="Arial"/>
          <w:sz w:val="22"/>
          <w:szCs w:val="22"/>
          <w:color w:val="auto"/>
        </w:rPr>
      </w:pPr>
    </w:p>
    <w:p>
      <w:pPr>
        <w:jc w:val="both"/>
        <w:ind w:left="660" w:firstLine="645"/>
        <w:spacing w:after="0" w:line="278" w:lineRule="auto"/>
        <w:tabs>
          <w:tab w:leader="none" w:pos="1752" w:val="left"/>
        </w:tabs>
        <w:numPr>
          <w:ilvl w:val="1"/>
          <w:numId w:val="25"/>
        </w:numPr>
        <w:rPr>
          <w:rFonts w:ascii="Arial" w:cs="Arial" w:eastAsia="Arial" w:hAnsi="Arial"/>
          <w:sz w:val="21"/>
          <w:szCs w:val="21"/>
          <w:color w:val="auto"/>
        </w:rPr>
      </w:pPr>
      <w:r>
        <w:rPr>
          <w:rFonts w:ascii="Arial" w:cs="Arial" w:eastAsia="Arial" w:hAnsi="Arial"/>
          <w:sz w:val="21"/>
          <w:szCs w:val="21"/>
          <w:color w:val="auto"/>
        </w:rPr>
        <w:t>If no time or event of distribution election is made with respect to any such deferral or credit, the portion of the Participant’s Accounts (other than a Retention Award Account or a Supplemental Retirement Award Account) relating thereto shall be distributed on the Participant’s Separation from Service for any reason.</w:t>
      </w:r>
    </w:p>
    <w:p>
      <w:pPr>
        <w:spacing w:after="0" w:line="160" w:lineRule="exact"/>
        <w:rPr>
          <w:rFonts w:ascii="Arial" w:cs="Arial" w:eastAsia="Arial" w:hAnsi="Arial"/>
          <w:sz w:val="21"/>
          <w:szCs w:val="21"/>
          <w:color w:val="auto"/>
        </w:rPr>
      </w:pPr>
    </w:p>
    <w:p>
      <w:pPr>
        <w:ind w:left="660" w:firstLine="645"/>
        <w:spacing w:after="0" w:line="276" w:lineRule="auto"/>
        <w:tabs>
          <w:tab w:leader="none" w:pos="1934" w:val="left"/>
        </w:tabs>
        <w:numPr>
          <w:ilvl w:val="1"/>
          <w:numId w:val="25"/>
        </w:numPr>
        <w:rPr>
          <w:rFonts w:ascii="Arial" w:cs="Arial" w:eastAsia="Arial" w:hAnsi="Arial"/>
          <w:sz w:val="22"/>
          <w:szCs w:val="22"/>
          <w:color w:val="auto"/>
        </w:rPr>
      </w:pPr>
      <w:r>
        <w:rPr>
          <w:rFonts w:ascii="Arial" w:cs="Arial" w:eastAsia="Arial" w:hAnsi="Arial"/>
          <w:sz w:val="22"/>
          <w:szCs w:val="22"/>
          <w:color w:val="auto"/>
        </w:rPr>
        <w:t>Amounts credited to a Participant’s Retention Award Account shall be distributed in accordance with the written agreement evidencing the Participant’s Retention Award.</w:t>
      </w:r>
    </w:p>
    <w:p>
      <w:pPr>
        <w:spacing w:after="0" w:line="200" w:lineRule="exact"/>
        <w:rPr>
          <w:sz w:val="20"/>
          <w:szCs w:val="20"/>
          <w:color w:val="auto"/>
        </w:rPr>
      </w:pPr>
    </w:p>
    <w:p>
      <w:pPr>
        <w:spacing w:after="0" w:line="204" w:lineRule="exact"/>
        <w:rPr>
          <w:sz w:val="20"/>
          <w:szCs w:val="20"/>
          <w:color w:val="auto"/>
        </w:rPr>
      </w:pPr>
    </w:p>
    <w:p>
      <w:pPr>
        <w:ind w:left="8440"/>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420"/>
          </w:cols>
          <w:pgMar w:left="240" w:top="631" w:right="239" w:bottom="1440" w:gutter="0" w:footer="0" w:header="0"/>
        </w:sectPr>
      </w:pPr>
    </w:p>
    <w:bookmarkStart w:id="63" w:name="page64"/>
    <w:bookmarkEnd w:id="63"/>
    <w:p>
      <w:pPr>
        <w:ind w:left="4" w:firstLine="645"/>
        <w:spacing w:after="0" w:line="358" w:lineRule="auto"/>
        <w:tabs>
          <w:tab w:leader="none" w:pos="1144" w:val="left"/>
        </w:tabs>
        <w:numPr>
          <w:ilvl w:val="1"/>
          <w:numId w:val="26"/>
        </w:numPr>
        <w:rPr>
          <w:rFonts w:ascii="Arial" w:cs="Arial" w:eastAsia="Arial" w:hAnsi="Arial"/>
          <w:sz w:val="19"/>
          <w:szCs w:val="19"/>
          <w:color w:val="auto"/>
        </w:rPr>
      </w:pPr>
      <w:r>
        <w:rPr>
          <w:rFonts w:ascii="Arial" w:cs="Arial" w:eastAsia="Arial" w:hAnsi="Arial"/>
          <w:sz w:val="19"/>
          <w:szCs w:val="19"/>
          <w:color w:val="auto"/>
        </w:rPr>
        <w:t>Amounts credited to a Participant’s Supplemental Retirement Award Account shall be distributed upon the first to occur of (a) the Participant’s Separation from Service, (b) the Participant’s death or (c) the Participant’s Disability.</w:t>
      </w:r>
    </w:p>
    <w:p>
      <w:pPr>
        <w:spacing w:after="0" w:line="90" w:lineRule="exact"/>
        <w:rPr>
          <w:rFonts w:ascii="Arial" w:cs="Arial" w:eastAsia="Arial" w:hAnsi="Arial"/>
          <w:sz w:val="19"/>
          <w:szCs w:val="19"/>
          <w:color w:val="auto"/>
        </w:rPr>
      </w:pPr>
    </w:p>
    <w:p>
      <w:pPr>
        <w:ind w:left="424" w:hanging="424"/>
        <w:spacing w:after="0"/>
        <w:tabs>
          <w:tab w:leader="none" w:pos="424" w:val="left"/>
        </w:tabs>
        <w:numPr>
          <w:ilvl w:val="0"/>
          <w:numId w:val="27"/>
        </w:numPr>
        <w:rPr>
          <w:rFonts w:ascii="Arial" w:cs="Arial" w:eastAsia="Arial" w:hAnsi="Arial"/>
          <w:sz w:val="22"/>
          <w:szCs w:val="22"/>
          <w:color w:val="auto"/>
        </w:rPr>
      </w:pPr>
      <w:r>
        <w:rPr>
          <w:rFonts w:ascii="Arial" w:cs="Arial" w:eastAsia="Arial" w:hAnsi="Arial"/>
          <w:sz w:val="22"/>
          <w:szCs w:val="22"/>
          <w:u w:val="single" w:color="auto"/>
          <w:color w:val="auto"/>
        </w:rPr>
        <w:t>Time of Distribution</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left="4" w:right="20" w:firstLine="645"/>
        <w:spacing w:after="0" w:line="276" w:lineRule="auto"/>
        <w:tabs>
          <w:tab w:leader="none" w:pos="1131" w:val="left"/>
        </w:tabs>
        <w:numPr>
          <w:ilvl w:val="1"/>
          <w:numId w:val="27"/>
        </w:numPr>
        <w:rPr>
          <w:rFonts w:ascii="Arial" w:cs="Arial" w:eastAsia="Arial" w:hAnsi="Arial"/>
          <w:sz w:val="22"/>
          <w:szCs w:val="22"/>
          <w:color w:val="auto"/>
        </w:rPr>
      </w:pPr>
      <w:r>
        <w:rPr>
          <w:rFonts w:ascii="Arial" w:cs="Arial" w:eastAsia="Arial" w:hAnsi="Arial"/>
          <w:sz w:val="22"/>
          <w:szCs w:val="22"/>
          <w:u w:val="single" w:color="auto"/>
          <w:color w:val="auto"/>
        </w:rPr>
        <w:t>In General</w:t>
      </w:r>
      <w:r>
        <w:rPr>
          <w:rFonts w:ascii="Arial" w:cs="Arial" w:eastAsia="Arial" w:hAnsi="Arial"/>
          <w:sz w:val="22"/>
          <w:szCs w:val="22"/>
          <w:color w:val="auto"/>
        </w:rPr>
        <w:t>. All distributions, other than distributions upon a Participant’s Separation from Service, shall be made or shall commence, as applicable, within 90 days of the distribution event.</w:t>
      </w:r>
    </w:p>
    <w:p>
      <w:pPr>
        <w:spacing w:after="0" w:line="160" w:lineRule="exact"/>
        <w:rPr>
          <w:rFonts w:ascii="Arial" w:cs="Arial" w:eastAsia="Arial" w:hAnsi="Arial"/>
          <w:sz w:val="22"/>
          <w:szCs w:val="22"/>
          <w:color w:val="auto"/>
        </w:rPr>
      </w:pPr>
    </w:p>
    <w:p>
      <w:pPr>
        <w:jc w:val="both"/>
        <w:ind w:left="4" w:firstLine="645"/>
        <w:spacing w:after="0" w:line="254" w:lineRule="auto"/>
        <w:tabs>
          <w:tab w:leader="none" w:pos="1326" w:val="left"/>
        </w:tabs>
        <w:numPr>
          <w:ilvl w:val="1"/>
          <w:numId w:val="27"/>
        </w:numPr>
        <w:rPr>
          <w:rFonts w:ascii="Arial" w:cs="Arial" w:eastAsia="Arial" w:hAnsi="Arial"/>
          <w:sz w:val="22"/>
          <w:szCs w:val="22"/>
          <w:color w:val="auto"/>
        </w:rPr>
      </w:pPr>
      <w:r>
        <w:rPr>
          <w:rFonts w:ascii="Arial" w:cs="Arial" w:eastAsia="Arial" w:hAnsi="Arial"/>
          <w:sz w:val="22"/>
          <w:szCs w:val="22"/>
          <w:u w:val="single" w:color="auto"/>
          <w:color w:val="auto"/>
        </w:rPr>
        <w:t>Distributions on Participant’s Separation from Service</w:t>
      </w:r>
      <w:r>
        <w:rPr>
          <w:rFonts w:ascii="Arial" w:cs="Arial" w:eastAsia="Arial" w:hAnsi="Arial"/>
          <w:sz w:val="22"/>
          <w:szCs w:val="22"/>
          <w:color w:val="auto"/>
        </w:rPr>
        <w:t>. Notwithstanding any contrary provision, if the distribution event giving rise to the distribution or commencement of distributions is a Participant’s Separation from Service, then the distribution shall not be made or commence, as applicable, for six months following the date of the Participant’s Separation from Service.</w:t>
      </w:r>
    </w:p>
    <w:p>
      <w:pPr>
        <w:spacing w:after="0" w:line="185" w:lineRule="exact"/>
        <w:rPr>
          <w:sz w:val="20"/>
          <w:szCs w:val="20"/>
          <w:color w:val="auto"/>
        </w:rPr>
      </w:pPr>
    </w:p>
    <w:p>
      <w:pPr>
        <w:jc w:val="both"/>
        <w:ind w:left="4"/>
        <w:spacing w:after="0" w:line="260" w:lineRule="exact"/>
        <w:rPr>
          <w:sz w:val="20"/>
          <w:szCs w:val="20"/>
          <w:color w:val="auto"/>
        </w:rPr>
      </w:pPr>
      <w:r>
        <w:rPr>
          <w:rFonts w:ascii="Arial" w:cs="Arial" w:eastAsia="Arial" w:hAnsi="Arial"/>
          <w:sz w:val="19"/>
          <w:szCs w:val="19"/>
          <w:color w:val="auto"/>
        </w:rPr>
        <w:t>For any distribution subject to the six</w:t>
      </w:r>
      <w:r>
        <w:rPr>
          <w:rFonts w:ascii="MS PGothic" w:cs="MS PGothic" w:eastAsia="MS PGothic" w:hAnsi="MS PGothic"/>
          <w:sz w:val="19"/>
          <w:szCs w:val="19"/>
          <w:color w:val="auto"/>
        </w:rPr>
        <w:t>‑</w:t>
      </w:r>
      <w:r>
        <w:rPr>
          <w:rFonts w:ascii="Arial" w:cs="Arial" w:eastAsia="Arial" w:hAnsi="Arial"/>
          <w:sz w:val="19"/>
          <w:szCs w:val="19"/>
          <w:color w:val="auto"/>
        </w:rPr>
        <w:t>month delay, (i) if such distribution is to be made in a lump sum, then the distribution following the six</w:t>
      </w:r>
      <w:r>
        <w:rPr>
          <w:rFonts w:ascii="MS PGothic" w:cs="MS PGothic" w:eastAsia="MS PGothic" w:hAnsi="MS PGothic"/>
          <w:sz w:val="19"/>
          <w:szCs w:val="19"/>
          <w:color w:val="auto"/>
        </w:rPr>
        <w:t>‑</w:t>
      </w:r>
      <w:r>
        <w:rPr>
          <w:rFonts w:ascii="Arial" w:cs="Arial" w:eastAsia="Arial" w:hAnsi="Arial"/>
          <w:sz w:val="19"/>
          <w:szCs w:val="19"/>
          <w:color w:val="auto"/>
        </w:rPr>
        <w:t>month delay shall be equal to the Participant’s Account balance at the time of such distribution; and (ii) if such distribution is to be made in annual installments, then the amount of the first distribution shall be the aggregate amount of any installment that would have been paid following the Participant’s Separation from Service if such six</w:t>
      </w:r>
      <w:r>
        <w:rPr>
          <w:rFonts w:ascii="MS PGothic" w:cs="MS PGothic" w:eastAsia="MS PGothic" w:hAnsi="MS PGothic"/>
          <w:sz w:val="19"/>
          <w:szCs w:val="19"/>
          <w:color w:val="auto"/>
        </w:rPr>
        <w:t>‑</w:t>
      </w:r>
      <w:r>
        <w:rPr>
          <w:rFonts w:ascii="Arial" w:cs="Arial" w:eastAsia="Arial" w:hAnsi="Arial"/>
          <w:sz w:val="19"/>
          <w:szCs w:val="19"/>
          <w:color w:val="auto"/>
        </w:rPr>
        <w:t>month delay were not applicable (or the Participant’s Account balance at the time of payment, if less). Any amount distributable under (i) or (ii) above shall be paid as of the first business day of the seventh month following the Separation from Service.</w:t>
      </w:r>
    </w:p>
    <w:p>
      <w:pPr>
        <w:spacing w:after="0" w:line="199" w:lineRule="exact"/>
        <w:rPr>
          <w:sz w:val="20"/>
          <w:szCs w:val="20"/>
          <w:color w:val="auto"/>
        </w:rPr>
      </w:pPr>
    </w:p>
    <w:p>
      <w:pPr>
        <w:jc w:val="both"/>
        <w:ind w:left="4" w:firstLine="645"/>
        <w:spacing w:after="0" w:line="293" w:lineRule="auto"/>
        <w:tabs>
          <w:tab w:leader="none" w:pos="1345" w:val="left"/>
        </w:tabs>
        <w:numPr>
          <w:ilvl w:val="1"/>
          <w:numId w:val="28"/>
        </w:numPr>
        <w:rPr>
          <w:rFonts w:ascii="Arial" w:cs="Arial" w:eastAsia="Arial" w:hAnsi="Arial"/>
          <w:sz w:val="19"/>
          <w:szCs w:val="19"/>
          <w:color w:val="auto"/>
        </w:rPr>
      </w:pPr>
      <w:r>
        <w:rPr>
          <w:rFonts w:ascii="Arial" w:cs="Arial" w:eastAsia="Arial" w:hAnsi="Arial"/>
          <w:sz w:val="19"/>
          <w:szCs w:val="19"/>
          <w:u w:val="single" w:color="auto"/>
          <w:color w:val="auto"/>
        </w:rPr>
        <w:t>Distributions of Matching Contributions</w:t>
      </w:r>
      <w:r>
        <w:rPr>
          <w:rFonts w:ascii="Arial" w:cs="Arial" w:eastAsia="Arial" w:hAnsi="Arial"/>
          <w:sz w:val="19"/>
          <w:szCs w:val="19"/>
          <w:color w:val="auto"/>
        </w:rPr>
        <w:t>. Notwithstanding the foregoing, with respect to any matching contribution allocated to a Participant’s Matching Account under Section 4.4(b) after a distribution event described in this Section 5.1, such matching contribution shall be paid on the later of (i) the applicable payment date under the Plan or</w:t>
      </w:r>
    </w:p>
    <w:p>
      <w:pPr>
        <w:spacing w:after="0" w:line="1" w:lineRule="exact"/>
        <w:rPr>
          <w:rFonts w:ascii="Arial" w:cs="Arial" w:eastAsia="Arial" w:hAnsi="Arial"/>
          <w:sz w:val="19"/>
          <w:szCs w:val="19"/>
          <w:color w:val="auto"/>
        </w:rPr>
      </w:pPr>
    </w:p>
    <w:p>
      <w:pPr>
        <w:ind w:left="304" w:hanging="304"/>
        <w:spacing w:after="0"/>
        <w:tabs>
          <w:tab w:leader="none" w:pos="304" w:val="left"/>
        </w:tabs>
        <w:numPr>
          <w:ilvl w:val="0"/>
          <w:numId w:val="29"/>
        </w:numPr>
        <w:rPr>
          <w:rFonts w:ascii="Arial" w:cs="Arial" w:eastAsia="Arial" w:hAnsi="Arial"/>
          <w:sz w:val="21"/>
          <w:szCs w:val="21"/>
          <w:color w:val="auto"/>
        </w:rPr>
      </w:pPr>
      <w:r>
        <w:rPr>
          <w:rFonts w:ascii="Arial" w:cs="Arial" w:eastAsia="Arial" w:hAnsi="Arial"/>
          <w:sz w:val="21"/>
          <w:szCs w:val="21"/>
          <w:color w:val="auto"/>
        </w:rPr>
        <w:t>April 1 of the Plan Year in which the matching contribution is allocated to the Participant’s Matching Account.</w:t>
      </w:r>
    </w:p>
    <w:p>
      <w:pPr>
        <w:spacing w:after="0" w:line="213" w:lineRule="exact"/>
        <w:rPr>
          <w:sz w:val="20"/>
          <w:szCs w:val="20"/>
          <w:color w:val="auto"/>
        </w:rPr>
      </w:pPr>
    </w:p>
    <w:p>
      <w:pPr>
        <w:jc w:val="both"/>
        <w:ind w:left="-656" w:firstLine="656"/>
        <w:spacing w:after="0" w:line="260" w:lineRule="auto"/>
        <w:tabs>
          <w:tab w:leader="none" w:pos="424" w:val="left"/>
        </w:tabs>
        <w:numPr>
          <w:ilvl w:val="0"/>
          <w:numId w:val="30"/>
        </w:numPr>
        <w:rPr>
          <w:rFonts w:ascii="Arial" w:cs="Arial" w:eastAsia="Arial" w:hAnsi="Arial"/>
          <w:sz w:val="22"/>
          <w:szCs w:val="22"/>
          <w:color w:val="auto"/>
        </w:rPr>
      </w:pPr>
      <w:r>
        <w:rPr>
          <w:rFonts w:ascii="Arial" w:cs="Arial" w:eastAsia="Arial" w:hAnsi="Arial"/>
          <w:sz w:val="22"/>
          <w:szCs w:val="22"/>
          <w:u w:val="single" w:color="auto"/>
          <w:color w:val="auto"/>
        </w:rPr>
        <w:t>Election of Form of Distribution</w:t>
      </w:r>
      <w:r>
        <w:rPr>
          <w:rFonts w:ascii="Arial" w:cs="Arial" w:eastAsia="Arial" w:hAnsi="Arial"/>
          <w:sz w:val="22"/>
          <w:szCs w:val="22"/>
          <w:color w:val="auto"/>
        </w:rPr>
        <w:t>. Amounts credited to a Participant’s Account (other than a Retention Award Account) shall be distributed to the Participant in accordance with the Participant’s distribution election either in a single lump-sum payment or in substantially equal annual installments over a period of five, 10 or 15 years.</w:t>
      </w:r>
    </w:p>
    <w:p>
      <w:pPr>
        <w:spacing w:after="0" w:line="177" w:lineRule="exact"/>
        <w:rPr>
          <w:rFonts w:ascii="Arial" w:cs="Arial" w:eastAsia="Arial" w:hAnsi="Arial"/>
          <w:sz w:val="22"/>
          <w:szCs w:val="22"/>
          <w:color w:val="auto"/>
        </w:rPr>
      </w:pPr>
    </w:p>
    <w:p>
      <w:pPr>
        <w:jc w:val="both"/>
        <w:ind w:left="4" w:firstLine="645"/>
        <w:spacing w:after="0" w:line="260" w:lineRule="auto"/>
        <w:tabs>
          <w:tab w:leader="none" w:pos="1158" w:val="left"/>
        </w:tabs>
        <w:numPr>
          <w:ilvl w:val="1"/>
          <w:numId w:val="30"/>
        </w:numPr>
        <w:rPr>
          <w:rFonts w:ascii="Arial" w:cs="Arial" w:eastAsia="Arial" w:hAnsi="Arial"/>
          <w:sz w:val="22"/>
          <w:szCs w:val="22"/>
          <w:color w:val="auto"/>
        </w:rPr>
      </w:pPr>
      <w:r>
        <w:rPr>
          <w:rFonts w:ascii="Arial" w:cs="Arial" w:eastAsia="Arial" w:hAnsi="Arial"/>
          <w:sz w:val="22"/>
          <w:szCs w:val="22"/>
          <w:color w:val="auto"/>
        </w:rPr>
        <w:t>A Participant shall elect a form of distribution with respect to the (A) Base Salary Deferral Elections, (B) Performance Award Deferral Election, (C) Supplemental Retirement Award or (D) applicable matching contributions made in the same calendar year.</w:t>
      </w:r>
    </w:p>
    <w:p>
      <w:pPr>
        <w:spacing w:after="0" w:line="177" w:lineRule="exact"/>
        <w:rPr>
          <w:rFonts w:ascii="Arial" w:cs="Arial" w:eastAsia="Arial" w:hAnsi="Arial"/>
          <w:sz w:val="22"/>
          <w:szCs w:val="22"/>
          <w:color w:val="auto"/>
        </w:rPr>
      </w:pPr>
    </w:p>
    <w:p>
      <w:pPr>
        <w:ind w:left="4" w:right="20" w:firstLine="645"/>
        <w:spacing w:after="0" w:line="301" w:lineRule="auto"/>
        <w:tabs>
          <w:tab w:leader="none" w:pos="1231" w:val="left"/>
        </w:tabs>
        <w:numPr>
          <w:ilvl w:val="1"/>
          <w:numId w:val="30"/>
        </w:numPr>
        <w:rPr>
          <w:rFonts w:ascii="Arial" w:cs="Arial" w:eastAsia="Arial" w:hAnsi="Arial"/>
          <w:sz w:val="21"/>
          <w:szCs w:val="21"/>
          <w:color w:val="auto"/>
        </w:rPr>
      </w:pPr>
      <w:r>
        <w:rPr>
          <w:rFonts w:ascii="Arial" w:cs="Arial" w:eastAsia="Arial" w:hAnsi="Arial"/>
          <w:sz w:val="21"/>
          <w:szCs w:val="21"/>
          <w:color w:val="auto"/>
        </w:rPr>
        <w:t>Amounts credited to a Participant’s Retention Award Account shall be distributed in accordance with the written agreement between the Employer and the Participant evidencing the Participant’s Retention Award.</w:t>
      </w:r>
    </w:p>
    <w:p>
      <w:pPr>
        <w:spacing w:after="0" w:line="380" w:lineRule="exact"/>
        <w:rPr>
          <w:sz w:val="20"/>
          <w:szCs w:val="20"/>
          <w:color w:val="auto"/>
        </w:rPr>
      </w:pPr>
    </w:p>
    <w:p>
      <w:pPr>
        <w:ind w:left="7784"/>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0764"/>
          </w:cols>
          <w:pgMar w:left="896" w:top="631" w:right="239" w:bottom="1440" w:gutter="0" w:footer="0" w:header="0"/>
        </w:sectPr>
      </w:pPr>
    </w:p>
    <w:bookmarkStart w:id="64" w:name="page65"/>
    <w:bookmarkEnd w:id="64"/>
    <w:p>
      <w:pPr>
        <w:ind w:left="660" w:right="20" w:firstLine="645"/>
        <w:spacing w:after="0" w:line="301" w:lineRule="auto"/>
        <w:tabs>
          <w:tab w:leader="none" w:pos="1812" w:val="left"/>
        </w:tabs>
        <w:numPr>
          <w:ilvl w:val="0"/>
          <w:numId w:val="31"/>
        </w:numPr>
        <w:rPr>
          <w:rFonts w:ascii="Arial" w:cs="Arial" w:eastAsia="Arial" w:hAnsi="Arial"/>
          <w:sz w:val="21"/>
          <w:szCs w:val="21"/>
          <w:color w:val="auto"/>
        </w:rPr>
      </w:pPr>
      <w:r>
        <w:rPr>
          <w:rFonts w:ascii="Arial" w:cs="Arial" w:eastAsia="Arial" w:hAnsi="Arial"/>
          <w:sz w:val="21"/>
          <w:szCs w:val="21"/>
          <w:color w:val="auto"/>
        </w:rPr>
        <w:t>To the extent that an Account is distributed in installment payments, the undisbursed portions of such Account shall continue to be credited with Adjustments in accordance with the applicable provisions of Section 4.8.</w:t>
      </w:r>
    </w:p>
    <w:p>
      <w:pPr>
        <w:spacing w:after="0" w:line="137" w:lineRule="exact"/>
        <w:rPr>
          <w:rFonts w:ascii="Arial" w:cs="Arial" w:eastAsia="Arial" w:hAnsi="Arial"/>
          <w:sz w:val="21"/>
          <w:szCs w:val="21"/>
          <w:color w:val="auto"/>
        </w:rPr>
      </w:pPr>
    </w:p>
    <w:p>
      <w:pPr>
        <w:jc w:val="both"/>
        <w:ind w:left="660" w:firstLine="645"/>
        <w:spacing w:after="0" w:line="307" w:lineRule="auto"/>
        <w:tabs>
          <w:tab w:leader="none" w:pos="1800" w:val="left"/>
        </w:tabs>
        <w:numPr>
          <w:ilvl w:val="0"/>
          <w:numId w:val="31"/>
        </w:numPr>
        <w:rPr>
          <w:rFonts w:ascii="Arial" w:cs="Arial" w:eastAsia="Arial" w:hAnsi="Arial"/>
          <w:sz w:val="19"/>
          <w:szCs w:val="19"/>
          <w:color w:val="auto"/>
        </w:rPr>
      </w:pPr>
      <w:r>
        <w:rPr>
          <w:rFonts w:ascii="Arial" w:cs="Arial" w:eastAsia="Arial" w:hAnsi="Arial"/>
          <w:sz w:val="19"/>
          <w:szCs w:val="19"/>
          <w:color w:val="auto"/>
        </w:rPr>
        <w:t>Distributions of amounts benchmarked to Investment Funds other than the Company Stock Fund shall be made in cash. Distributions of amounts benchmarked to the Company Stock Fund shall be distributed in the greatest whole number of common shares of the Corporation that can be distributed based on the amount benchmarked to the Company Stock Fund (after any applicable income tax withholding), plus cash for any fractional share.</w:t>
      </w:r>
    </w:p>
    <w:p>
      <w:pPr>
        <w:spacing w:after="0" w:line="138" w:lineRule="exact"/>
        <w:rPr>
          <w:rFonts w:ascii="Arial" w:cs="Arial" w:eastAsia="Arial" w:hAnsi="Arial"/>
          <w:sz w:val="19"/>
          <w:szCs w:val="19"/>
          <w:color w:val="auto"/>
        </w:rPr>
      </w:pPr>
    </w:p>
    <w:p>
      <w:pPr>
        <w:jc w:val="both"/>
        <w:ind w:left="660" w:firstLine="645"/>
        <w:spacing w:after="0" w:line="278" w:lineRule="auto"/>
        <w:tabs>
          <w:tab w:leader="none" w:pos="1835" w:val="left"/>
        </w:tabs>
        <w:numPr>
          <w:ilvl w:val="0"/>
          <w:numId w:val="31"/>
        </w:numPr>
        <w:rPr>
          <w:rFonts w:ascii="Arial" w:cs="Arial" w:eastAsia="Arial" w:hAnsi="Arial"/>
          <w:sz w:val="21"/>
          <w:szCs w:val="21"/>
          <w:color w:val="auto"/>
        </w:rPr>
      </w:pPr>
      <w:r>
        <w:rPr>
          <w:rFonts w:ascii="Arial" w:cs="Arial" w:eastAsia="Arial" w:hAnsi="Arial"/>
          <w:sz w:val="21"/>
          <w:szCs w:val="21"/>
          <w:color w:val="auto"/>
        </w:rPr>
        <w:t>If no form of distribution is elected by the Participant, the Participant’s Accounts (other than the Retention Award Account) shall be distributed in the form of a single lump-sum payment and the Retention Award Account shall be distributed in accordance with the written agreement evidencing the Participant’s Retention Award.</w:t>
      </w:r>
    </w:p>
    <w:p>
      <w:pPr>
        <w:spacing w:after="0" w:line="154" w:lineRule="exact"/>
        <w:rPr>
          <w:sz w:val="20"/>
          <w:szCs w:val="20"/>
          <w:color w:val="auto"/>
        </w:rPr>
      </w:pPr>
    </w:p>
    <w:p>
      <w:pPr>
        <w:spacing w:after="0"/>
        <w:tabs>
          <w:tab w:leader="none" w:pos="500" w:val="left"/>
        </w:tabs>
        <w:rPr>
          <w:sz w:val="20"/>
          <w:szCs w:val="20"/>
          <w:color w:val="auto"/>
        </w:rPr>
      </w:pPr>
      <w:r>
        <w:rPr>
          <w:rFonts w:ascii="Arial" w:cs="Arial" w:eastAsia="Arial" w:hAnsi="Arial"/>
          <w:sz w:val="22"/>
          <w:szCs w:val="22"/>
          <w:b w:val="1"/>
          <w:bCs w:val="1"/>
          <w:color w:val="auto"/>
        </w:rPr>
        <w:t>5.2.</w:t>
      </w:r>
      <w:r>
        <w:rPr>
          <w:sz w:val="20"/>
          <w:szCs w:val="20"/>
          <w:color w:val="auto"/>
        </w:rPr>
        <w:tab/>
      </w:r>
      <w:r>
        <w:rPr>
          <w:rFonts w:ascii="Arial" w:cs="Arial" w:eastAsia="Arial" w:hAnsi="Arial"/>
          <w:sz w:val="19"/>
          <w:szCs w:val="19"/>
          <w:b w:val="1"/>
          <w:bCs w:val="1"/>
          <w:u w:val="single" w:color="auto"/>
          <w:color w:val="auto"/>
        </w:rPr>
        <w:t>Death Benefit</w:t>
      </w:r>
    </w:p>
    <w:p>
      <w:pPr>
        <w:spacing w:after="0" w:line="239"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9"/>
          <w:szCs w:val="19"/>
          <w:color w:val="auto"/>
        </w:rPr>
        <w:t>If a Participant dies (either before or after payment of benefits have commenced under this Section 5), his or her Account shall be paid to the Beneficiary designated by the Participant. If there is no designated Beneficiary or no designated Beneficiary surviving at a Participant’s death, payment of the Participant’s Account shall be made to the Participant’s estate in a single lump-sum payment within 90 days after the Participant’s death. In the event of a Participant’s death after distribution of his or her Account has begun, to the extent that there is a surviving Beneficiary, payment of such Account shall continue in the form of distribution in effect prior to the Participant’s death. If a Participant dies prior to the commencement of distribution of his or her Account, his or her Beneficiary, if any, shall receive distribution of such Account in the form of distribution previously elected by the Participant. If a Beneficiary begins to receive any payment pursuant to this Section 5.2, but dies prior to the time that all amounts have been distributed, any remaining amount shall be paid in a single lump-sum payment to the estate of the Beneficiary.</w:t>
      </w:r>
    </w:p>
    <w:p>
      <w:pPr>
        <w:spacing w:after="0" w:line="152" w:lineRule="exact"/>
        <w:rPr>
          <w:sz w:val="20"/>
          <w:szCs w:val="20"/>
          <w:color w:val="auto"/>
        </w:rPr>
      </w:pPr>
    </w:p>
    <w:p>
      <w:pPr>
        <w:spacing w:after="0"/>
        <w:tabs>
          <w:tab w:leader="none" w:pos="500" w:val="left"/>
        </w:tabs>
        <w:rPr>
          <w:sz w:val="20"/>
          <w:szCs w:val="20"/>
          <w:color w:val="auto"/>
        </w:rPr>
      </w:pPr>
      <w:r>
        <w:rPr>
          <w:rFonts w:ascii="Arial" w:cs="Arial" w:eastAsia="Arial" w:hAnsi="Arial"/>
          <w:sz w:val="22"/>
          <w:szCs w:val="22"/>
          <w:b w:val="1"/>
          <w:bCs w:val="1"/>
          <w:color w:val="auto"/>
        </w:rPr>
        <w:t>5.3.</w:t>
      </w:r>
      <w:r>
        <w:rPr>
          <w:sz w:val="20"/>
          <w:szCs w:val="20"/>
          <w:color w:val="auto"/>
        </w:rPr>
        <w:tab/>
      </w:r>
      <w:r>
        <w:rPr>
          <w:rFonts w:ascii="Arial" w:cs="Arial" w:eastAsia="Arial" w:hAnsi="Arial"/>
          <w:sz w:val="18"/>
          <w:szCs w:val="18"/>
          <w:b w:val="1"/>
          <w:bCs w:val="1"/>
          <w:u w:val="single" w:color="auto"/>
          <w:color w:val="auto"/>
        </w:rPr>
        <w:t>Taxes</w:t>
      </w:r>
    </w:p>
    <w:p>
      <w:pPr>
        <w:spacing w:after="0" w:line="23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In the event any taxes are required by law to be withheld or paid from any payments made pursuant to the Plan, the recordkeeper shall deduct such amounts from such payments and shall transmit or cause to be transmitted the withheld amounts to the appropriate taxing authority.</w:t>
      </w:r>
    </w:p>
    <w:p>
      <w:pPr>
        <w:spacing w:after="0" w:line="180" w:lineRule="exact"/>
        <w:rPr>
          <w:sz w:val="20"/>
          <w:szCs w:val="20"/>
          <w:color w:val="auto"/>
        </w:rPr>
      </w:pPr>
    </w:p>
    <w:p>
      <w:pPr>
        <w:spacing w:after="0"/>
        <w:tabs>
          <w:tab w:leader="none" w:pos="500" w:val="left"/>
        </w:tabs>
        <w:rPr>
          <w:sz w:val="20"/>
          <w:szCs w:val="20"/>
          <w:color w:val="auto"/>
        </w:rPr>
      </w:pPr>
      <w:r>
        <w:rPr>
          <w:rFonts w:ascii="Arial" w:cs="Arial" w:eastAsia="Arial" w:hAnsi="Arial"/>
          <w:sz w:val="22"/>
          <w:szCs w:val="22"/>
          <w:b w:val="1"/>
          <w:bCs w:val="1"/>
          <w:color w:val="auto"/>
        </w:rPr>
        <w:t>5.4.</w:t>
      </w:r>
      <w:r>
        <w:rPr>
          <w:sz w:val="20"/>
          <w:szCs w:val="20"/>
          <w:color w:val="auto"/>
        </w:rPr>
        <w:tab/>
      </w:r>
      <w:r>
        <w:rPr>
          <w:rFonts w:ascii="Arial" w:cs="Arial" w:eastAsia="Arial" w:hAnsi="Arial"/>
          <w:sz w:val="19"/>
          <w:szCs w:val="19"/>
          <w:b w:val="1"/>
          <w:bCs w:val="1"/>
          <w:u w:val="single" w:color="auto"/>
          <w:color w:val="auto"/>
        </w:rPr>
        <w:t>Unforeseeable Emergency Distributions</w:t>
      </w:r>
    </w:p>
    <w:p>
      <w:pPr>
        <w:spacing w:after="0" w:line="23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9"/>
          <w:szCs w:val="19"/>
          <w:color w:val="auto"/>
        </w:rPr>
        <w:t>The Committee, in its sole discretion, may elect to distribute all or a portion of the Participant’s Account in the event such Participant requests a distribution due to an Unforeseeable Emergency, as described under Treasury Regulation Section 1.409A-3(i)</w:t>
      </w:r>
    </w:p>
    <w:p>
      <w:pPr>
        <w:spacing w:after="0" w:line="1" w:lineRule="exact"/>
        <w:rPr>
          <w:sz w:val="20"/>
          <w:szCs w:val="20"/>
          <w:color w:val="auto"/>
        </w:rPr>
      </w:pPr>
    </w:p>
    <w:p>
      <w:pPr>
        <w:jc w:val="both"/>
        <w:spacing w:after="0" w:line="295" w:lineRule="auto"/>
        <w:rPr>
          <w:sz w:val="20"/>
          <w:szCs w:val="20"/>
          <w:color w:val="auto"/>
        </w:rPr>
      </w:pPr>
      <w:r>
        <w:rPr>
          <w:rFonts w:ascii="Arial" w:cs="Arial" w:eastAsia="Arial" w:hAnsi="Arial"/>
          <w:sz w:val="19"/>
          <w:szCs w:val="19"/>
          <w:color w:val="auto"/>
        </w:rPr>
        <w:t>(3). The Committee has delegated authority to the Benefits Administrative Committee to elect, in its sole discretion, to distribute all or a portion of the Account of a Participant who is below the senior vice president level in the event such Participant requests a distribution due to an Unforeseeable Emergency. Any distribution under this Section 5.4 shall comply with the Unforeseeable Emergency requirements of Code Section 409A and the regulations promulgated thereunder, which are incorporated herein</w:t>
      </w:r>
    </w:p>
    <w:p>
      <w:pPr>
        <w:spacing w:after="0" w:line="177" w:lineRule="exact"/>
        <w:rPr>
          <w:sz w:val="20"/>
          <w:szCs w:val="20"/>
          <w:color w:val="auto"/>
        </w:rPr>
      </w:pPr>
    </w:p>
    <w:p>
      <w:pPr>
        <w:ind w:left="8440"/>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420"/>
          </w:cols>
          <w:pgMar w:left="240" w:top="631" w:right="239" w:bottom="1440" w:gutter="0" w:footer="0" w:header="0"/>
        </w:sectPr>
      </w:pPr>
    </w:p>
    <w:bookmarkStart w:id="65" w:name="page66"/>
    <w:bookmarkEnd w:id="65"/>
    <w:p>
      <w:pPr>
        <w:jc w:val="both"/>
        <w:spacing w:after="0" w:line="290" w:lineRule="auto"/>
        <w:rPr>
          <w:sz w:val="20"/>
          <w:szCs w:val="20"/>
          <w:color w:val="auto"/>
        </w:rPr>
      </w:pPr>
      <w:r>
        <w:rPr>
          <w:rFonts w:ascii="Arial" w:cs="Arial" w:eastAsia="Arial" w:hAnsi="Arial"/>
          <w:sz w:val="19"/>
          <w:szCs w:val="19"/>
          <w:color w:val="auto"/>
        </w:rPr>
        <w:t>by reference. Any distribution on account of an Unforeseeable Emergency shall not exceed the amount required to satisfy the Unforeseeable Emergency, plus amounts necessary to pay taxes reasonably anticipated as a result of such distribution, after taking into account the extent to which the Unforeseeable Emergency may be relieved through reimbursement or compensation by insurance or otherwise, by liquidation of the Participant’s assets (to the extent that such liquidation would not itself cause a severe financial hardship) or by stopping deferrals under the Plan. The Participant’s request shall state the nature of the severe financial hardship, the total amount requested to be distributed from his or her Plan Accounts and the total amount of the actual expense incurred or expected to be incurred on account of the Unforeseeable Emergency. A Participant’s Retention Award Account, if any, is not eligible for distribution under this Section 5.4.</w:t>
      </w:r>
    </w:p>
    <w:p>
      <w:pPr>
        <w:spacing w:after="0" w:line="151" w:lineRule="exact"/>
        <w:rPr>
          <w:sz w:val="20"/>
          <w:szCs w:val="20"/>
          <w:color w:val="auto"/>
        </w:rPr>
      </w:pPr>
    </w:p>
    <w:p>
      <w:pPr>
        <w:spacing w:after="0"/>
        <w:tabs>
          <w:tab w:leader="none" w:pos="500" w:val="left"/>
        </w:tabs>
        <w:rPr>
          <w:sz w:val="20"/>
          <w:szCs w:val="20"/>
          <w:color w:val="auto"/>
        </w:rPr>
      </w:pPr>
      <w:r>
        <w:rPr>
          <w:rFonts w:ascii="Arial" w:cs="Arial" w:eastAsia="Arial" w:hAnsi="Arial"/>
          <w:sz w:val="22"/>
          <w:szCs w:val="22"/>
          <w:b w:val="1"/>
          <w:bCs w:val="1"/>
          <w:color w:val="auto"/>
        </w:rPr>
        <w:t>5.5.</w:t>
      </w:r>
      <w:r>
        <w:rPr>
          <w:sz w:val="20"/>
          <w:szCs w:val="20"/>
          <w:color w:val="auto"/>
        </w:rPr>
        <w:tab/>
      </w:r>
      <w:r>
        <w:rPr>
          <w:rFonts w:ascii="Arial" w:cs="Arial" w:eastAsia="Arial" w:hAnsi="Arial"/>
          <w:sz w:val="19"/>
          <w:szCs w:val="19"/>
          <w:b w:val="1"/>
          <w:bCs w:val="1"/>
          <w:u w:val="single" w:color="auto"/>
          <w:color w:val="auto"/>
        </w:rPr>
        <w:t>Small Benefit Distribution</w:t>
      </w:r>
    </w:p>
    <w:p>
      <w:pPr>
        <w:spacing w:after="0" w:line="23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1"/>
          <w:szCs w:val="21"/>
          <w:color w:val="auto"/>
        </w:rPr>
        <w:t>If the value of the Participant’s Accounts (and all other nonqualified deferred compensation plan benefits required to be combined with the Plan under Treasury Regulation Section 1.409A-(1)(c)(2)) is not greater than the applicable dollar amount under Code Section 402(g)(1)(B) at the time of distribution, then such benefit shall be paid in the form of a single lump sum notwithstanding any contrary Plan provision. Any such distribution is subject, if applicable, to the delay in payment rule relating to Separation from Service events, as set forth in Section 5.1(c)(ii) of the Plan.</w:t>
      </w:r>
    </w:p>
    <w:p>
      <w:pPr>
        <w:spacing w:after="0" w:line="170" w:lineRule="exact"/>
        <w:rPr>
          <w:sz w:val="20"/>
          <w:szCs w:val="20"/>
          <w:color w:val="auto"/>
        </w:rPr>
      </w:pPr>
    </w:p>
    <w:p>
      <w:pPr>
        <w:spacing w:after="0"/>
        <w:tabs>
          <w:tab w:leader="none" w:pos="500" w:val="left"/>
        </w:tabs>
        <w:rPr>
          <w:sz w:val="20"/>
          <w:szCs w:val="20"/>
          <w:color w:val="auto"/>
        </w:rPr>
      </w:pPr>
      <w:r>
        <w:rPr>
          <w:rFonts w:ascii="Arial" w:cs="Arial" w:eastAsia="Arial" w:hAnsi="Arial"/>
          <w:sz w:val="22"/>
          <w:szCs w:val="22"/>
          <w:b w:val="1"/>
          <w:bCs w:val="1"/>
          <w:color w:val="auto"/>
        </w:rPr>
        <w:t>5.6.</w:t>
      </w:r>
      <w:r>
        <w:rPr>
          <w:sz w:val="20"/>
          <w:szCs w:val="20"/>
          <w:color w:val="auto"/>
        </w:rPr>
        <w:tab/>
      </w:r>
      <w:r>
        <w:rPr>
          <w:rFonts w:ascii="Arial" w:cs="Arial" w:eastAsia="Arial" w:hAnsi="Arial"/>
          <w:sz w:val="19"/>
          <w:szCs w:val="19"/>
          <w:b w:val="1"/>
          <w:bCs w:val="1"/>
          <w:u w:val="single" w:color="auto"/>
          <w:color w:val="auto"/>
        </w:rPr>
        <w:t>Distributions in the Event of a Change in Control</w:t>
      </w:r>
    </w:p>
    <w:p>
      <w:pPr>
        <w:spacing w:after="0" w:line="23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color w:val="auto"/>
        </w:rPr>
        <w:t>Notwithstanding any other provision of the Plan, an affected Participant shall receive all amounts due the Participant hereunder in a lump sum as soon as practicable after a Change in Control, and in all events within 30 days thereof. For purposes of this Section 5.6, an “affected Participant” is any Participant who is or was providing services: (i) to a corporation at the time of a Change in Control relating to such corporation; (ii) to a corporation that is liable for payments to the extent of the services provided to such corporation by the Participant or for which there is a bona fide business purpose for such corporation to be liable for such payments (other than avoidance of Federal income tax); or (iii) to a corporation that is a majority shareholder of a corporation identified in Section 5.6(i) or (ii) or any corporation in a chain of corporations in which each corporation is a majority shareholder of another corporation in the chain, ending in a corporation identified in Section 5.6(i) or (ii). This Section 5.6 shall not apply to a Participant’s Retention Award Account.</w:t>
      </w:r>
    </w:p>
    <w:p>
      <w:pPr>
        <w:spacing w:after="0" w:line="174" w:lineRule="exact"/>
        <w:rPr>
          <w:sz w:val="20"/>
          <w:szCs w:val="20"/>
          <w:color w:val="auto"/>
        </w:rPr>
      </w:pPr>
    </w:p>
    <w:p>
      <w:pPr>
        <w:spacing w:after="0"/>
        <w:tabs>
          <w:tab w:leader="none" w:pos="500" w:val="left"/>
        </w:tabs>
        <w:rPr>
          <w:sz w:val="20"/>
          <w:szCs w:val="20"/>
          <w:color w:val="auto"/>
        </w:rPr>
      </w:pPr>
      <w:r>
        <w:rPr>
          <w:rFonts w:ascii="Arial" w:cs="Arial" w:eastAsia="Arial" w:hAnsi="Arial"/>
          <w:sz w:val="22"/>
          <w:szCs w:val="22"/>
          <w:b w:val="1"/>
          <w:bCs w:val="1"/>
          <w:color w:val="auto"/>
        </w:rPr>
        <w:t>5.7.</w:t>
      </w:r>
      <w:r>
        <w:rPr>
          <w:sz w:val="20"/>
          <w:szCs w:val="20"/>
          <w:color w:val="auto"/>
        </w:rPr>
        <w:tab/>
      </w:r>
      <w:r>
        <w:rPr>
          <w:rFonts w:ascii="Arial" w:cs="Arial" w:eastAsia="Arial" w:hAnsi="Arial"/>
          <w:sz w:val="19"/>
          <w:szCs w:val="19"/>
          <w:b w:val="1"/>
          <w:bCs w:val="1"/>
          <w:u w:val="single" w:color="auto"/>
          <w:color w:val="auto"/>
        </w:rPr>
        <w:t>Subsequent Deferral and Form of Payment Elections</w:t>
      </w:r>
    </w:p>
    <w:p>
      <w:pPr>
        <w:spacing w:after="0" w:line="239"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9"/>
          <w:szCs w:val="19"/>
          <w:color w:val="auto"/>
        </w:rPr>
        <w:t>Notwithstanding the foregoing, a Participant may elect, at least twelve months before a scheduled distribution date (or, in the case of a distribution date based on the Participant’s Separation from Service, at least twelve months before the Separation from Service), to delay the payment date for a minimum period of sixty months from the originally scheduled date of payment, provided the election does not take effect for at least twelve months from the date on which the election is made. The distribution election change must be made in accordance with procedures and rules established by the Committee. The Participant may, at the same time the date of payment is deferred, change the form of payment provided such change in the form of payment may not effect an acceleration of payment in violation of Code Section 409A or the provisions of Treasury Regulation Section</w:t>
      </w:r>
    </w:p>
    <w:p>
      <w:pPr>
        <w:spacing w:after="0" w:line="179" w:lineRule="exact"/>
        <w:rPr>
          <w:sz w:val="20"/>
          <w:szCs w:val="20"/>
          <w:color w:val="auto"/>
        </w:rPr>
      </w:pPr>
    </w:p>
    <w:p>
      <w:pPr>
        <w:ind w:left="8440"/>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420"/>
          </w:cols>
          <w:pgMar w:left="240" w:top="631" w:right="239" w:bottom="1440" w:gutter="0" w:footer="0" w:header="0"/>
        </w:sectPr>
      </w:pPr>
    </w:p>
    <w:bookmarkStart w:id="66" w:name="page67"/>
    <w:bookmarkEnd w:id="66"/>
    <w:p>
      <w:pPr>
        <w:jc w:val="both"/>
        <w:spacing w:after="0" w:line="263" w:lineRule="auto"/>
        <w:rPr>
          <w:sz w:val="20"/>
          <w:szCs w:val="20"/>
          <w:color w:val="auto"/>
        </w:rPr>
      </w:pPr>
      <w:r>
        <w:rPr>
          <w:rFonts w:ascii="Arial" w:cs="Arial" w:eastAsia="Arial" w:hAnsi="Arial"/>
          <w:sz w:val="22"/>
          <w:szCs w:val="22"/>
          <w:color w:val="auto"/>
        </w:rPr>
        <w:t>1.409A-2(b). For purposes of this Section 5.7, a series of substantially equal annual installments is always treated as a single payment and not as a series of separate payments.</w:t>
      </w:r>
    </w:p>
    <w:p>
      <w:pPr>
        <w:spacing w:after="0" w:line="169" w:lineRule="exact"/>
        <w:rPr>
          <w:sz w:val="20"/>
          <w:szCs w:val="20"/>
          <w:color w:val="auto"/>
        </w:rPr>
      </w:pPr>
    </w:p>
    <w:p>
      <w:pPr>
        <w:jc w:val="center"/>
        <w:ind w:left="660"/>
        <w:spacing w:after="0"/>
        <w:rPr>
          <w:sz w:val="20"/>
          <w:szCs w:val="20"/>
          <w:color w:val="auto"/>
        </w:rPr>
      </w:pPr>
      <w:r>
        <w:rPr>
          <w:rFonts w:ascii="Arial" w:cs="Arial" w:eastAsia="Arial" w:hAnsi="Arial"/>
          <w:sz w:val="22"/>
          <w:szCs w:val="22"/>
          <w:b w:val="1"/>
          <w:bCs w:val="1"/>
          <w:color w:val="auto"/>
        </w:rPr>
        <w:t>SECTION 6</w:t>
      </w:r>
    </w:p>
    <w:p>
      <w:pPr>
        <w:spacing w:after="0" w:line="28" w:lineRule="exact"/>
        <w:rPr>
          <w:sz w:val="20"/>
          <w:szCs w:val="20"/>
          <w:color w:val="auto"/>
        </w:rPr>
      </w:pPr>
    </w:p>
    <w:p>
      <w:pPr>
        <w:jc w:val="center"/>
        <w:ind w:left="660"/>
        <w:spacing w:after="0"/>
        <w:rPr>
          <w:sz w:val="20"/>
          <w:szCs w:val="20"/>
          <w:color w:val="auto"/>
        </w:rPr>
      </w:pPr>
      <w:r>
        <w:rPr>
          <w:rFonts w:ascii="Arial" w:cs="Arial" w:eastAsia="Arial" w:hAnsi="Arial"/>
          <w:sz w:val="22"/>
          <w:szCs w:val="22"/>
          <w:b w:val="1"/>
          <w:bCs w:val="1"/>
          <w:color w:val="auto"/>
        </w:rPr>
        <w:t>ACCRUALS UNDER OTHER BENEFIT PLANS</w:t>
      </w:r>
    </w:p>
    <w:p>
      <w:pPr>
        <w:spacing w:after="0" w:line="202"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Amounts deferred or credited under the Plan shall not be taken into account in calculating benefits or contributions under any pension benefit plan maintained by the Employer, including, but not limited to, any pension plan or retirement plan (qualified under Section 401(a) of the Code), except to the extent specifically provided in any such plan. Amounts deferred by a Participant under the Plan shall be taken into account in determining credits or accruals under Sections 4.2, 4.3 and 4.4.</w:t>
      </w:r>
    </w:p>
    <w:p>
      <w:pPr>
        <w:spacing w:after="0" w:line="137" w:lineRule="exact"/>
        <w:rPr>
          <w:sz w:val="20"/>
          <w:szCs w:val="20"/>
          <w:color w:val="auto"/>
        </w:rPr>
      </w:pPr>
    </w:p>
    <w:p>
      <w:pPr>
        <w:jc w:val="center"/>
        <w:ind w:left="660"/>
        <w:spacing w:after="0"/>
        <w:rPr>
          <w:sz w:val="20"/>
          <w:szCs w:val="20"/>
          <w:color w:val="auto"/>
        </w:rPr>
      </w:pPr>
      <w:r>
        <w:rPr>
          <w:rFonts w:ascii="Arial" w:cs="Arial" w:eastAsia="Arial" w:hAnsi="Arial"/>
          <w:sz w:val="22"/>
          <w:szCs w:val="22"/>
          <w:b w:val="1"/>
          <w:bCs w:val="1"/>
          <w:color w:val="auto"/>
        </w:rPr>
        <w:t>SECTION 7</w:t>
      </w:r>
    </w:p>
    <w:p>
      <w:pPr>
        <w:spacing w:after="0" w:line="28" w:lineRule="exact"/>
        <w:rPr>
          <w:sz w:val="20"/>
          <w:szCs w:val="20"/>
          <w:color w:val="auto"/>
        </w:rPr>
      </w:pPr>
    </w:p>
    <w:p>
      <w:pPr>
        <w:jc w:val="center"/>
        <w:ind w:left="660"/>
        <w:spacing w:after="0"/>
        <w:rPr>
          <w:sz w:val="20"/>
          <w:szCs w:val="20"/>
          <w:color w:val="auto"/>
        </w:rPr>
      </w:pPr>
      <w:r>
        <w:rPr>
          <w:rFonts w:ascii="Arial" w:cs="Arial" w:eastAsia="Arial" w:hAnsi="Arial"/>
          <w:sz w:val="22"/>
          <w:szCs w:val="22"/>
          <w:b w:val="1"/>
          <w:bCs w:val="1"/>
          <w:color w:val="auto"/>
        </w:rPr>
        <w:t>PARTICIPANT’S RIGHTS</w:t>
      </w:r>
    </w:p>
    <w:p>
      <w:pPr>
        <w:spacing w:after="0" w:line="20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color w:val="auto"/>
        </w:rPr>
        <w:t>Establishment of the Plan shall not be construed as giving any Participant the right to be retained in the Employer’s service or employ or the right to receive any benefits not specifically provided by the Plan. A Participant shall not have any interest in amounts deferred, Employer allocations or Adjustments credited to his or her Account until such Account is distributed in accordance with the Plan. All deferrals and all amounts held for the Account of a Participant under the Plan shall remain the sole property of the Employer, subject to the claims of its general creditors and available for its use for whatever purposes desired. With respect to amounts deferred or otherwise held for the Account of a Participant, the Participant is merely a general creditor of the Employer. The obligation of the Employer hereunder is purely contractual and shall not be deemed to be or considered funded or secured in any way.</w:t>
      </w:r>
    </w:p>
    <w:p>
      <w:pPr>
        <w:spacing w:after="0" w:line="178" w:lineRule="exact"/>
        <w:rPr>
          <w:sz w:val="20"/>
          <w:szCs w:val="20"/>
          <w:color w:val="auto"/>
        </w:rPr>
      </w:pPr>
    </w:p>
    <w:p>
      <w:pPr>
        <w:jc w:val="center"/>
        <w:ind w:left="660"/>
        <w:spacing w:after="0"/>
        <w:rPr>
          <w:sz w:val="20"/>
          <w:szCs w:val="20"/>
          <w:color w:val="auto"/>
        </w:rPr>
      </w:pPr>
      <w:r>
        <w:rPr>
          <w:rFonts w:ascii="Arial" w:cs="Arial" w:eastAsia="Arial" w:hAnsi="Arial"/>
          <w:sz w:val="22"/>
          <w:szCs w:val="22"/>
          <w:b w:val="1"/>
          <w:bCs w:val="1"/>
          <w:color w:val="auto"/>
        </w:rPr>
        <w:t>SECTION 8</w:t>
      </w:r>
    </w:p>
    <w:p>
      <w:pPr>
        <w:spacing w:after="0" w:line="28" w:lineRule="exact"/>
        <w:rPr>
          <w:sz w:val="20"/>
          <w:szCs w:val="20"/>
          <w:color w:val="auto"/>
        </w:rPr>
      </w:pPr>
    </w:p>
    <w:p>
      <w:pPr>
        <w:jc w:val="center"/>
        <w:ind w:left="660"/>
        <w:spacing w:after="0"/>
        <w:rPr>
          <w:sz w:val="20"/>
          <w:szCs w:val="20"/>
          <w:color w:val="auto"/>
        </w:rPr>
      </w:pPr>
      <w:r>
        <w:rPr>
          <w:rFonts w:ascii="Arial" w:cs="Arial" w:eastAsia="Arial" w:hAnsi="Arial"/>
          <w:sz w:val="22"/>
          <w:szCs w:val="22"/>
          <w:b w:val="1"/>
          <w:bCs w:val="1"/>
          <w:color w:val="auto"/>
        </w:rPr>
        <w:t>NON-ALIENABILITY AND NON-TRANSFERABILITY</w:t>
      </w:r>
    </w:p>
    <w:p>
      <w:pPr>
        <w:spacing w:after="0" w:line="202"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Except to the extent required by law or as provided in Section 12.8, the rights of a Participant to distributions as provided in the Plan shall not be assigned, transferred, pledged or encumbered or be subject in any manner to alienation or anticipation unless required under applicable law. No Participant may borrow against his or her Account. No Account shall be subject in any manner to anticipation, alienation, sale, transfer, assignment, pledge, encumbrance, charge, garnishment, execution or levy of any kind, whether voluntary or involuntary, including, but not limited to, any liability that is for alimony or other payments for the support of a spouse or former spouse, or for any other relative of any Participant, unless specifically required by applicable law.</w:t>
      </w:r>
    </w:p>
    <w:p>
      <w:pPr>
        <w:spacing w:after="0" w:line="144" w:lineRule="exact"/>
        <w:rPr>
          <w:sz w:val="20"/>
          <w:szCs w:val="20"/>
          <w:color w:val="auto"/>
        </w:rPr>
      </w:pPr>
    </w:p>
    <w:p>
      <w:pPr>
        <w:jc w:val="center"/>
        <w:ind w:left="660"/>
        <w:spacing w:after="0"/>
        <w:rPr>
          <w:sz w:val="20"/>
          <w:szCs w:val="20"/>
          <w:color w:val="auto"/>
        </w:rPr>
      </w:pPr>
      <w:r>
        <w:rPr>
          <w:rFonts w:ascii="Arial" w:cs="Arial" w:eastAsia="Arial" w:hAnsi="Arial"/>
          <w:sz w:val="22"/>
          <w:szCs w:val="22"/>
          <w:b w:val="1"/>
          <w:bCs w:val="1"/>
          <w:color w:val="auto"/>
        </w:rPr>
        <w:t>SECTION 9</w:t>
      </w:r>
    </w:p>
    <w:p>
      <w:pPr>
        <w:spacing w:after="0" w:line="28" w:lineRule="exact"/>
        <w:rPr>
          <w:sz w:val="20"/>
          <w:szCs w:val="20"/>
          <w:color w:val="auto"/>
        </w:rPr>
      </w:pPr>
    </w:p>
    <w:p>
      <w:pPr>
        <w:jc w:val="center"/>
        <w:ind w:left="660"/>
        <w:spacing w:after="0"/>
        <w:rPr>
          <w:sz w:val="20"/>
          <w:szCs w:val="20"/>
          <w:color w:val="auto"/>
        </w:rPr>
      </w:pPr>
      <w:r>
        <w:rPr>
          <w:rFonts w:ascii="Arial" w:cs="Arial" w:eastAsia="Arial" w:hAnsi="Arial"/>
          <w:sz w:val="22"/>
          <w:szCs w:val="22"/>
          <w:b w:val="1"/>
          <w:bCs w:val="1"/>
          <w:color w:val="auto"/>
        </w:rPr>
        <w:t>ADMINISTRATION AND STANDARD OF REVIEW</w:t>
      </w:r>
    </w:p>
    <w:p>
      <w:pPr>
        <w:spacing w:after="0" w:line="202"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The Plan shall be administered by the Benefits Administrative Committee. The Benefits Administrative Committee shall have authority to adopt rules and regulations for carrying out the Plan and, in its sole and absolute discretion, to interpret, construe and implement the provisions hereof. Subject to the provisions of Section 10 below, any decision or interpretation of any provision</w:t>
      </w:r>
    </w:p>
    <w:p>
      <w:pPr>
        <w:spacing w:after="0" w:line="161" w:lineRule="exact"/>
        <w:rPr>
          <w:sz w:val="20"/>
          <w:szCs w:val="20"/>
          <w:color w:val="auto"/>
        </w:rPr>
      </w:pPr>
    </w:p>
    <w:p>
      <w:pPr>
        <w:ind w:left="8440"/>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1420"/>
          </w:cols>
          <w:pgMar w:left="240" w:top="631" w:right="239" w:bottom="1440" w:gutter="0" w:footer="0" w:header="0"/>
        </w:sectPr>
      </w:pPr>
    </w:p>
    <w:bookmarkStart w:id="67" w:name="page68"/>
    <w:bookmarkEnd w:id="67"/>
    <w:p>
      <w:pPr>
        <w:jc w:val="both"/>
        <w:spacing w:after="0" w:line="263" w:lineRule="auto"/>
        <w:rPr>
          <w:sz w:val="20"/>
          <w:szCs w:val="20"/>
          <w:color w:val="auto"/>
        </w:rPr>
      </w:pPr>
      <w:r>
        <w:rPr>
          <w:rFonts w:ascii="Arial" w:cs="Arial" w:eastAsia="Arial" w:hAnsi="Arial"/>
          <w:sz w:val="21"/>
          <w:szCs w:val="21"/>
          <w:color w:val="auto"/>
        </w:rPr>
        <w:t>of the Plan adopted by the Benefits Administrative Committee shall be final and conclusive. The acts and decisions of the Benefits Administrative Committee shall not be overturned and shall be binding on all individuals and parties unless such acts and decisions are ruled by a court of competent jurisdiction to be arbitrary and capricious. A Participant who is also a member of the Benefits Administrative Committee shall not participate in any decision involving any request made by him or her or relating in any way solely to his or her rights, duties and obligations as a Participant under the Plan.</w:t>
      </w:r>
    </w:p>
    <w:p>
      <w:pPr>
        <w:spacing w:after="0" w:line="170" w:lineRule="exact"/>
        <w:rPr>
          <w:sz w:val="20"/>
          <w:szCs w:val="20"/>
          <w:color w:val="auto"/>
        </w:rPr>
      </w:pPr>
    </w:p>
    <w:p>
      <w:pPr>
        <w:jc w:val="center"/>
        <w:ind w:left="660"/>
        <w:spacing w:after="0"/>
        <w:rPr>
          <w:sz w:val="20"/>
          <w:szCs w:val="20"/>
          <w:color w:val="auto"/>
        </w:rPr>
      </w:pPr>
      <w:r>
        <w:rPr>
          <w:rFonts w:ascii="Arial" w:cs="Arial" w:eastAsia="Arial" w:hAnsi="Arial"/>
          <w:sz w:val="22"/>
          <w:szCs w:val="22"/>
          <w:b w:val="1"/>
          <w:bCs w:val="1"/>
          <w:color w:val="auto"/>
        </w:rPr>
        <w:t>SECTION 10</w:t>
      </w:r>
    </w:p>
    <w:p>
      <w:pPr>
        <w:spacing w:after="0" w:line="28" w:lineRule="exact"/>
        <w:rPr>
          <w:sz w:val="20"/>
          <w:szCs w:val="20"/>
          <w:color w:val="auto"/>
        </w:rPr>
      </w:pPr>
    </w:p>
    <w:p>
      <w:pPr>
        <w:jc w:val="center"/>
        <w:ind w:left="660"/>
        <w:spacing w:after="0"/>
        <w:rPr>
          <w:sz w:val="20"/>
          <w:szCs w:val="20"/>
          <w:color w:val="auto"/>
        </w:rPr>
      </w:pPr>
      <w:r>
        <w:rPr>
          <w:rFonts w:ascii="Arial" w:cs="Arial" w:eastAsia="Arial" w:hAnsi="Arial"/>
          <w:sz w:val="22"/>
          <w:szCs w:val="22"/>
          <w:b w:val="1"/>
          <w:bCs w:val="1"/>
          <w:color w:val="auto"/>
        </w:rPr>
        <w:t>CLAIMS PROCEDURE</w:t>
      </w:r>
    </w:p>
    <w:p>
      <w:pPr>
        <w:spacing w:after="0" w:line="196" w:lineRule="exact"/>
        <w:rPr>
          <w:sz w:val="20"/>
          <w:szCs w:val="20"/>
          <w:color w:val="auto"/>
        </w:rPr>
      </w:pPr>
    </w:p>
    <w:p>
      <w:pPr>
        <w:spacing w:after="0"/>
        <w:tabs>
          <w:tab w:leader="none" w:pos="600" w:val="left"/>
        </w:tabs>
        <w:rPr>
          <w:sz w:val="20"/>
          <w:szCs w:val="20"/>
          <w:color w:val="auto"/>
        </w:rPr>
      </w:pPr>
      <w:r>
        <w:rPr>
          <w:rFonts w:ascii="Arial" w:cs="Arial" w:eastAsia="Arial" w:hAnsi="Arial"/>
          <w:sz w:val="22"/>
          <w:szCs w:val="22"/>
          <w:b w:val="1"/>
          <w:bCs w:val="1"/>
          <w:color w:val="auto"/>
        </w:rPr>
        <w:t>10.1.</w:t>
      </w:r>
      <w:r>
        <w:rPr>
          <w:sz w:val="20"/>
          <w:szCs w:val="20"/>
          <w:color w:val="auto"/>
        </w:rPr>
        <w:tab/>
      </w:r>
      <w:r>
        <w:rPr>
          <w:rFonts w:ascii="Arial" w:cs="Arial" w:eastAsia="Arial" w:hAnsi="Arial"/>
          <w:sz w:val="19"/>
          <w:szCs w:val="19"/>
          <w:b w:val="1"/>
          <w:bCs w:val="1"/>
          <w:u w:val="single" w:color="auto"/>
          <w:color w:val="auto"/>
        </w:rPr>
        <w:t>Filing Claims</w:t>
      </w:r>
    </w:p>
    <w:p>
      <w:pPr>
        <w:spacing w:after="0" w:line="23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Any Participant or Beneficiary entitled to benefits under the Plan may file a claim for benefits with the Benefits Administrative Committee (or its designee).</w:t>
      </w:r>
    </w:p>
    <w:p>
      <w:pPr>
        <w:spacing w:after="0" w:line="169" w:lineRule="exact"/>
        <w:rPr>
          <w:sz w:val="20"/>
          <w:szCs w:val="20"/>
          <w:color w:val="auto"/>
        </w:rPr>
      </w:pPr>
    </w:p>
    <w:p>
      <w:pPr>
        <w:spacing w:after="0"/>
        <w:tabs>
          <w:tab w:leader="none" w:pos="600" w:val="left"/>
        </w:tabs>
        <w:rPr>
          <w:sz w:val="20"/>
          <w:szCs w:val="20"/>
          <w:color w:val="auto"/>
        </w:rPr>
      </w:pPr>
      <w:r>
        <w:rPr>
          <w:rFonts w:ascii="Arial" w:cs="Arial" w:eastAsia="Arial" w:hAnsi="Arial"/>
          <w:sz w:val="22"/>
          <w:szCs w:val="22"/>
          <w:b w:val="1"/>
          <w:bCs w:val="1"/>
          <w:color w:val="auto"/>
        </w:rPr>
        <w:t>10.2.</w:t>
      </w:r>
      <w:r>
        <w:rPr>
          <w:sz w:val="20"/>
          <w:szCs w:val="20"/>
          <w:color w:val="auto"/>
        </w:rPr>
        <w:tab/>
      </w:r>
      <w:r>
        <w:rPr>
          <w:rFonts w:ascii="Arial" w:cs="Arial" w:eastAsia="Arial" w:hAnsi="Arial"/>
          <w:sz w:val="19"/>
          <w:szCs w:val="19"/>
          <w:b w:val="1"/>
          <w:bCs w:val="1"/>
          <w:u w:val="single" w:color="auto"/>
          <w:color w:val="auto"/>
        </w:rPr>
        <w:t>Notification to Claimant</w:t>
      </w:r>
    </w:p>
    <w:p>
      <w:pPr>
        <w:spacing w:after="0" w:line="239" w:lineRule="exact"/>
        <w:rPr>
          <w:sz w:val="20"/>
          <w:szCs w:val="20"/>
          <w:color w:val="auto"/>
        </w:rPr>
      </w:pPr>
    </w:p>
    <w:p>
      <w:pPr>
        <w:jc w:val="both"/>
        <w:ind w:firstLine="648"/>
        <w:spacing w:after="0" w:line="261" w:lineRule="exact"/>
        <w:rPr>
          <w:sz w:val="20"/>
          <w:szCs w:val="20"/>
          <w:color w:val="auto"/>
        </w:rPr>
      </w:pPr>
      <w:r>
        <w:rPr>
          <w:rFonts w:ascii="Arial" w:cs="Arial" w:eastAsia="Arial" w:hAnsi="Arial"/>
          <w:sz w:val="22"/>
          <w:szCs w:val="22"/>
          <w:color w:val="auto"/>
        </w:rPr>
        <w:t>If a claim is wholly or partially denied, the Benefits Administrative Committee (or its designee) will furnish written or electronic (in accordance with Department of Labor Regulations Section 2520.104b</w:t>
      </w:r>
      <w:r>
        <w:rPr>
          <w:rFonts w:ascii="MS PGothic" w:cs="MS PGothic" w:eastAsia="MS PGothic" w:hAnsi="MS PGothic"/>
          <w:sz w:val="22"/>
          <w:szCs w:val="22"/>
          <w:color w:val="auto"/>
        </w:rPr>
        <w:t>‑</w:t>
      </w:r>
      <w:r>
        <w:rPr>
          <w:rFonts w:ascii="Arial" w:cs="Arial" w:eastAsia="Arial" w:hAnsi="Arial"/>
          <w:sz w:val="22"/>
          <w:szCs w:val="22"/>
          <w:color w:val="auto"/>
        </w:rPr>
        <w:t>1(c)) notification of the decision to the claimant within 90 days of receipt of the claim in a manner calculated to be understood by the claimant. Such notification shall contain the following information:</w:t>
      </w:r>
    </w:p>
    <w:p>
      <w:pPr>
        <w:spacing w:after="0" w:line="201" w:lineRule="exact"/>
        <w:rPr>
          <w:sz w:val="20"/>
          <w:szCs w:val="20"/>
          <w:color w:val="auto"/>
        </w:rPr>
      </w:pPr>
    </w:p>
    <w:p>
      <w:pPr>
        <w:ind w:left="1080" w:hanging="424"/>
        <w:spacing w:after="0"/>
        <w:tabs>
          <w:tab w:leader="none" w:pos="1080" w:val="left"/>
        </w:tabs>
        <w:numPr>
          <w:ilvl w:val="0"/>
          <w:numId w:val="32"/>
        </w:numPr>
        <w:rPr>
          <w:rFonts w:ascii="Arial" w:cs="Arial" w:eastAsia="Arial" w:hAnsi="Arial"/>
          <w:sz w:val="22"/>
          <w:szCs w:val="22"/>
          <w:color w:val="auto"/>
        </w:rPr>
      </w:pPr>
      <w:r>
        <w:rPr>
          <w:rFonts w:ascii="Arial" w:cs="Arial" w:eastAsia="Arial" w:hAnsi="Arial"/>
          <w:sz w:val="22"/>
          <w:szCs w:val="22"/>
          <w:color w:val="auto"/>
        </w:rPr>
        <w:t>the specific reason or reasons for the denial;</w:t>
      </w:r>
    </w:p>
    <w:p>
      <w:pPr>
        <w:spacing w:after="0" w:line="233" w:lineRule="exact"/>
        <w:rPr>
          <w:rFonts w:ascii="Arial" w:cs="Arial" w:eastAsia="Arial" w:hAnsi="Arial"/>
          <w:sz w:val="22"/>
          <w:szCs w:val="22"/>
          <w:color w:val="auto"/>
        </w:rPr>
      </w:pPr>
    </w:p>
    <w:p>
      <w:pPr>
        <w:ind w:left="1080" w:hanging="424"/>
        <w:spacing w:after="0"/>
        <w:tabs>
          <w:tab w:leader="none" w:pos="1080" w:val="left"/>
        </w:tabs>
        <w:numPr>
          <w:ilvl w:val="0"/>
          <w:numId w:val="32"/>
        </w:numPr>
        <w:rPr>
          <w:rFonts w:ascii="Arial" w:cs="Arial" w:eastAsia="Arial" w:hAnsi="Arial"/>
          <w:sz w:val="22"/>
          <w:szCs w:val="22"/>
          <w:color w:val="auto"/>
        </w:rPr>
      </w:pPr>
      <w:r>
        <w:rPr>
          <w:rFonts w:ascii="Arial" w:cs="Arial" w:eastAsia="Arial" w:hAnsi="Arial"/>
          <w:sz w:val="22"/>
          <w:szCs w:val="22"/>
          <w:color w:val="auto"/>
        </w:rPr>
        <w:t>specific reference to pertinent Plan provisions upon which the denial is based;</w:t>
      </w:r>
    </w:p>
    <w:p>
      <w:pPr>
        <w:spacing w:after="0" w:line="233" w:lineRule="exact"/>
        <w:rPr>
          <w:rFonts w:ascii="Arial" w:cs="Arial" w:eastAsia="Arial" w:hAnsi="Arial"/>
          <w:sz w:val="22"/>
          <w:szCs w:val="22"/>
          <w:color w:val="auto"/>
        </w:rPr>
      </w:pPr>
    </w:p>
    <w:p>
      <w:pPr>
        <w:ind w:firstLine="656"/>
        <w:spacing w:after="0" w:line="276" w:lineRule="auto"/>
        <w:tabs>
          <w:tab w:leader="none" w:pos="1244" w:val="left"/>
        </w:tabs>
        <w:numPr>
          <w:ilvl w:val="0"/>
          <w:numId w:val="32"/>
        </w:numPr>
        <w:rPr>
          <w:rFonts w:ascii="Arial" w:cs="Arial" w:eastAsia="Arial" w:hAnsi="Arial"/>
          <w:sz w:val="22"/>
          <w:szCs w:val="22"/>
          <w:color w:val="auto"/>
        </w:rPr>
      </w:pPr>
      <w:r>
        <w:rPr>
          <w:rFonts w:ascii="Arial" w:cs="Arial" w:eastAsia="Arial" w:hAnsi="Arial"/>
          <w:sz w:val="22"/>
          <w:szCs w:val="22"/>
          <w:color w:val="auto"/>
        </w:rPr>
        <w:t>a description of any additional material or information necessary for the claimant to perfect the claim and an explanation of why such material or information is necessary; and</w:t>
      </w:r>
    </w:p>
    <w:p>
      <w:pPr>
        <w:spacing w:after="0" w:line="160" w:lineRule="exact"/>
        <w:rPr>
          <w:rFonts w:ascii="Arial" w:cs="Arial" w:eastAsia="Arial" w:hAnsi="Arial"/>
          <w:sz w:val="22"/>
          <w:szCs w:val="22"/>
          <w:color w:val="auto"/>
        </w:rPr>
      </w:pPr>
    </w:p>
    <w:p>
      <w:pPr>
        <w:jc w:val="both"/>
        <w:ind w:firstLine="656"/>
        <w:spacing w:after="0" w:line="260" w:lineRule="auto"/>
        <w:tabs>
          <w:tab w:leader="none" w:pos="1107" w:val="left"/>
        </w:tabs>
        <w:numPr>
          <w:ilvl w:val="0"/>
          <w:numId w:val="32"/>
        </w:numPr>
        <w:rPr>
          <w:rFonts w:ascii="Arial" w:cs="Arial" w:eastAsia="Arial" w:hAnsi="Arial"/>
          <w:sz w:val="22"/>
          <w:szCs w:val="22"/>
          <w:color w:val="auto"/>
        </w:rPr>
      </w:pPr>
      <w:r>
        <w:rPr>
          <w:rFonts w:ascii="Arial" w:cs="Arial" w:eastAsia="Arial" w:hAnsi="Arial"/>
          <w:sz w:val="22"/>
          <w:szCs w:val="22"/>
          <w:color w:val="auto"/>
        </w:rPr>
        <w:t>a description of the Plan’s claims review procedures describing the steps to be taken and the applicable time limits to submit claims for review, including a statement of the claimant’s right to bring a civil action under ERISA section 502(a) following an adverse benefit determination on review.</w:t>
      </w:r>
    </w:p>
    <w:p>
      <w:pPr>
        <w:spacing w:after="0" w:line="177" w:lineRule="exact"/>
        <w:rPr>
          <w:sz w:val="20"/>
          <w:szCs w:val="20"/>
          <w:color w:val="auto"/>
        </w:rPr>
      </w:pPr>
    </w:p>
    <w:p>
      <w:pPr>
        <w:jc w:val="both"/>
        <w:ind w:firstLine="648"/>
        <w:spacing w:after="0" w:line="260" w:lineRule="exact"/>
        <w:rPr>
          <w:sz w:val="20"/>
          <w:szCs w:val="20"/>
          <w:color w:val="auto"/>
        </w:rPr>
      </w:pPr>
      <w:r>
        <w:rPr>
          <w:rFonts w:ascii="Arial" w:cs="Arial" w:eastAsia="Arial" w:hAnsi="Arial"/>
          <w:sz w:val="22"/>
          <w:szCs w:val="22"/>
          <w:color w:val="auto"/>
        </w:rPr>
        <w:t>If special circumstances require an extension of time for the Benefits Administrative Committee (or its designee) to process the claim, the 90</w:t>
      </w:r>
      <w:r>
        <w:rPr>
          <w:rFonts w:ascii="MS PGothic" w:cs="MS PGothic" w:eastAsia="MS PGothic" w:hAnsi="MS PGothic"/>
          <w:sz w:val="22"/>
          <w:szCs w:val="22"/>
          <w:color w:val="auto"/>
        </w:rPr>
        <w:t>‑</w:t>
      </w:r>
      <w:r>
        <w:rPr>
          <w:rFonts w:ascii="Arial" w:cs="Arial" w:eastAsia="Arial" w:hAnsi="Arial"/>
          <w:sz w:val="22"/>
          <w:szCs w:val="22"/>
          <w:color w:val="auto"/>
        </w:rPr>
        <w:t>day period may be extended for an additional 90 days. Prior to the termination of the initial 90</w:t>
      </w:r>
      <w:r>
        <w:rPr>
          <w:rFonts w:ascii="MS PGothic" w:cs="MS PGothic" w:eastAsia="MS PGothic" w:hAnsi="MS PGothic"/>
          <w:sz w:val="22"/>
          <w:szCs w:val="22"/>
          <w:color w:val="auto"/>
        </w:rPr>
        <w:t>‑</w:t>
      </w:r>
      <w:r>
        <w:rPr>
          <w:rFonts w:ascii="Arial" w:cs="Arial" w:eastAsia="Arial" w:hAnsi="Arial"/>
          <w:sz w:val="22"/>
          <w:szCs w:val="22"/>
          <w:color w:val="auto"/>
        </w:rPr>
        <w:t>day period, the claimant shall be furnished with a written or electronic notice setting forth the reason for the extension. The notice shall indicate the special circumstances requiring an extension of time and the date by which the Benefits Administrative Committee (or its designee) expects to render the benefit determination.</w:t>
      </w:r>
    </w:p>
    <w:p>
      <w:pPr>
        <w:spacing w:after="0" w:line="197" w:lineRule="exact"/>
        <w:rPr>
          <w:sz w:val="20"/>
          <w:szCs w:val="20"/>
          <w:color w:val="auto"/>
        </w:rPr>
      </w:pPr>
    </w:p>
    <w:p>
      <w:pPr>
        <w:spacing w:after="0"/>
        <w:tabs>
          <w:tab w:leader="none" w:pos="600" w:val="left"/>
        </w:tabs>
        <w:rPr>
          <w:sz w:val="20"/>
          <w:szCs w:val="20"/>
          <w:color w:val="auto"/>
        </w:rPr>
      </w:pPr>
      <w:r>
        <w:rPr>
          <w:rFonts w:ascii="Arial" w:cs="Arial" w:eastAsia="Arial" w:hAnsi="Arial"/>
          <w:sz w:val="22"/>
          <w:szCs w:val="22"/>
          <w:b w:val="1"/>
          <w:bCs w:val="1"/>
          <w:color w:val="auto"/>
        </w:rPr>
        <w:t>10.3.</w:t>
      </w:r>
      <w:r>
        <w:rPr>
          <w:sz w:val="20"/>
          <w:szCs w:val="20"/>
          <w:color w:val="auto"/>
        </w:rPr>
        <w:tab/>
      </w:r>
      <w:r>
        <w:rPr>
          <w:rFonts w:ascii="Arial" w:cs="Arial" w:eastAsia="Arial" w:hAnsi="Arial"/>
          <w:sz w:val="19"/>
          <w:szCs w:val="19"/>
          <w:b w:val="1"/>
          <w:bCs w:val="1"/>
          <w:u w:val="single" w:color="auto"/>
          <w:color w:val="auto"/>
        </w:rPr>
        <w:t>Review Procedure</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 claimant or his or her authorized representative may, with respect to any denied claim:</w:t>
      </w:r>
    </w:p>
    <w:p>
      <w:pPr>
        <w:spacing w:after="0" w:line="200" w:lineRule="exact"/>
        <w:rPr>
          <w:sz w:val="20"/>
          <w:szCs w:val="20"/>
          <w:color w:val="auto"/>
        </w:rPr>
      </w:pPr>
    </w:p>
    <w:p>
      <w:pPr>
        <w:spacing w:after="0" w:line="263" w:lineRule="exact"/>
        <w:rPr>
          <w:sz w:val="20"/>
          <w:szCs w:val="20"/>
          <w:color w:val="auto"/>
        </w:rPr>
      </w:pPr>
    </w:p>
    <w:p>
      <w:pPr>
        <w:ind w:left="8440"/>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11420"/>
          </w:cols>
          <w:pgMar w:left="240" w:top="631" w:right="239" w:bottom="1440" w:gutter="0" w:footer="0" w:header="0"/>
        </w:sectPr>
      </w:pPr>
    </w:p>
    <w:bookmarkStart w:id="68" w:name="page69"/>
    <w:bookmarkEnd w:id="68"/>
    <w:p>
      <w:pPr>
        <w:ind w:firstLine="656"/>
        <w:spacing w:after="0" w:line="276" w:lineRule="auto"/>
        <w:tabs>
          <w:tab w:leader="none" w:pos="1082" w:val="left"/>
        </w:tabs>
        <w:numPr>
          <w:ilvl w:val="0"/>
          <w:numId w:val="33"/>
        </w:numPr>
        <w:rPr>
          <w:rFonts w:ascii="Arial" w:cs="Arial" w:eastAsia="Arial" w:hAnsi="Arial"/>
          <w:sz w:val="22"/>
          <w:szCs w:val="22"/>
          <w:color w:val="auto"/>
        </w:rPr>
      </w:pPr>
      <w:r>
        <w:rPr>
          <w:rFonts w:ascii="Arial" w:cs="Arial" w:eastAsia="Arial" w:hAnsi="Arial"/>
          <w:sz w:val="22"/>
          <w:szCs w:val="22"/>
          <w:color w:val="auto"/>
        </w:rPr>
        <w:t>request a full and fair review upon a written application filed within 60 days after receipt by the claimant of written or electronic notification of the denial of his or her claim;</w:t>
      </w:r>
    </w:p>
    <w:p>
      <w:pPr>
        <w:spacing w:after="0" w:line="160" w:lineRule="exact"/>
        <w:rPr>
          <w:rFonts w:ascii="Arial" w:cs="Arial" w:eastAsia="Arial" w:hAnsi="Arial"/>
          <w:sz w:val="22"/>
          <w:szCs w:val="22"/>
          <w:color w:val="auto"/>
        </w:rPr>
      </w:pPr>
    </w:p>
    <w:p>
      <w:pPr>
        <w:ind w:left="1080" w:hanging="424"/>
        <w:spacing w:after="0"/>
        <w:tabs>
          <w:tab w:leader="none" w:pos="1080" w:val="left"/>
        </w:tabs>
        <w:numPr>
          <w:ilvl w:val="0"/>
          <w:numId w:val="33"/>
        </w:numPr>
        <w:rPr>
          <w:rFonts w:ascii="Arial" w:cs="Arial" w:eastAsia="Arial" w:hAnsi="Arial"/>
          <w:sz w:val="22"/>
          <w:szCs w:val="22"/>
          <w:color w:val="auto"/>
        </w:rPr>
      </w:pPr>
      <w:r>
        <w:rPr>
          <w:rFonts w:ascii="Arial" w:cs="Arial" w:eastAsia="Arial" w:hAnsi="Arial"/>
          <w:sz w:val="22"/>
          <w:szCs w:val="22"/>
          <w:color w:val="auto"/>
        </w:rPr>
        <w:t>submit written comments, documents, records and other information relating to the claim for benefits; and</w:t>
      </w:r>
    </w:p>
    <w:p>
      <w:pPr>
        <w:spacing w:after="0" w:line="233" w:lineRule="exact"/>
        <w:rPr>
          <w:rFonts w:ascii="Arial" w:cs="Arial" w:eastAsia="Arial" w:hAnsi="Arial"/>
          <w:sz w:val="22"/>
          <w:szCs w:val="22"/>
          <w:color w:val="auto"/>
        </w:rPr>
      </w:pPr>
    </w:p>
    <w:p>
      <w:pPr>
        <w:ind w:firstLine="656"/>
        <w:spacing w:after="0" w:line="276" w:lineRule="auto"/>
        <w:tabs>
          <w:tab w:leader="none" w:pos="1149" w:val="left"/>
        </w:tabs>
        <w:numPr>
          <w:ilvl w:val="0"/>
          <w:numId w:val="33"/>
        </w:numPr>
        <w:rPr>
          <w:rFonts w:ascii="Arial" w:cs="Arial" w:eastAsia="Arial" w:hAnsi="Arial"/>
          <w:sz w:val="22"/>
          <w:szCs w:val="22"/>
          <w:color w:val="auto"/>
        </w:rPr>
      </w:pPr>
      <w:r>
        <w:rPr>
          <w:rFonts w:ascii="Arial" w:cs="Arial" w:eastAsia="Arial" w:hAnsi="Arial"/>
          <w:sz w:val="22"/>
          <w:szCs w:val="22"/>
          <w:color w:val="auto"/>
        </w:rPr>
        <w:t>upon request, and free of charge, be provided reasonable access to and copies of documents and records and other information relevant to the claim for benefits.</w:t>
      </w:r>
    </w:p>
    <w:p>
      <w:pPr>
        <w:spacing w:after="0" w:line="161"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1"/>
          <w:szCs w:val="21"/>
          <w:color w:val="auto"/>
        </w:rPr>
        <w:t>Upon receipt of a timely, written application for review, the Benefits Administrative Committee (or its designee) shall undertake a review, taking into account all comments, documents, records and information submitted by the claimant relating to the claim without regard to whether the information was submitted or considered in the initial benefit determination. If the claimant (or his or her duly authorized representative) fails to appeal the initial benefit determination to the Benefits Administrative Committee (or its designee) in writing within the prescribed period of time, then the Benefits Administrative Committee’s (or its designee’s) adverse determination shall be final, binding and conclusive.</w:t>
      </w:r>
    </w:p>
    <w:p>
      <w:pPr>
        <w:spacing w:after="0" w:line="18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Any request or submission must be in writing and directed to the Benefits Administrative Committee (or its designee). The Benefits Administrative Committee (or its designee) will have the sole responsibility for the review of any denied claim and will take all steps appropriate in the light of its findings.</w:t>
      </w:r>
    </w:p>
    <w:p>
      <w:pPr>
        <w:spacing w:after="0" w:line="180" w:lineRule="exact"/>
        <w:rPr>
          <w:sz w:val="20"/>
          <w:szCs w:val="20"/>
          <w:color w:val="auto"/>
        </w:rPr>
      </w:pPr>
    </w:p>
    <w:p>
      <w:pPr>
        <w:spacing w:after="0"/>
        <w:tabs>
          <w:tab w:leader="none" w:pos="600" w:val="left"/>
        </w:tabs>
        <w:rPr>
          <w:sz w:val="20"/>
          <w:szCs w:val="20"/>
          <w:color w:val="auto"/>
        </w:rPr>
      </w:pPr>
      <w:r>
        <w:rPr>
          <w:rFonts w:ascii="Arial" w:cs="Arial" w:eastAsia="Arial" w:hAnsi="Arial"/>
          <w:sz w:val="22"/>
          <w:szCs w:val="22"/>
          <w:b w:val="1"/>
          <w:bCs w:val="1"/>
          <w:color w:val="auto"/>
        </w:rPr>
        <w:t>10.4.</w:t>
      </w:r>
      <w:r>
        <w:rPr>
          <w:sz w:val="20"/>
          <w:szCs w:val="20"/>
          <w:color w:val="auto"/>
        </w:rPr>
        <w:tab/>
      </w:r>
      <w:r>
        <w:rPr>
          <w:rFonts w:ascii="Arial" w:cs="Arial" w:eastAsia="Arial" w:hAnsi="Arial"/>
          <w:sz w:val="18"/>
          <w:szCs w:val="18"/>
          <w:b w:val="1"/>
          <w:bCs w:val="1"/>
          <w:u w:val="single" w:color="auto"/>
          <w:color w:val="auto"/>
        </w:rPr>
        <w:t>Decision on Review</w:t>
      </w:r>
    </w:p>
    <w:p>
      <w:pPr>
        <w:spacing w:after="0" w:line="23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color w:val="auto"/>
        </w:rPr>
        <w:t>The Benefits Administrative Committee (or its designee) will render a decision upon review no later than 60 days after receipt of the request for review. If special circumstances (such as the need to hold a hearing on any matter pertaining to the denied claim) warrant additional time, the decision will be rendered as soon as possible, but not later than 120 days after receipt of the request for review. Written notice specifying the circumstances requiring an extension will be furnished to the claimant prior to the commencement of the extension. The decision on review will be in writing and will include specific reasons for the decision, written in a manner calculated to be understood by the claimant, as well as specific references to the pertinent provisions of the Plan on which the decision is based. If the decision on review is not furnished to the claimant within the time limits prescribed above, the claim will be deemed denied on review.</w:t>
      </w:r>
    </w:p>
    <w:p>
      <w:pPr>
        <w:spacing w:after="0" w:line="178" w:lineRule="exact"/>
        <w:rPr>
          <w:sz w:val="20"/>
          <w:szCs w:val="20"/>
          <w:color w:val="auto"/>
        </w:rPr>
      </w:pPr>
    </w:p>
    <w:p>
      <w:pPr>
        <w:jc w:val="center"/>
        <w:ind w:left="660"/>
        <w:spacing w:after="0"/>
        <w:rPr>
          <w:sz w:val="20"/>
          <w:szCs w:val="20"/>
          <w:color w:val="auto"/>
        </w:rPr>
      </w:pPr>
      <w:r>
        <w:rPr>
          <w:rFonts w:ascii="Arial" w:cs="Arial" w:eastAsia="Arial" w:hAnsi="Arial"/>
          <w:sz w:val="22"/>
          <w:szCs w:val="22"/>
          <w:b w:val="1"/>
          <w:bCs w:val="1"/>
          <w:color w:val="auto"/>
        </w:rPr>
        <w:t>SECTION 11</w:t>
      </w:r>
    </w:p>
    <w:p>
      <w:pPr>
        <w:spacing w:after="0" w:line="28" w:lineRule="exact"/>
        <w:rPr>
          <w:sz w:val="20"/>
          <w:szCs w:val="20"/>
          <w:color w:val="auto"/>
        </w:rPr>
      </w:pPr>
    </w:p>
    <w:p>
      <w:pPr>
        <w:jc w:val="center"/>
        <w:ind w:left="660"/>
        <w:spacing w:after="0"/>
        <w:rPr>
          <w:sz w:val="20"/>
          <w:szCs w:val="20"/>
          <w:color w:val="auto"/>
        </w:rPr>
      </w:pPr>
      <w:r>
        <w:rPr>
          <w:rFonts w:ascii="Arial" w:cs="Arial" w:eastAsia="Arial" w:hAnsi="Arial"/>
          <w:sz w:val="22"/>
          <w:szCs w:val="22"/>
          <w:b w:val="1"/>
          <w:bCs w:val="1"/>
          <w:color w:val="auto"/>
        </w:rPr>
        <w:t>AMENDMENT AND TERMINATION</w:t>
      </w:r>
    </w:p>
    <w:p>
      <w:pPr>
        <w:spacing w:after="0" w:line="202"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The Plan may, at any time and from time to time, be amended or modified by the Committee or its delegate without the consent of any Participant or Beneficiary, provided that no such amendment or modification may either accelerate the payment of the Participant’s Account or delay such payment, resulting in a subsequent deferral of compensation. The Committee or its delegate may also terminate and liquidate the Plan without the consent of the Participant or Beneficiary. Any such liquidation and termination of the Plan shall be made in accordance with the termination and liquidation requirements of and under the circumstances described under Treasury Regulation</w:t>
      </w:r>
    </w:p>
    <w:p>
      <w:pPr>
        <w:spacing w:after="0" w:line="221" w:lineRule="exact"/>
        <w:rPr>
          <w:sz w:val="20"/>
          <w:szCs w:val="20"/>
          <w:color w:val="auto"/>
        </w:rPr>
      </w:pPr>
    </w:p>
    <w:p>
      <w:pPr>
        <w:ind w:left="8440"/>
        <w:spacing w:after="0"/>
        <w:rPr>
          <w:sz w:val="20"/>
          <w:szCs w:val="20"/>
          <w:color w:val="auto"/>
        </w:rPr>
      </w:pPr>
      <w:r>
        <w:rPr>
          <w:rFonts w:ascii="Arial" w:cs="Arial" w:eastAsia="Arial" w:hAnsi="Arial"/>
          <w:sz w:val="22"/>
          <w:szCs w:val="22"/>
          <w:color w:val="auto"/>
        </w:rPr>
        <w:t>18</w:t>
      </w:r>
    </w:p>
    <w:p>
      <w:pPr>
        <w:sectPr>
          <w:pgSz w:w="11900" w:h="16838" w:orient="portrait"/>
          <w:cols w:equalWidth="0" w:num="1">
            <w:col w:w="11420"/>
          </w:cols>
          <w:pgMar w:left="240" w:top="631" w:right="239" w:bottom="1440" w:gutter="0" w:footer="0" w:header="0"/>
        </w:sectPr>
      </w:pPr>
    </w:p>
    <w:bookmarkStart w:id="69" w:name="page70"/>
    <w:bookmarkEnd w:id="69"/>
    <w:p>
      <w:pPr>
        <w:jc w:val="both"/>
        <w:spacing w:after="0" w:line="302" w:lineRule="auto"/>
        <w:rPr>
          <w:sz w:val="20"/>
          <w:szCs w:val="20"/>
          <w:color w:val="auto"/>
        </w:rPr>
      </w:pPr>
      <w:r>
        <w:rPr>
          <w:rFonts w:ascii="Arial" w:cs="Arial" w:eastAsia="Arial" w:hAnsi="Arial"/>
          <w:sz w:val="19"/>
          <w:szCs w:val="19"/>
          <w:color w:val="auto"/>
        </w:rPr>
        <w:t>Section 1.409A-3(j)(4)(ix). Any amendment or termination of the Plan will become effective as to a Participant on the date established by the Committee or its delegate. However, no amendment, modification or termination of the Plan shall, without the consent of the Participant, adversely affect such Participant’s rights with respect to amounts then credited to his or her Account. Actions may be taken by the Committee or its delegate at any time and in any manner not prohibited by law.</w:t>
      </w:r>
    </w:p>
    <w:p>
      <w:pPr>
        <w:spacing w:after="0" w:line="177" w:lineRule="exact"/>
        <w:rPr>
          <w:sz w:val="20"/>
          <w:szCs w:val="20"/>
          <w:color w:val="auto"/>
        </w:rPr>
      </w:pPr>
    </w:p>
    <w:p>
      <w:pPr>
        <w:jc w:val="center"/>
        <w:ind w:left="660"/>
        <w:spacing w:after="0"/>
        <w:rPr>
          <w:sz w:val="20"/>
          <w:szCs w:val="20"/>
          <w:color w:val="auto"/>
        </w:rPr>
      </w:pPr>
      <w:r>
        <w:rPr>
          <w:rFonts w:ascii="Arial" w:cs="Arial" w:eastAsia="Arial" w:hAnsi="Arial"/>
          <w:sz w:val="22"/>
          <w:szCs w:val="22"/>
          <w:b w:val="1"/>
          <w:bCs w:val="1"/>
          <w:color w:val="auto"/>
        </w:rPr>
        <w:t>SECTION 12</w:t>
      </w:r>
    </w:p>
    <w:p>
      <w:pPr>
        <w:spacing w:after="0" w:line="28" w:lineRule="exact"/>
        <w:rPr>
          <w:sz w:val="20"/>
          <w:szCs w:val="20"/>
          <w:color w:val="auto"/>
        </w:rPr>
      </w:pPr>
    </w:p>
    <w:p>
      <w:pPr>
        <w:jc w:val="center"/>
        <w:ind w:left="660"/>
        <w:spacing w:after="0"/>
        <w:rPr>
          <w:sz w:val="20"/>
          <w:szCs w:val="20"/>
          <w:color w:val="auto"/>
        </w:rPr>
      </w:pPr>
      <w:r>
        <w:rPr>
          <w:rFonts w:ascii="Arial" w:cs="Arial" w:eastAsia="Arial" w:hAnsi="Arial"/>
          <w:sz w:val="22"/>
          <w:szCs w:val="22"/>
          <w:b w:val="1"/>
          <w:bCs w:val="1"/>
          <w:color w:val="auto"/>
        </w:rPr>
        <w:t>GENERAL PROVISIONS</w:t>
      </w:r>
    </w:p>
    <w:p>
      <w:pPr>
        <w:spacing w:after="0" w:line="196" w:lineRule="exact"/>
        <w:rPr>
          <w:sz w:val="20"/>
          <w:szCs w:val="20"/>
          <w:color w:val="auto"/>
        </w:rPr>
      </w:pPr>
    </w:p>
    <w:p>
      <w:pPr>
        <w:spacing w:after="0"/>
        <w:tabs>
          <w:tab w:leader="none" w:pos="600" w:val="left"/>
        </w:tabs>
        <w:rPr>
          <w:sz w:val="20"/>
          <w:szCs w:val="20"/>
          <w:color w:val="auto"/>
        </w:rPr>
      </w:pPr>
      <w:r>
        <w:rPr>
          <w:rFonts w:ascii="Arial" w:cs="Arial" w:eastAsia="Arial" w:hAnsi="Arial"/>
          <w:sz w:val="22"/>
          <w:szCs w:val="22"/>
          <w:b w:val="1"/>
          <w:bCs w:val="1"/>
          <w:color w:val="auto"/>
        </w:rPr>
        <w:t>12.1.</w:t>
      </w:r>
      <w:r>
        <w:rPr>
          <w:sz w:val="20"/>
          <w:szCs w:val="20"/>
          <w:color w:val="auto"/>
        </w:rPr>
        <w:tab/>
      </w:r>
      <w:r>
        <w:rPr>
          <w:rFonts w:ascii="Arial" w:cs="Arial" w:eastAsia="Arial" w:hAnsi="Arial"/>
          <w:sz w:val="19"/>
          <w:szCs w:val="19"/>
          <w:b w:val="1"/>
          <w:bCs w:val="1"/>
          <w:u w:val="single" w:color="auto"/>
          <w:color w:val="auto"/>
        </w:rPr>
        <w:t>Controlling Law</w:t>
      </w:r>
    </w:p>
    <w:p>
      <w:pPr>
        <w:spacing w:after="0" w:line="239"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Except to the extent superseded by federal law, the laws of the State of Ohio shall be controlling in all matters relating to the Plan, including construction and performance hereof.</w:t>
      </w:r>
    </w:p>
    <w:p>
      <w:pPr>
        <w:spacing w:after="0" w:line="169" w:lineRule="exact"/>
        <w:rPr>
          <w:sz w:val="20"/>
          <w:szCs w:val="20"/>
          <w:color w:val="auto"/>
        </w:rPr>
      </w:pPr>
    </w:p>
    <w:p>
      <w:pPr>
        <w:spacing w:after="0"/>
        <w:tabs>
          <w:tab w:leader="none" w:pos="600" w:val="left"/>
        </w:tabs>
        <w:rPr>
          <w:sz w:val="20"/>
          <w:szCs w:val="20"/>
          <w:color w:val="auto"/>
        </w:rPr>
      </w:pPr>
      <w:r>
        <w:rPr>
          <w:rFonts w:ascii="Arial" w:cs="Arial" w:eastAsia="Arial" w:hAnsi="Arial"/>
          <w:sz w:val="22"/>
          <w:szCs w:val="22"/>
          <w:b w:val="1"/>
          <w:bCs w:val="1"/>
          <w:color w:val="auto"/>
        </w:rPr>
        <w:t>12.2.</w:t>
      </w:r>
      <w:r>
        <w:rPr>
          <w:sz w:val="20"/>
          <w:szCs w:val="20"/>
          <w:color w:val="auto"/>
        </w:rPr>
        <w:tab/>
      </w:r>
      <w:r>
        <w:rPr>
          <w:rFonts w:ascii="Arial" w:cs="Arial" w:eastAsia="Arial" w:hAnsi="Arial"/>
          <w:sz w:val="19"/>
          <w:szCs w:val="19"/>
          <w:b w:val="1"/>
          <w:bCs w:val="1"/>
          <w:u w:val="single" w:color="auto"/>
          <w:color w:val="auto"/>
        </w:rPr>
        <w:t>Captions</w:t>
      </w:r>
    </w:p>
    <w:p>
      <w:pPr>
        <w:spacing w:after="0" w:line="23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The captions of Sections and paragraphs of the Plan are for convenience of reference only and shall not control or affect the meaning or construction of any of its provisions.</w:t>
      </w:r>
    </w:p>
    <w:p>
      <w:pPr>
        <w:spacing w:after="0" w:line="169" w:lineRule="exact"/>
        <w:rPr>
          <w:sz w:val="20"/>
          <w:szCs w:val="20"/>
          <w:color w:val="auto"/>
        </w:rPr>
      </w:pPr>
    </w:p>
    <w:p>
      <w:pPr>
        <w:spacing w:after="0"/>
        <w:tabs>
          <w:tab w:leader="none" w:pos="600" w:val="left"/>
        </w:tabs>
        <w:rPr>
          <w:sz w:val="20"/>
          <w:szCs w:val="20"/>
          <w:color w:val="auto"/>
        </w:rPr>
      </w:pPr>
      <w:r>
        <w:rPr>
          <w:rFonts w:ascii="Arial" w:cs="Arial" w:eastAsia="Arial" w:hAnsi="Arial"/>
          <w:sz w:val="22"/>
          <w:szCs w:val="22"/>
          <w:b w:val="1"/>
          <w:bCs w:val="1"/>
          <w:color w:val="auto"/>
        </w:rPr>
        <w:t>12.3.</w:t>
      </w:r>
      <w:r>
        <w:rPr>
          <w:sz w:val="20"/>
          <w:szCs w:val="20"/>
          <w:color w:val="auto"/>
        </w:rPr>
        <w:tab/>
      </w:r>
      <w:r>
        <w:rPr>
          <w:rFonts w:ascii="Arial" w:cs="Arial" w:eastAsia="Arial" w:hAnsi="Arial"/>
          <w:sz w:val="19"/>
          <w:szCs w:val="19"/>
          <w:b w:val="1"/>
          <w:bCs w:val="1"/>
          <w:u w:val="single" w:color="auto"/>
          <w:color w:val="auto"/>
        </w:rPr>
        <w:t>Facility of Payment</w:t>
      </w:r>
    </w:p>
    <w:p>
      <w:pPr>
        <w:spacing w:after="0" w:line="239"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Any amounts payable hereunder to any person who is under legal disability or who, in the judgment of the Benefits Administrative Committee, is unable to properly manage his or her financial affairs, may be paid to the legal representative of such person or may be applied for the benefit of such person in any manner which the Benefits Administrative Committee may select. Any such payment shall be deemed to be payment for such person’s Account and shall be a complete discharge of all liability of the Employer with respect to the amount so paid.</w:t>
      </w:r>
    </w:p>
    <w:p>
      <w:pPr>
        <w:spacing w:after="0" w:line="186" w:lineRule="exact"/>
        <w:rPr>
          <w:sz w:val="20"/>
          <w:szCs w:val="20"/>
          <w:color w:val="auto"/>
        </w:rPr>
      </w:pPr>
    </w:p>
    <w:p>
      <w:pPr>
        <w:spacing w:after="0"/>
        <w:tabs>
          <w:tab w:leader="none" w:pos="600" w:val="left"/>
        </w:tabs>
        <w:rPr>
          <w:sz w:val="20"/>
          <w:szCs w:val="20"/>
          <w:color w:val="auto"/>
        </w:rPr>
      </w:pPr>
      <w:r>
        <w:rPr>
          <w:rFonts w:ascii="Arial" w:cs="Arial" w:eastAsia="Arial" w:hAnsi="Arial"/>
          <w:sz w:val="22"/>
          <w:szCs w:val="22"/>
          <w:b w:val="1"/>
          <w:bCs w:val="1"/>
          <w:color w:val="auto"/>
        </w:rPr>
        <w:t>12.4.</w:t>
      </w:r>
      <w:r>
        <w:rPr>
          <w:sz w:val="20"/>
          <w:szCs w:val="20"/>
          <w:color w:val="auto"/>
        </w:rPr>
        <w:tab/>
      </w:r>
      <w:r>
        <w:rPr>
          <w:rFonts w:ascii="Arial" w:cs="Arial" w:eastAsia="Arial" w:hAnsi="Arial"/>
          <w:sz w:val="19"/>
          <w:szCs w:val="19"/>
          <w:b w:val="1"/>
          <w:bCs w:val="1"/>
          <w:u w:val="single" w:color="auto"/>
          <w:color w:val="auto"/>
        </w:rPr>
        <w:t>Administrative Expenses</w:t>
      </w:r>
    </w:p>
    <w:p>
      <w:pPr>
        <w:spacing w:after="0" w:line="23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All expenses of administering the Plan shall be borne by the Employer and no part thereof shall be charged against any Participant’s Account or any amounts distributable hereunder.</w:t>
      </w:r>
    </w:p>
    <w:p>
      <w:pPr>
        <w:spacing w:after="0" w:line="169" w:lineRule="exact"/>
        <w:rPr>
          <w:sz w:val="20"/>
          <w:szCs w:val="20"/>
          <w:color w:val="auto"/>
        </w:rPr>
      </w:pPr>
    </w:p>
    <w:p>
      <w:pPr>
        <w:spacing w:after="0"/>
        <w:tabs>
          <w:tab w:leader="none" w:pos="600" w:val="left"/>
        </w:tabs>
        <w:rPr>
          <w:sz w:val="20"/>
          <w:szCs w:val="20"/>
          <w:color w:val="auto"/>
        </w:rPr>
      </w:pPr>
      <w:r>
        <w:rPr>
          <w:rFonts w:ascii="Arial" w:cs="Arial" w:eastAsia="Arial" w:hAnsi="Arial"/>
          <w:sz w:val="22"/>
          <w:szCs w:val="22"/>
          <w:b w:val="1"/>
          <w:bCs w:val="1"/>
          <w:color w:val="auto"/>
        </w:rPr>
        <w:t>12.5.</w:t>
      </w:r>
      <w:r>
        <w:rPr>
          <w:sz w:val="20"/>
          <w:szCs w:val="20"/>
          <w:color w:val="auto"/>
        </w:rPr>
        <w:tab/>
      </w:r>
      <w:r>
        <w:rPr>
          <w:rFonts w:ascii="Arial" w:cs="Arial" w:eastAsia="Arial" w:hAnsi="Arial"/>
          <w:sz w:val="19"/>
          <w:szCs w:val="19"/>
          <w:b w:val="1"/>
          <w:bCs w:val="1"/>
          <w:u w:val="single" w:color="auto"/>
          <w:color w:val="auto"/>
        </w:rPr>
        <w:t>Severability</w:t>
      </w:r>
    </w:p>
    <w:p>
      <w:pPr>
        <w:spacing w:after="0" w:line="23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Any provision of the Plan prohibited by the law of any jurisdiction shall, as to such jurisdiction, be ineffective to the extent of such prohibition, without invalidating the remaining provisions hereof.</w:t>
      </w:r>
    </w:p>
    <w:p>
      <w:pPr>
        <w:spacing w:after="0" w:line="169" w:lineRule="exact"/>
        <w:rPr>
          <w:sz w:val="20"/>
          <w:szCs w:val="20"/>
          <w:color w:val="auto"/>
        </w:rPr>
      </w:pPr>
    </w:p>
    <w:p>
      <w:pPr>
        <w:spacing w:after="0"/>
        <w:tabs>
          <w:tab w:leader="none" w:pos="600" w:val="left"/>
        </w:tabs>
        <w:rPr>
          <w:sz w:val="20"/>
          <w:szCs w:val="20"/>
          <w:color w:val="auto"/>
        </w:rPr>
      </w:pPr>
      <w:r>
        <w:rPr>
          <w:rFonts w:ascii="Arial" w:cs="Arial" w:eastAsia="Arial" w:hAnsi="Arial"/>
          <w:sz w:val="22"/>
          <w:szCs w:val="22"/>
          <w:b w:val="1"/>
          <w:bCs w:val="1"/>
          <w:color w:val="auto"/>
        </w:rPr>
        <w:t>12.6.</w:t>
      </w:r>
      <w:r>
        <w:rPr>
          <w:sz w:val="20"/>
          <w:szCs w:val="20"/>
          <w:color w:val="auto"/>
        </w:rPr>
        <w:tab/>
      </w:r>
      <w:r>
        <w:rPr>
          <w:rFonts w:ascii="Arial" w:cs="Arial" w:eastAsia="Arial" w:hAnsi="Arial"/>
          <w:sz w:val="19"/>
          <w:szCs w:val="19"/>
          <w:b w:val="1"/>
          <w:bCs w:val="1"/>
          <w:u w:val="single" w:color="auto"/>
          <w:color w:val="auto"/>
        </w:rPr>
        <w:t>Personal Liability</w:t>
      </w:r>
    </w:p>
    <w:p>
      <w:pPr>
        <w:spacing w:after="0" w:line="23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Except as otherwise expressly provided herein, no member of the Benefits Administrative Committee or the Committee, and no officer, director, employee or agent of the Employer, shall have any liability to any person, firm or corporation based on or arising out of the Plan, except in the case of willful misconduct or fraud.</w:t>
      </w:r>
    </w:p>
    <w:p>
      <w:pPr>
        <w:spacing w:after="0" w:line="200" w:lineRule="exact"/>
        <w:rPr>
          <w:sz w:val="20"/>
          <w:szCs w:val="20"/>
          <w:color w:val="auto"/>
        </w:rPr>
      </w:pPr>
    </w:p>
    <w:p>
      <w:pPr>
        <w:spacing w:after="0" w:line="229" w:lineRule="exact"/>
        <w:rPr>
          <w:sz w:val="20"/>
          <w:szCs w:val="20"/>
          <w:color w:val="auto"/>
        </w:rPr>
      </w:pPr>
    </w:p>
    <w:p>
      <w:pPr>
        <w:ind w:left="8440"/>
        <w:spacing w:after="0"/>
        <w:rPr>
          <w:sz w:val="20"/>
          <w:szCs w:val="20"/>
          <w:color w:val="auto"/>
        </w:rPr>
      </w:pPr>
      <w:r>
        <w:rPr>
          <w:rFonts w:ascii="Arial" w:cs="Arial" w:eastAsia="Arial" w:hAnsi="Arial"/>
          <w:sz w:val="22"/>
          <w:szCs w:val="22"/>
          <w:color w:val="auto"/>
        </w:rPr>
        <w:t>19</w:t>
      </w:r>
    </w:p>
    <w:p>
      <w:pPr>
        <w:sectPr>
          <w:pgSz w:w="11900" w:h="16838" w:orient="portrait"/>
          <w:cols w:equalWidth="0" w:num="1">
            <w:col w:w="11420"/>
          </w:cols>
          <w:pgMar w:left="240" w:top="631" w:right="239" w:bottom="1440" w:gutter="0" w:footer="0" w:header="0"/>
        </w:sectPr>
      </w:pPr>
    </w:p>
    <w:bookmarkStart w:id="70" w:name="page71"/>
    <w:bookmarkEnd w:id="70"/>
    <w:p>
      <w:pPr>
        <w:jc w:val="both"/>
        <w:ind w:left="660" w:hanging="647"/>
        <w:spacing w:after="0" w:line="269" w:lineRule="auto"/>
        <w:tabs>
          <w:tab w:leader="none" w:pos="640" w:val="left"/>
        </w:tabs>
        <w:rPr>
          <w:sz w:val="20"/>
          <w:szCs w:val="20"/>
          <w:color w:val="auto"/>
        </w:rPr>
      </w:pPr>
      <w:r>
        <w:rPr>
          <w:rFonts w:ascii="Arial" w:cs="Arial" w:eastAsia="Arial" w:hAnsi="Arial"/>
          <w:sz w:val="22"/>
          <w:szCs w:val="22"/>
          <w:b w:val="1"/>
          <w:bCs w:val="1"/>
          <w:color w:val="auto"/>
        </w:rPr>
        <w:t>12.7.</w:t>
      </w:r>
      <w:r>
        <w:rPr>
          <w:sz w:val="20"/>
          <w:szCs w:val="20"/>
          <w:color w:val="auto"/>
        </w:rPr>
        <w:tab/>
      </w:r>
      <w:r>
        <w:rPr>
          <w:rFonts w:ascii="Arial" w:cs="Arial" w:eastAsia="Arial" w:hAnsi="Arial"/>
          <w:sz w:val="22"/>
          <w:szCs w:val="22"/>
          <w:b w:val="1"/>
          <w:bCs w:val="1"/>
          <w:u w:val="single" w:color="auto"/>
          <w:color w:val="auto"/>
        </w:rPr>
        <w:t>Amendment to Qualified Plan or Changes to Employer Contributions and Participant Deferrals under Qualified Plan</w:t>
      </w:r>
    </w:p>
    <w:p>
      <w:pPr>
        <w:spacing w:after="0" w:line="168"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21"/>
          <w:szCs w:val="21"/>
          <w:color w:val="auto"/>
        </w:rPr>
        <w:t>Notwithstanding any contrary provision in this Plan, with respect to any change or addition to, any deletion from or any modification of (collectively, an “Amendment”) the underlying Qualified Plan or change in the Company or Participant contributions and/or deferrals under the Qualified Plan during any Plan Year (collectively, a “Contribution Change”), where such Amendment or Contribution Change causes the Plan to be non-compliant with Code Section 409A and the regulations promulgated thereunder (including, but not limited to, Treasury Regulation Section 1.409A-2(a)(9)) or accelerates the payment of the Participant’s Account or delays such payment, resulting in a subsequent deferral of compensation, such Amendment and/or Contribution Change shall be disregarded with respect to Employer contributions, Participant deferrals, Participants’ Accounts, Compensation, Performance Award Deferral Elections under or credited pursuant to the Plan or to any form or time of payment applicable to Plan benefits to the extent that the same either may cause the Plan to be or is itself non-compliant with Code Section 409A or the regulations promulgated thereunder.</w:t>
      </w:r>
    </w:p>
    <w:p>
      <w:pPr>
        <w:spacing w:after="0" w:line="180" w:lineRule="exact"/>
        <w:rPr>
          <w:sz w:val="20"/>
          <w:szCs w:val="20"/>
          <w:color w:val="auto"/>
        </w:rPr>
      </w:pPr>
    </w:p>
    <w:p>
      <w:pPr>
        <w:spacing w:after="0"/>
        <w:tabs>
          <w:tab w:leader="none" w:pos="600" w:val="left"/>
        </w:tabs>
        <w:rPr>
          <w:sz w:val="20"/>
          <w:szCs w:val="20"/>
          <w:color w:val="auto"/>
        </w:rPr>
      </w:pPr>
      <w:r>
        <w:rPr>
          <w:rFonts w:ascii="Arial" w:cs="Arial" w:eastAsia="Arial" w:hAnsi="Arial"/>
          <w:sz w:val="22"/>
          <w:szCs w:val="22"/>
          <w:b w:val="1"/>
          <w:bCs w:val="1"/>
          <w:color w:val="auto"/>
        </w:rPr>
        <w:t>12.8.</w:t>
      </w:r>
      <w:r>
        <w:rPr>
          <w:sz w:val="20"/>
          <w:szCs w:val="20"/>
          <w:color w:val="auto"/>
        </w:rPr>
        <w:tab/>
      </w:r>
      <w:r>
        <w:rPr>
          <w:rFonts w:ascii="Arial" w:cs="Arial" w:eastAsia="Arial" w:hAnsi="Arial"/>
          <w:sz w:val="19"/>
          <w:szCs w:val="19"/>
          <w:b w:val="1"/>
          <w:bCs w:val="1"/>
          <w:u w:val="single" w:color="auto"/>
          <w:color w:val="auto"/>
        </w:rPr>
        <w:t>Right to Offset</w:t>
      </w:r>
    </w:p>
    <w:p>
      <w:pPr>
        <w:spacing w:after="0" w:line="23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If the Benefits Administrative Committee determines that a Participant is, for any reason, indebted to the Company or its Affiliates, the Benefits Administrative Committee and the Company may offset such indebtedness, including any interest accruing thereon, against distributions otherwise due under the Plan provided that:</w:t>
      </w:r>
    </w:p>
    <w:p>
      <w:pPr>
        <w:spacing w:after="0" w:line="186" w:lineRule="exact"/>
        <w:rPr>
          <w:sz w:val="20"/>
          <w:szCs w:val="20"/>
          <w:color w:val="auto"/>
        </w:rPr>
      </w:pPr>
    </w:p>
    <w:p>
      <w:pPr>
        <w:ind w:left="1080" w:hanging="424"/>
        <w:spacing w:after="0"/>
        <w:tabs>
          <w:tab w:leader="none" w:pos="1080" w:val="left"/>
        </w:tabs>
        <w:numPr>
          <w:ilvl w:val="0"/>
          <w:numId w:val="34"/>
        </w:numPr>
        <w:rPr>
          <w:rFonts w:ascii="Arial" w:cs="Arial" w:eastAsia="Arial" w:hAnsi="Arial"/>
          <w:sz w:val="19"/>
          <w:szCs w:val="19"/>
          <w:color w:val="auto"/>
        </w:rPr>
      </w:pPr>
      <w:r>
        <w:rPr>
          <w:rFonts w:ascii="Arial" w:cs="Arial" w:eastAsia="Arial" w:hAnsi="Arial"/>
          <w:sz w:val="19"/>
          <w:szCs w:val="19"/>
          <w:color w:val="auto"/>
        </w:rPr>
        <w:t>such debt is incurred in the ordinary course of the service relationship between the Participant and the Company;</w:t>
      </w:r>
    </w:p>
    <w:p>
      <w:pPr>
        <w:spacing w:after="0" w:line="267" w:lineRule="exact"/>
        <w:rPr>
          <w:rFonts w:ascii="Arial" w:cs="Arial" w:eastAsia="Arial" w:hAnsi="Arial"/>
          <w:sz w:val="19"/>
          <w:szCs w:val="19"/>
          <w:color w:val="auto"/>
        </w:rPr>
      </w:pPr>
    </w:p>
    <w:p>
      <w:pPr>
        <w:ind w:left="1080" w:hanging="424"/>
        <w:spacing w:after="0"/>
        <w:tabs>
          <w:tab w:leader="none" w:pos="1080" w:val="left"/>
        </w:tabs>
        <w:numPr>
          <w:ilvl w:val="0"/>
          <w:numId w:val="34"/>
        </w:numPr>
        <w:rPr>
          <w:rFonts w:ascii="Arial" w:cs="Arial" w:eastAsia="Arial" w:hAnsi="Arial"/>
          <w:sz w:val="22"/>
          <w:szCs w:val="22"/>
          <w:color w:val="auto"/>
        </w:rPr>
      </w:pPr>
      <w:r>
        <w:rPr>
          <w:rFonts w:ascii="Arial" w:cs="Arial" w:eastAsia="Arial" w:hAnsi="Arial"/>
          <w:sz w:val="22"/>
          <w:szCs w:val="22"/>
          <w:color w:val="auto"/>
        </w:rPr>
        <w:t>in any taxable year of the Company, the entire amount of reduction does not exceed $5,000; and</w:t>
      </w:r>
    </w:p>
    <w:p>
      <w:pPr>
        <w:spacing w:after="0" w:line="233" w:lineRule="exact"/>
        <w:rPr>
          <w:rFonts w:ascii="Arial" w:cs="Arial" w:eastAsia="Arial" w:hAnsi="Arial"/>
          <w:sz w:val="22"/>
          <w:szCs w:val="22"/>
          <w:color w:val="auto"/>
        </w:rPr>
      </w:pPr>
    </w:p>
    <w:p>
      <w:pPr>
        <w:ind w:firstLine="656"/>
        <w:spacing w:after="0" w:line="276" w:lineRule="auto"/>
        <w:tabs>
          <w:tab w:leader="none" w:pos="1190" w:val="left"/>
        </w:tabs>
        <w:numPr>
          <w:ilvl w:val="0"/>
          <w:numId w:val="34"/>
        </w:numPr>
        <w:rPr>
          <w:rFonts w:ascii="Arial" w:cs="Arial" w:eastAsia="Arial" w:hAnsi="Arial"/>
          <w:sz w:val="22"/>
          <w:szCs w:val="22"/>
          <w:color w:val="auto"/>
        </w:rPr>
      </w:pPr>
      <w:r>
        <w:rPr>
          <w:rFonts w:ascii="Arial" w:cs="Arial" w:eastAsia="Arial" w:hAnsi="Arial"/>
          <w:sz w:val="22"/>
          <w:szCs w:val="22"/>
          <w:color w:val="auto"/>
        </w:rPr>
        <w:t>the reduction is made at the same time and in the same amount as the debt otherwise would have been due and collected from the Participant.</w:t>
      </w:r>
    </w:p>
    <w:p>
      <w:pPr>
        <w:spacing w:after="0" w:line="16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An election by the Company not to offset such indebtedness against distributions otherwise due under the Plan will not constitute a waiver of the Company’s claim for such indebtedness or obligation.</w:t>
      </w:r>
    </w:p>
    <w:p>
      <w:pPr>
        <w:spacing w:after="0" w:line="169" w:lineRule="exact"/>
        <w:rPr>
          <w:sz w:val="20"/>
          <w:szCs w:val="20"/>
          <w:color w:val="auto"/>
        </w:rPr>
      </w:pPr>
    </w:p>
    <w:p>
      <w:pPr>
        <w:jc w:val="center"/>
        <w:ind w:left="660"/>
        <w:spacing w:after="0"/>
        <w:rPr>
          <w:sz w:val="20"/>
          <w:szCs w:val="20"/>
          <w:color w:val="auto"/>
        </w:rPr>
      </w:pPr>
      <w:r>
        <w:rPr>
          <w:rFonts w:ascii="Arial" w:cs="Arial" w:eastAsia="Arial" w:hAnsi="Arial"/>
          <w:sz w:val="22"/>
          <w:szCs w:val="22"/>
          <w:b w:val="1"/>
          <w:bCs w:val="1"/>
          <w:color w:val="auto"/>
        </w:rPr>
        <w:t>SECTION 13</w:t>
      </w:r>
    </w:p>
    <w:p>
      <w:pPr>
        <w:spacing w:after="0" w:line="28" w:lineRule="exact"/>
        <w:rPr>
          <w:sz w:val="20"/>
          <w:szCs w:val="20"/>
          <w:color w:val="auto"/>
        </w:rPr>
      </w:pPr>
    </w:p>
    <w:p>
      <w:pPr>
        <w:jc w:val="center"/>
        <w:ind w:left="660"/>
        <w:spacing w:after="0"/>
        <w:rPr>
          <w:sz w:val="20"/>
          <w:szCs w:val="20"/>
          <w:color w:val="auto"/>
        </w:rPr>
      </w:pPr>
      <w:r>
        <w:rPr>
          <w:rFonts w:ascii="Arial" w:cs="Arial" w:eastAsia="Arial" w:hAnsi="Arial"/>
          <w:sz w:val="22"/>
          <w:szCs w:val="22"/>
          <w:b w:val="1"/>
          <w:bCs w:val="1"/>
          <w:color w:val="auto"/>
        </w:rPr>
        <w:t>UNFUNDED STATUS OF THE PLAN</w:t>
      </w:r>
    </w:p>
    <w:p>
      <w:pPr>
        <w:spacing w:after="0" w:line="20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1"/>
          <w:szCs w:val="21"/>
          <w:color w:val="auto"/>
        </w:rPr>
        <w:t>Any and all payments made to any Participant pursuant to the Plan shall be made only from the general assets of the Employers. All Accounts under the Plan shall be for bookkeeping purposes only and shall not represent a claim against specific assets of the Employers. Nothing contained in the Plan shall be deemed to create a trust of any kind or create any fiduciary relationship. Notwithstanding the foregoing, the Employers may, in their discretion and to the extent such funding would not trigger a tax on affected Participants under Code Section 409A(b)(3), establish a trust to</w:t>
      </w:r>
    </w:p>
    <w:p>
      <w:pPr>
        <w:spacing w:after="0" w:line="203" w:lineRule="exact"/>
        <w:rPr>
          <w:sz w:val="20"/>
          <w:szCs w:val="20"/>
          <w:color w:val="auto"/>
        </w:rPr>
      </w:pPr>
    </w:p>
    <w:p>
      <w:pPr>
        <w:ind w:left="8440"/>
        <w:spacing w:after="0"/>
        <w:rPr>
          <w:sz w:val="20"/>
          <w:szCs w:val="20"/>
          <w:color w:val="auto"/>
        </w:rPr>
      </w:pPr>
      <w:r>
        <w:rPr>
          <w:rFonts w:ascii="Arial" w:cs="Arial" w:eastAsia="Arial" w:hAnsi="Arial"/>
          <w:sz w:val="22"/>
          <w:szCs w:val="22"/>
          <w:color w:val="auto"/>
        </w:rPr>
        <w:t>20</w:t>
      </w:r>
    </w:p>
    <w:p>
      <w:pPr>
        <w:sectPr>
          <w:pgSz w:w="11900" w:h="16838" w:orient="portrait"/>
          <w:cols w:equalWidth="0" w:num="1">
            <w:col w:w="11420"/>
          </w:cols>
          <w:pgMar w:left="240" w:top="625" w:right="239" w:bottom="1440" w:gutter="0" w:footer="0" w:header="0"/>
        </w:sectPr>
      </w:pPr>
    </w:p>
    <w:bookmarkStart w:id="71" w:name="page72"/>
    <w:bookmarkEnd w:id="71"/>
    <w:p>
      <w:pPr>
        <w:jc w:val="both"/>
        <w:spacing w:after="0" w:line="253" w:lineRule="auto"/>
        <w:rPr>
          <w:sz w:val="20"/>
          <w:szCs w:val="20"/>
          <w:color w:val="auto"/>
        </w:rPr>
      </w:pPr>
      <w:r>
        <w:rPr>
          <w:rFonts w:ascii="Arial" w:cs="Arial" w:eastAsia="Arial" w:hAnsi="Arial"/>
          <w:sz w:val="22"/>
          <w:szCs w:val="22"/>
          <w:color w:val="auto"/>
        </w:rPr>
        <w:t>assist them in discharging all or a portion of the benefits payable under the Plan. The assets of such trust shall remain, at all times, the assets of the Employers subject to the claims of their creditors. Amounts distributed from any such trust shall discharge the Company’s obligation with respect to the benefits in question.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8440"/>
        <w:spacing w:after="0"/>
        <w:rPr>
          <w:sz w:val="20"/>
          <w:szCs w:val="20"/>
          <w:color w:val="auto"/>
        </w:rPr>
      </w:pPr>
      <w:r>
        <w:rPr>
          <w:rFonts w:ascii="Arial" w:cs="Arial" w:eastAsia="Arial" w:hAnsi="Arial"/>
          <w:sz w:val="22"/>
          <w:szCs w:val="22"/>
          <w:color w:val="auto"/>
        </w:rPr>
        <w:t>21</w:t>
      </w:r>
    </w:p>
    <w:p>
      <w:pPr>
        <w:sectPr>
          <w:pgSz w:w="11900" w:h="16838" w:orient="portrait"/>
          <w:cols w:equalWidth="0" w:num="1">
            <w:col w:w="11420"/>
          </w:cols>
          <w:pgMar w:left="240" w:top="631" w:right="239" w:bottom="1440" w:gutter="0" w:footer="0" w:header="0"/>
        </w:sectPr>
      </w:pPr>
    </w:p>
    <w:bookmarkStart w:id="72" w:name="page73"/>
    <w:bookmarkEnd w:id="72"/>
    <w:p>
      <w:pPr>
        <w:jc w:val="right"/>
        <w:spacing w:after="0"/>
        <w:rPr>
          <w:sz w:val="20"/>
          <w:szCs w:val="20"/>
          <w:color w:val="auto"/>
        </w:rPr>
      </w:pPr>
      <w:r>
        <w:rPr>
          <w:rFonts w:ascii="Arial" w:cs="Arial" w:eastAsia="Arial" w:hAnsi="Arial"/>
          <w:sz w:val="18"/>
          <w:szCs w:val="18"/>
          <w:b w:val="1"/>
          <w:bCs w:val="1"/>
          <w:color w:val="auto"/>
        </w:rPr>
        <w:t>Exhibit 31.1</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13a-14(a)/15d-14(a) Certifications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Executive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I, James Hagedorn, certify that:</w:t>
      </w:r>
    </w:p>
    <w:p>
      <w:pPr>
        <w:spacing w:after="0" w:line="279" w:lineRule="exact"/>
        <w:rPr>
          <w:sz w:val="20"/>
          <w:szCs w:val="20"/>
          <w:color w:val="auto"/>
        </w:rPr>
      </w:pPr>
    </w:p>
    <w:p>
      <w:pPr>
        <w:ind w:left="660" w:hanging="328"/>
        <w:spacing w:after="0"/>
        <w:tabs>
          <w:tab w:leader="none" w:pos="6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The Scotts Miracle-Gro Company for the quarterly period ended December 27, 2014;</w:t>
      </w:r>
    </w:p>
    <w:p>
      <w:pPr>
        <w:spacing w:after="0" w:line="128" w:lineRule="exact"/>
        <w:rPr>
          <w:rFonts w:ascii="Arial" w:cs="Arial" w:eastAsia="Arial" w:hAnsi="Arial"/>
          <w:sz w:val="17"/>
          <w:szCs w:val="17"/>
          <w:color w:val="auto"/>
        </w:rPr>
      </w:pPr>
    </w:p>
    <w:p>
      <w:pPr>
        <w:jc w:val="both"/>
        <w:ind w:left="660" w:right="300" w:hanging="328"/>
        <w:spacing w:after="0" w:line="264"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660" w:right="280" w:hanging="328"/>
        <w:spacing w:after="0" w:line="264"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140" w:right="60" w:hanging="484"/>
        <w:spacing w:after="0" w:line="264" w:lineRule="auto"/>
        <w:tabs>
          <w:tab w:leader="none" w:pos="1140"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140" w:right="380" w:hanging="484"/>
        <w:spacing w:after="0" w:line="264" w:lineRule="auto"/>
        <w:tabs>
          <w:tab w:leader="none" w:pos="1140"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140" w:right="540" w:hanging="484"/>
        <w:spacing w:after="0" w:line="342" w:lineRule="auto"/>
        <w:tabs>
          <w:tab w:leader="none" w:pos="1140" w:val="left"/>
        </w:tabs>
        <w:numPr>
          <w:ilvl w:val="1"/>
          <w:numId w:val="3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140" w:right="60" w:hanging="484"/>
        <w:spacing w:after="0" w:line="264" w:lineRule="auto"/>
        <w:tabs>
          <w:tab w:leader="none" w:pos="1140" w:val="left"/>
        </w:tabs>
        <w:numPr>
          <w:ilvl w:val="1"/>
          <w:numId w:val="3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right="180" w:hanging="328"/>
        <w:spacing w:after="0" w:line="308" w:lineRule="auto"/>
        <w:tabs>
          <w:tab w:leader="none" w:pos="6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140" w:right="800" w:hanging="484"/>
        <w:spacing w:after="0" w:line="342" w:lineRule="auto"/>
        <w:tabs>
          <w:tab w:leader="none" w:pos="1140" w:val="left"/>
        </w:tabs>
        <w:numPr>
          <w:ilvl w:val="1"/>
          <w:numId w:val="3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140" w:right="480" w:hanging="484"/>
        <w:spacing w:after="0" w:line="277" w:lineRule="auto"/>
        <w:tabs>
          <w:tab w:leader="none" w:pos="1140" w:val="left"/>
        </w:tabs>
        <w:numPr>
          <w:ilvl w:val="1"/>
          <w:numId w:val="3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40"/>
        <w:spacing w:after="0"/>
        <w:tabs>
          <w:tab w:leader="none" w:pos="5520" w:val="left"/>
          <w:tab w:leader="none" w:pos="6060" w:val="left"/>
        </w:tabs>
        <w:rPr>
          <w:sz w:val="20"/>
          <w:szCs w:val="20"/>
          <w:color w:val="auto"/>
        </w:rPr>
      </w:pPr>
      <w:r>
        <w:rPr>
          <w:rFonts w:ascii="Arial" w:cs="Arial" w:eastAsia="Arial" w:hAnsi="Arial"/>
          <w:sz w:val="18"/>
          <w:szCs w:val="18"/>
          <w:color w:val="auto"/>
        </w:rPr>
        <w:t>Date: February 5, 2015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JAMES HAGEDORN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31750</wp:posOffset>
            </wp:positionV>
            <wp:extent cx="34734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57"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Printed Name: James Hagedorn</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Title: Chief Executive Officer and Chairman of the Board</w:t>
      </w:r>
    </w:p>
    <w:p>
      <w:pPr>
        <w:sectPr>
          <w:pgSz w:w="11900" w:h="16838" w:orient="portrait"/>
          <w:cols w:equalWidth="0" w:num="1">
            <w:col w:w="11420"/>
          </w:cols>
          <w:pgMar w:left="240" w:top="580" w:right="239" w:bottom="1440" w:gutter="0" w:footer="0" w:header="0"/>
        </w:sectPr>
      </w:pPr>
    </w:p>
    <w:bookmarkStart w:id="73" w:name="page74"/>
    <w:bookmarkEnd w:id="73"/>
    <w:p>
      <w:pPr>
        <w:jc w:val="right"/>
        <w:spacing w:after="0"/>
        <w:rPr>
          <w:sz w:val="20"/>
          <w:szCs w:val="20"/>
          <w:color w:val="auto"/>
        </w:rPr>
      </w:pPr>
      <w:r>
        <w:rPr>
          <w:rFonts w:ascii="Arial" w:cs="Arial" w:eastAsia="Arial" w:hAnsi="Arial"/>
          <w:sz w:val="18"/>
          <w:szCs w:val="18"/>
          <w:b w:val="1"/>
          <w:bCs w:val="1"/>
          <w:color w:val="auto"/>
        </w:rPr>
        <w:t>Exhibit 31.2</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13a-14(a)/15d-14(a) Certifications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I, Thomas Randal Coleman, certify that:</w:t>
      </w:r>
    </w:p>
    <w:p>
      <w:pPr>
        <w:spacing w:after="0" w:line="279" w:lineRule="exact"/>
        <w:rPr>
          <w:sz w:val="20"/>
          <w:szCs w:val="20"/>
          <w:color w:val="auto"/>
        </w:rPr>
      </w:pPr>
    </w:p>
    <w:p>
      <w:pPr>
        <w:ind w:left="660" w:hanging="328"/>
        <w:spacing w:after="0"/>
        <w:tabs>
          <w:tab w:leader="none" w:pos="6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The Scotts Miracle-Gro Company for the quarterly period ended December 27, 2014;</w:t>
      </w:r>
    </w:p>
    <w:p>
      <w:pPr>
        <w:spacing w:after="0" w:line="128" w:lineRule="exact"/>
        <w:rPr>
          <w:rFonts w:ascii="Arial" w:cs="Arial" w:eastAsia="Arial" w:hAnsi="Arial"/>
          <w:sz w:val="17"/>
          <w:szCs w:val="17"/>
          <w:color w:val="auto"/>
        </w:rPr>
      </w:pPr>
    </w:p>
    <w:p>
      <w:pPr>
        <w:jc w:val="both"/>
        <w:ind w:left="660" w:right="300" w:hanging="328"/>
        <w:spacing w:after="0" w:line="264"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660" w:right="280" w:hanging="328"/>
        <w:spacing w:after="0" w:line="264"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140" w:right="60" w:hanging="484"/>
        <w:spacing w:after="0" w:line="264" w:lineRule="auto"/>
        <w:tabs>
          <w:tab w:leader="none" w:pos="114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140" w:right="380" w:hanging="484"/>
        <w:spacing w:after="0" w:line="264" w:lineRule="auto"/>
        <w:tabs>
          <w:tab w:leader="none" w:pos="114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140" w:right="540" w:hanging="484"/>
        <w:spacing w:after="0" w:line="342" w:lineRule="auto"/>
        <w:tabs>
          <w:tab w:leader="none" w:pos="1140" w:val="left"/>
        </w:tabs>
        <w:numPr>
          <w:ilvl w:val="1"/>
          <w:numId w:val="3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140" w:right="60" w:hanging="484"/>
        <w:spacing w:after="0" w:line="264" w:lineRule="auto"/>
        <w:tabs>
          <w:tab w:leader="none" w:pos="114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right="180" w:hanging="328"/>
        <w:spacing w:after="0" w:line="308" w:lineRule="auto"/>
        <w:tabs>
          <w:tab w:leader="none" w:pos="6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140" w:right="800" w:hanging="484"/>
        <w:spacing w:after="0" w:line="342" w:lineRule="auto"/>
        <w:tabs>
          <w:tab w:leader="none" w:pos="1140" w:val="left"/>
        </w:tabs>
        <w:numPr>
          <w:ilvl w:val="1"/>
          <w:numId w:val="3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140" w:right="480" w:hanging="484"/>
        <w:spacing w:after="0" w:line="277" w:lineRule="auto"/>
        <w:tabs>
          <w:tab w:leader="none" w:pos="1140" w:val="left"/>
        </w:tabs>
        <w:numPr>
          <w:ilvl w:val="1"/>
          <w:numId w:val="3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40"/>
        <w:spacing w:after="0"/>
        <w:tabs>
          <w:tab w:leader="none" w:pos="5400" w:val="left"/>
          <w:tab w:leader="none" w:pos="6060" w:val="left"/>
        </w:tabs>
        <w:rPr>
          <w:sz w:val="20"/>
          <w:szCs w:val="20"/>
          <w:color w:val="auto"/>
        </w:rPr>
      </w:pPr>
      <w:r>
        <w:rPr>
          <w:rFonts w:ascii="Arial" w:cs="Arial" w:eastAsia="Arial" w:hAnsi="Arial"/>
          <w:sz w:val="18"/>
          <w:szCs w:val="18"/>
          <w:color w:val="auto"/>
        </w:rPr>
        <w:t>Date: February 5, 2015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THOMAS RANDAL COLEMAN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3709670</wp:posOffset>
            </wp:positionH>
            <wp:positionV relativeFrom="paragraph">
              <wp:posOffset>31750</wp:posOffset>
            </wp:positionV>
            <wp:extent cx="354203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542030" cy="8890"/>
                    </a:xfrm>
                    <a:prstGeom prst="rect">
                      <a:avLst/>
                    </a:prstGeom>
                    <a:noFill/>
                  </pic:spPr>
                </pic:pic>
              </a:graphicData>
            </a:graphic>
          </wp:anchor>
        </w:drawing>
      </w:r>
    </w:p>
    <w:p>
      <w:pPr>
        <w:spacing w:after="0" w:line="57"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Printed Name: Thomas Randal Coleman</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Title: Executive Vice President and Chief Financial Officer</w:t>
      </w:r>
    </w:p>
    <w:p>
      <w:pPr>
        <w:sectPr>
          <w:pgSz w:w="11900" w:h="16838" w:orient="portrait"/>
          <w:cols w:equalWidth="0" w:num="1">
            <w:col w:w="11420"/>
          </w:cols>
          <w:pgMar w:left="240" w:top="580" w:right="239" w:bottom="1440" w:gutter="0" w:footer="0" w:header="0"/>
        </w:sectPr>
      </w:pPr>
    </w:p>
    <w:bookmarkStart w:id="74" w:name="page75"/>
    <w:bookmarkEnd w:id="74"/>
    <w:p>
      <w:pPr>
        <w:jc w:val="right"/>
        <w:spacing w:after="0"/>
        <w:rPr>
          <w:sz w:val="20"/>
          <w:szCs w:val="20"/>
          <w:color w:val="auto"/>
        </w:rPr>
      </w:pPr>
      <w:r>
        <w:rPr>
          <w:rFonts w:ascii="Arial" w:cs="Arial" w:eastAsia="Arial" w:hAnsi="Arial"/>
          <w:sz w:val="18"/>
          <w:szCs w:val="18"/>
          <w:b w:val="1"/>
          <w:bCs w:val="1"/>
          <w:color w:val="auto"/>
        </w:rPr>
        <w:t>Exhibit 32</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1350 CERTIFICATIONS*</w:t>
      </w:r>
    </w:p>
    <w:p>
      <w:pPr>
        <w:spacing w:after="0" w:line="144"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In connection with the Quarterly Report on Form 10-Q of The Scotts Miracle-Gro Company (the “Company”) for the quarterly period ended December 27, 2014 as filed with the Securities and Exchange Commission on the date hereof (the “Report”), the undersigned James Hagedorn, Chief Executive Officer and Chairman of the Board of the Company, and Thomas Randal Coleman, Executive Vice President and Chief Financial Officer of the Company, certify, pursuant to Section 1350 of Chapter 63 of Title 18 of the United States Code, as adopted pursuant to Section 906 of the Sarbanes-Oxley Act of 2002, that, to the best of their knowledge:</w:t>
      </w:r>
    </w:p>
    <w:p>
      <w:pPr>
        <w:spacing w:after="0" w:line="134" w:lineRule="exact"/>
        <w:rPr>
          <w:sz w:val="20"/>
          <w:szCs w:val="20"/>
          <w:color w:val="auto"/>
        </w:rPr>
      </w:pPr>
    </w:p>
    <w:p>
      <w:pPr>
        <w:ind w:left="660" w:hanging="652"/>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of the Securities Exchange Act of 1934; and</w:t>
      </w:r>
    </w:p>
    <w:p>
      <w:pPr>
        <w:spacing w:after="0" w:line="117" w:lineRule="exact"/>
        <w:rPr>
          <w:rFonts w:ascii="Arial" w:cs="Arial" w:eastAsia="Arial" w:hAnsi="Arial"/>
          <w:sz w:val="18"/>
          <w:szCs w:val="18"/>
          <w:color w:val="auto"/>
        </w:rPr>
      </w:pPr>
    </w:p>
    <w:p>
      <w:pPr>
        <w:ind w:left="660" w:right="140" w:hanging="652"/>
        <w:spacing w:after="0" w:line="277"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consolidated financial condition and results of operations of the Company and its subsidiaries.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40" w:type="dxa"/>
            <w:vAlign w:val="bottom"/>
            <w:gridSpan w:val="2"/>
          </w:tcPr>
          <w:p>
            <w:pPr>
              <w:ind w:left="260"/>
              <w:spacing w:after="0"/>
              <w:rPr>
                <w:sz w:val="20"/>
                <w:szCs w:val="20"/>
                <w:color w:val="auto"/>
              </w:rPr>
            </w:pPr>
            <w:r>
              <w:rPr>
                <w:rFonts w:ascii="Arial" w:cs="Arial" w:eastAsia="Arial" w:hAnsi="Arial"/>
                <w:sz w:val="18"/>
                <w:szCs w:val="18"/>
                <w:color w:val="auto"/>
              </w:rPr>
              <w:t>/s/ JAMES HAGEDORN</w:t>
            </w:r>
          </w:p>
        </w:tc>
        <w:tc>
          <w:tcPr>
            <w:tcW w:w="5580" w:type="dxa"/>
            <w:vAlign w:val="bottom"/>
          </w:tcPr>
          <w:p>
            <w:pPr>
              <w:ind w:left="360"/>
              <w:spacing w:after="0"/>
              <w:rPr>
                <w:sz w:val="20"/>
                <w:szCs w:val="20"/>
                <w:color w:val="auto"/>
              </w:rPr>
            </w:pPr>
            <w:r>
              <w:rPr>
                <w:rFonts w:ascii="Arial" w:cs="Arial" w:eastAsia="Arial" w:hAnsi="Arial"/>
                <w:sz w:val="18"/>
                <w:szCs w:val="18"/>
                <w:color w:val="auto"/>
              </w:rPr>
              <w:t>/s/ THOMAS RANDAL COLEMAN</w:t>
            </w:r>
          </w:p>
        </w:tc>
      </w:tr>
      <w:tr>
        <w:trPr>
          <w:trHeight w:val="27"/>
        </w:trPr>
        <w:tc>
          <w:tcPr>
            <w:tcW w:w="550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5580" w:type="dxa"/>
            <w:vAlign w:val="bottom"/>
            <w:tcBorders>
              <w:bottom w:val="single" w:sz="8" w:color="auto"/>
            </w:tcBorders>
          </w:tcPr>
          <w:p>
            <w:pPr>
              <w:spacing w:after="0"/>
              <w:rPr>
                <w:sz w:val="2"/>
                <w:szCs w:val="2"/>
                <w:color w:val="auto"/>
              </w:rPr>
            </w:pPr>
          </w:p>
        </w:tc>
      </w:tr>
      <w:tr>
        <w:trPr>
          <w:trHeight w:val="237"/>
        </w:trPr>
        <w:tc>
          <w:tcPr>
            <w:tcW w:w="5840" w:type="dxa"/>
            <w:vAlign w:val="bottom"/>
            <w:gridSpan w:val="2"/>
          </w:tcPr>
          <w:p>
            <w:pPr>
              <w:ind w:left="260"/>
              <w:spacing w:after="0"/>
              <w:rPr>
                <w:sz w:val="20"/>
                <w:szCs w:val="20"/>
                <w:color w:val="auto"/>
              </w:rPr>
            </w:pPr>
            <w:r>
              <w:rPr>
                <w:rFonts w:ascii="Arial" w:cs="Arial" w:eastAsia="Arial" w:hAnsi="Arial"/>
                <w:sz w:val="18"/>
                <w:szCs w:val="18"/>
                <w:color w:val="auto"/>
              </w:rPr>
              <w:t>Printed Name: James Hagedorn</w:t>
            </w:r>
          </w:p>
        </w:tc>
        <w:tc>
          <w:tcPr>
            <w:tcW w:w="5580" w:type="dxa"/>
            <w:vAlign w:val="bottom"/>
          </w:tcPr>
          <w:p>
            <w:pPr>
              <w:ind w:left="360"/>
              <w:spacing w:after="0"/>
              <w:rPr>
                <w:sz w:val="20"/>
                <w:szCs w:val="20"/>
                <w:color w:val="auto"/>
              </w:rPr>
            </w:pPr>
            <w:r>
              <w:rPr>
                <w:rFonts w:ascii="Arial" w:cs="Arial" w:eastAsia="Arial" w:hAnsi="Arial"/>
                <w:sz w:val="18"/>
                <w:szCs w:val="18"/>
                <w:color w:val="auto"/>
              </w:rPr>
              <w:t>Printed Name: Thomas Randal Coleman</w:t>
            </w:r>
          </w:p>
        </w:tc>
      </w:tr>
      <w:tr>
        <w:trPr>
          <w:trHeight w:val="270"/>
        </w:trPr>
        <w:tc>
          <w:tcPr>
            <w:tcW w:w="5840" w:type="dxa"/>
            <w:vAlign w:val="bottom"/>
            <w:gridSpan w:val="2"/>
          </w:tcPr>
          <w:p>
            <w:pPr>
              <w:ind w:left="260"/>
              <w:spacing w:after="0"/>
              <w:rPr>
                <w:sz w:val="20"/>
                <w:szCs w:val="20"/>
                <w:color w:val="auto"/>
              </w:rPr>
            </w:pPr>
            <w:r>
              <w:rPr>
                <w:rFonts w:ascii="Arial" w:cs="Arial" w:eastAsia="Arial" w:hAnsi="Arial"/>
                <w:sz w:val="18"/>
                <w:szCs w:val="18"/>
                <w:color w:val="auto"/>
              </w:rPr>
              <w:t>Title: Chief Executive Officer and Chairman of the Board</w:t>
            </w:r>
          </w:p>
        </w:tc>
        <w:tc>
          <w:tcPr>
            <w:tcW w:w="5580" w:type="dxa"/>
            <w:vAlign w:val="bottom"/>
          </w:tcPr>
          <w:p>
            <w:pPr>
              <w:ind w:left="360"/>
              <w:spacing w:after="0"/>
              <w:rPr>
                <w:sz w:val="20"/>
                <w:szCs w:val="20"/>
                <w:color w:val="auto"/>
              </w:rPr>
            </w:pPr>
            <w:r>
              <w:rPr>
                <w:rFonts w:ascii="Arial" w:cs="Arial" w:eastAsia="Arial" w:hAnsi="Arial"/>
                <w:sz w:val="18"/>
                <w:szCs w:val="18"/>
                <w:color w:val="auto"/>
              </w:rPr>
              <w:t>Title: Executive Vice President and Chief Financial Officer</w:t>
            </w:r>
          </w:p>
        </w:tc>
      </w:tr>
      <w:tr>
        <w:trPr>
          <w:trHeight w:val="540"/>
        </w:trPr>
        <w:tc>
          <w:tcPr>
            <w:tcW w:w="5840" w:type="dxa"/>
            <w:vAlign w:val="bottom"/>
            <w:gridSpan w:val="2"/>
          </w:tcPr>
          <w:p>
            <w:pPr>
              <w:ind w:left="260"/>
              <w:spacing w:after="0"/>
              <w:rPr>
                <w:sz w:val="20"/>
                <w:szCs w:val="20"/>
                <w:color w:val="auto"/>
              </w:rPr>
            </w:pPr>
            <w:r>
              <w:rPr>
                <w:rFonts w:ascii="Arial" w:cs="Arial" w:eastAsia="Arial" w:hAnsi="Arial"/>
                <w:sz w:val="18"/>
                <w:szCs w:val="18"/>
                <w:color w:val="auto"/>
              </w:rPr>
              <w:t>February 5, 2015</w:t>
            </w:r>
          </w:p>
        </w:tc>
        <w:tc>
          <w:tcPr>
            <w:tcW w:w="5580" w:type="dxa"/>
            <w:vAlign w:val="bottom"/>
          </w:tcPr>
          <w:p>
            <w:pPr>
              <w:ind w:left="360"/>
              <w:spacing w:after="0"/>
              <w:rPr>
                <w:sz w:val="20"/>
                <w:szCs w:val="20"/>
                <w:color w:val="auto"/>
              </w:rPr>
            </w:pPr>
            <w:r>
              <w:rPr>
                <w:rFonts w:ascii="Arial" w:cs="Arial" w:eastAsia="Arial" w:hAnsi="Arial"/>
                <w:sz w:val="18"/>
                <w:szCs w:val="18"/>
                <w:color w:val="auto"/>
              </w:rPr>
              <w:t>February 5, 2015</w:t>
            </w:r>
          </w:p>
        </w:tc>
      </w:tr>
    </w:tbl>
    <w:p>
      <w:pPr>
        <w:spacing w:after="0" w:line="337" w:lineRule="exact"/>
        <w:rPr>
          <w:sz w:val="20"/>
          <w:szCs w:val="20"/>
          <w:color w:val="auto"/>
        </w:rPr>
      </w:pPr>
    </w:p>
    <w:p>
      <w:pPr>
        <w:ind w:left="720" w:right="180" w:hanging="685"/>
        <w:spacing w:after="0" w:line="273" w:lineRule="auto"/>
        <w:tabs>
          <w:tab w:leader="none" w:pos="7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THESE CERTIFICATIONS ARE BEING FURNISHED AS REQUIRED BY RULE 13a-14(b) UNDER THE SECURITIES EXCHANGE ACT OF 1934 (THE “EXCHANGE ACT”) AND SECTION 1350 OF CHAPTER 63 OF TITLE 18 OF THE UNITED STATES CODE, AND SHALL NOT BE DEEMED “FILED” FOR PURPOSES OF SECTION 18 OF THE EXCHANGE ACT OR OTHERWISE SUBJECT TO THE LIABILITY OF THAT SECTION. THESE CERTIFICATIONS SHALL NOT BE DEEMED TO BE INCORPORATED BY REFERENCE INTO ANY FILING UNDER THE SECURITIES ACT OF 1933 OR THE EXCHANGE ACT, EXCEPT TO THE EXTENT THAT THE COMPANY SPECIFICALLY INCORPORATES THESE CERTIFICATIONS BY REFERENCE.</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7130A3"/>
    <w:multiLevelType w:val="hybridMultilevel"/>
    <w:lvl w:ilvl="0">
      <w:lvlJc w:val="left"/>
      <w:lvlText w:val="☒"/>
      <w:numFmt w:val="bullet"/>
      <w:start w:val="1"/>
    </w:lvl>
  </w:abstractNum>
  <w:abstractNum w:abstractNumId="1">
    <w:nsid w:val="62BBD95A"/>
    <w:multiLevelType w:val="hybridMultilevel"/>
    <w:lvl w:ilvl="0">
      <w:lvlJc w:val="left"/>
      <w:lvlText w:val="o"/>
      <w:numFmt w:val="bullet"/>
      <w:start w:val="1"/>
    </w:lvl>
  </w:abstractNum>
  <w:abstractNum w:abstractNumId="2">
    <w:nsid w:val="436C6125"/>
    <w:multiLevelType w:val="hybridMultilevel"/>
    <w:lvl w:ilvl="0">
      <w:lvlJc w:val="left"/>
      <w:lvlText w:val="&amp;"/>
      <w:numFmt w:val="bullet"/>
      <w:start w:val="1"/>
    </w:lvl>
  </w:abstractNum>
  <w:abstractNum w:abstractNumId="3">
    <w:nsid w:val="628C895D"/>
    <w:multiLevelType w:val="hybridMultilevel"/>
    <w:lvl w:ilvl="0">
      <w:lvlJc w:val="left"/>
      <w:lvlText w:val="(%1)"/>
      <w:numFmt w:val="lowerLetter"/>
      <w:start w:val="1"/>
    </w:lvl>
  </w:abstractNum>
  <w:abstractNum w:abstractNumId="4">
    <w:nsid w:val="333AB105"/>
    <w:multiLevelType w:val="hybridMultilevel"/>
    <w:lvl w:ilvl="0">
      <w:lvlJc w:val="left"/>
      <w:lvlText w:val="(%1)"/>
      <w:numFmt w:val="lowerLetter"/>
      <w:start w:val="2"/>
    </w:lvl>
  </w:abstractNum>
  <w:abstractNum w:abstractNumId="5">
    <w:nsid w:val="721DA317"/>
    <w:multiLevelType w:val="hybridMultilevel"/>
    <w:lvl w:ilvl="0">
      <w:lvlJc w:val="left"/>
      <w:lvlText w:val="(%1)"/>
      <w:numFmt w:val="lowerLetter"/>
      <w:start w:val="1"/>
    </w:lvl>
  </w:abstractNum>
  <w:abstractNum w:abstractNumId="6">
    <w:nsid w:val="2443A858"/>
    <w:multiLevelType w:val="hybridMultilevel"/>
    <w:lvl w:ilvl="0">
      <w:lvlJc w:val="left"/>
      <w:lvlText w:val="(%1)"/>
      <w:numFmt w:val="lowerLetter"/>
      <w:start w:val="1"/>
    </w:lvl>
  </w:abstractNum>
  <w:abstractNum w:abstractNumId="7">
    <w:nsid w:val="2D1D5AE9"/>
    <w:multiLevelType w:val="hybridMultilevel"/>
    <w:lvl w:ilvl="0">
      <w:lvlJc w:val="left"/>
      <w:lvlText w:val="•"/>
      <w:numFmt w:val="bullet"/>
      <w:start w:val="1"/>
    </w:lvl>
  </w:abstractNum>
  <w:abstractNum w:abstractNumId="8">
    <w:nsid w:val="6763845E"/>
    <w:multiLevelType w:val="hybridMultilevel"/>
    <w:lvl w:ilvl="0">
      <w:lvlJc w:val="left"/>
      <w:lvlText w:val="•"/>
      <w:numFmt w:val="bullet"/>
      <w:start w:val="1"/>
    </w:lvl>
  </w:abstractNum>
  <w:abstractNum w:abstractNumId="9">
    <w:nsid w:val="75A2A8D4"/>
    <w:multiLevelType w:val="hybridMultilevel"/>
    <w:lvl w:ilvl="0">
      <w:lvlJc w:val="left"/>
      <w:lvlText w:val="•"/>
      <w:numFmt w:val="bullet"/>
      <w:start w:val="1"/>
    </w:lvl>
  </w:abstractNum>
  <w:abstractNum w:abstractNumId="10">
    <w:nsid w:val="8EDBDAB"/>
    <w:multiLevelType w:val="hybridMultilevel"/>
    <w:lvl w:ilvl="0">
      <w:lvlJc w:val="left"/>
      <w:lvlText w:val="•"/>
      <w:numFmt w:val="bullet"/>
      <w:start w:val="1"/>
    </w:lvl>
  </w:abstractNum>
  <w:abstractNum w:abstractNumId="11">
    <w:nsid w:val="79838CB2"/>
    <w:multiLevelType w:val="hybridMultilevel"/>
    <w:lvl w:ilvl="0">
      <w:lvlJc w:val="left"/>
      <w:lvlText w:val="•"/>
      <w:numFmt w:val="bullet"/>
      <w:start w:val="1"/>
    </w:lvl>
  </w:abstractNum>
  <w:abstractNum w:abstractNumId="12">
    <w:nsid w:val="4353D0CD"/>
    <w:multiLevelType w:val="hybridMultilevel"/>
    <w:lvl w:ilvl="0">
      <w:lvlJc w:val="left"/>
      <w:lvlText w:val="(%1)"/>
      <w:numFmt w:val="decimal"/>
      <w:start w:val="1"/>
    </w:lvl>
  </w:abstractNum>
  <w:abstractNum w:abstractNumId="13">
    <w:nsid w:val="B03E0C6"/>
    <w:multiLevelType w:val="hybridMultilevel"/>
    <w:lvl w:ilvl="0">
      <w:lvlJc w:val="left"/>
      <w:lvlText w:val="*"/>
      <w:numFmt w:val="bullet"/>
      <w:start w:val="1"/>
    </w:lvl>
  </w:abstractNum>
  <w:abstractNum w:abstractNumId="14">
    <w:nsid w:val="189A769B"/>
    <w:multiLevelType w:val="hybridMultilevel"/>
    <w:lvl w:ilvl="0">
      <w:lvlJc w:val="left"/>
      <w:lvlText w:val="(%1)"/>
      <w:numFmt w:val="lowerRoman"/>
      <w:start w:val="1"/>
    </w:lvl>
  </w:abstractNum>
  <w:abstractNum w:abstractNumId="15">
    <w:nsid w:val="54E49EB4"/>
    <w:multiLevelType w:val="hybridMultilevel"/>
    <w:lvl w:ilvl="0">
      <w:lvlJc w:val="left"/>
      <w:lvlText w:val="(%1)"/>
      <w:numFmt w:val="lowerLetter"/>
      <w:start w:val="1"/>
    </w:lvl>
  </w:abstractNum>
  <w:abstractNum w:abstractNumId="16">
    <w:nsid w:val="71F32454"/>
    <w:multiLevelType w:val="hybridMultilevel"/>
    <w:lvl w:ilvl="0">
      <w:lvlJc w:val="left"/>
      <w:lvlText w:val="%1"/>
      <w:numFmt w:val="lowerLetter"/>
      <w:start w:val="1"/>
    </w:lvl>
    <w:lvl w:ilvl="1">
      <w:lvlJc w:val="left"/>
      <w:lvlText w:val="(%2)"/>
      <w:numFmt w:val="lowerLetter"/>
      <w:start w:val="1"/>
    </w:lvl>
  </w:abstractNum>
  <w:abstractNum w:abstractNumId="17">
    <w:nsid w:val="2CA88611"/>
    <w:multiLevelType w:val="hybridMultilevel"/>
    <w:lvl w:ilvl="0">
      <w:lvlJc w:val="left"/>
      <w:lvlText w:val="(%1)"/>
      <w:numFmt w:val="lowerLetter"/>
      <w:start w:val="9"/>
    </w:lvl>
    <w:lvl w:ilvl="1">
      <w:lvlJc w:val="left"/>
      <w:lvlText w:val="%2"/>
      <w:numFmt w:val="lowerLetter"/>
      <w:start w:val="1"/>
    </w:lvl>
  </w:abstractNum>
  <w:abstractNum w:abstractNumId="18">
    <w:nsid w:val="836C40E"/>
    <w:multiLevelType w:val="hybridMultilevel"/>
    <w:lvl w:ilvl="0">
      <w:lvlJc w:val="left"/>
      <w:lvlText w:val="(%1)"/>
      <w:numFmt w:val="lowerLetter"/>
      <w:start w:val="2"/>
    </w:lvl>
  </w:abstractNum>
  <w:abstractNum w:abstractNumId="19">
    <w:nsid w:val="2901D82"/>
    <w:multiLevelType w:val="hybridMultilevel"/>
    <w:lvl w:ilvl="0">
      <w:lvlJc w:val="left"/>
      <w:lvlText w:val="(%1)"/>
      <w:numFmt w:val="lowerLetter"/>
      <w:start w:val="1"/>
    </w:lvl>
    <w:lvl w:ilvl="1">
      <w:lvlJc w:val="left"/>
      <w:lvlText w:val="(%2)"/>
      <w:numFmt w:val="lowerRoman"/>
      <w:start w:val="1"/>
    </w:lvl>
  </w:abstractNum>
  <w:abstractNum w:abstractNumId="20">
    <w:nsid w:val="3A95F874"/>
    <w:multiLevelType w:val="hybridMultilevel"/>
    <w:lvl w:ilvl="0">
      <w:lvlJc w:val="left"/>
      <w:lvlText w:val="(%1)"/>
      <w:numFmt w:val="lowerLetter"/>
      <w:start w:val="2"/>
    </w:lvl>
  </w:abstractNum>
  <w:abstractNum w:abstractNumId="21">
    <w:nsid w:val="8138641"/>
    <w:multiLevelType w:val="hybridMultilevel"/>
    <w:lvl w:ilvl="0">
      <w:lvlJc w:val="left"/>
      <w:lvlText w:val="(%1)"/>
      <w:numFmt w:val="lowerLetter"/>
      <w:start w:val="1"/>
    </w:lvl>
  </w:abstractNum>
  <w:abstractNum w:abstractNumId="22">
    <w:nsid w:val="1E7FF521"/>
    <w:multiLevelType w:val="hybridMultilevel"/>
    <w:lvl w:ilvl="0">
      <w:lvlJc w:val="left"/>
      <w:lvlText w:val="(%1)"/>
      <w:numFmt w:val="lowerLetter"/>
      <w:start w:val="3"/>
    </w:lvl>
  </w:abstractNum>
  <w:abstractNum w:abstractNumId="23">
    <w:nsid w:val="7C3DBD3D"/>
    <w:multiLevelType w:val="hybridMultilevel"/>
    <w:lvl w:ilvl="0">
      <w:lvlJc w:val="left"/>
      <w:lvlText w:val="(%1)"/>
      <w:numFmt w:val="lowerLetter"/>
      <w:start w:val="4"/>
    </w:lvl>
  </w:abstractNum>
  <w:abstractNum w:abstractNumId="24">
    <w:nsid w:val="737B8DDC"/>
    <w:multiLevelType w:val="hybridMultilevel"/>
    <w:lvl w:ilvl="0">
      <w:lvlJc w:val="left"/>
      <w:lvlText w:val="(%1)"/>
      <w:numFmt w:val="lowerLetter"/>
      <w:start w:val="1"/>
    </w:lvl>
    <w:lvl w:ilvl="1">
      <w:lvlJc w:val="left"/>
      <w:lvlText w:val="(%2)"/>
      <w:numFmt w:val="lowerRoman"/>
      <w:start w:val="1"/>
    </w:lvl>
  </w:abstractNum>
  <w:abstractNum w:abstractNumId="25">
    <w:nsid w:val="6CEAF087"/>
    <w:multiLevelType w:val="hybridMultilevel"/>
    <w:lvl w:ilvl="0">
      <w:lvlJc w:val="left"/>
      <w:lvlText w:val="%1"/>
      <w:numFmt w:val="lowerLetter"/>
      <w:start w:val="1"/>
    </w:lvl>
    <w:lvl w:ilvl="1">
      <w:lvlJc w:val="left"/>
      <w:lvlText w:val="(%2)"/>
      <w:numFmt w:val="lowerRoman"/>
      <w:start w:val="4"/>
    </w:lvl>
  </w:abstractNum>
  <w:abstractNum w:abstractNumId="26">
    <w:nsid w:val="22221A70"/>
    <w:multiLevelType w:val="hybridMultilevel"/>
    <w:lvl w:ilvl="0">
      <w:lvlJc w:val="left"/>
      <w:lvlText w:val="(%1)"/>
      <w:numFmt w:val="lowerLetter"/>
      <w:start w:val="3"/>
    </w:lvl>
    <w:lvl w:ilvl="1">
      <w:lvlJc w:val="left"/>
      <w:lvlText w:val="(%2)"/>
      <w:numFmt w:val="lowerRoman"/>
      <w:start w:val="1"/>
    </w:lvl>
  </w:abstractNum>
  <w:abstractNum w:abstractNumId="27">
    <w:nsid w:val="4516DDE9"/>
    <w:multiLevelType w:val="hybridMultilevel"/>
    <w:lvl w:ilvl="0">
      <w:lvlJc w:val="left"/>
      <w:lvlText w:val="%1"/>
      <w:numFmt w:val="lowerRoman"/>
      <w:start w:val="1"/>
    </w:lvl>
    <w:lvl w:ilvl="1">
      <w:lvlJc w:val="left"/>
      <w:lvlText w:val="(%2)"/>
      <w:numFmt w:val="lowerRoman"/>
      <w:start w:val="3"/>
    </w:lvl>
  </w:abstractNum>
  <w:abstractNum w:abstractNumId="28">
    <w:nsid w:val="3006C83E"/>
    <w:multiLevelType w:val="hybridMultilevel"/>
    <w:lvl w:ilvl="0">
      <w:lvlJc w:val="left"/>
      <w:lvlText w:val="(%1)"/>
      <w:numFmt w:val="lowerRoman"/>
      <w:start w:val="2"/>
    </w:lvl>
    <w:lvl w:ilvl="1">
      <w:lvlJc w:val="left"/>
      <w:lvlText w:val="%2"/>
      <w:numFmt w:val="lowerRoman"/>
      <w:start w:val="1"/>
    </w:lvl>
  </w:abstractNum>
  <w:abstractNum w:abstractNumId="29">
    <w:nsid w:val="614FD4A1"/>
    <w:multiLevelType w:val="hybridMultilevel"/>
    <w:lvl w:ilvl="0">
      <w:lvlJc w:val="left"/>
      <w:lvlText w:val="(%1)"/>
      <w:numFmt w:val="lowerLetter"/>
      <w:start w:val="4"/>
    </w:lvl>
    <w:lvl w:ilvl="1">
      <w:lvlJc w:val="left"/>
      <w:lvlText w:val="(%2)"/>
      <w:numFmt w:val="lowerRoman"/>
      <w:start w:val="1"/>
    </w:lvl>
  </w:abstractNum>
  <w:abstractNum w:abstractNumId="30">
    <w:nsid w:val="419AC241"/>
    <w:multiLevelType w:val="hybridMultilevel"/>
    <w:lvl w:ilvl="0">
      <w:lvlJc w:val="left"/>
      <w:lvlText w:val="(%1)"/>
      <w:numFmt w:val="lowerRoman"/>
      <w:start w:val="3"/>
    </w:lvl>
  </w:abstractNum>
  <w:abstractNum w:abstractNumId="31">
    <w:nsid w:val="5577F8E1"/>
    <w:multiLevelType w:val="hybridMultilevel"/>
    <w:lvl w:ilvl="0">
      <w:lvlJc w:val="left"/>
      <w:lvlText w:val="(%1)"/>
      <w:numFmt w:val="lowerLetter"/>
      <w:start w:val="1"/>
    </w:lvl>
  </w:abstractNum>
  <w:abstractNum w:abstractNumId="32">
    <w:nsid w:val="440BADFC"/>
    <w:multiLevelType w:val="hybridMultilevel"/>
    <w:lvl w:ilvl="0">
      <w:lvlJc w:val="left"/>
      <w:lvlText w:val="(%1)"/>
      <w:numFmt w:val="lowerLetter"/>
      <w:start w:val="1"/>
    </w:lvl>
  </w:abstractNum>
  <w:abstractNum w:abstractNumId="33">
    <w:nsid w:val="5072367"/>
    <w:multiLevelType w:val="hybridMultilevel"/>
    <w:lvl w:ilvl="0">
      <w:lvlJc w:val="left"/>
      <w:lvlText w:val="(%1)"/>
      <w:numFmt w:val="lowerLetter"/>
      <w:start w:val="1"/>
    </w:lvl>
  </w:abstractNum>
  <w:abstractNum w:abstractNumId="34">
    <w:nsid w:val="3804823E"/>
    <w:multiLevelType w:val="hybridMultilevel"/>
    <w:lvl w:ilvl="0">
      <w:lvlJc w:val="left"/>
      <w:lvlText w:val="%1."/>
      <w:numFmt w:val="decimal"/>
      <w:start w:val="1"/>
    </w:lvl>
    <w:lvl w:ilvl="1">
      <w:lvlJc w:val="left"/>
      <w:lvlText w:val="(%2)"/>
      <w:numFmt w:val="lowerLetter"/>
      <w:start w:val="1"/>
    </w:lvl>
  </w:abstractNum>
  <w:abstractNum w:abstractNumId="35">
    <w:nsid w:val="77465F01"/>
    <w:multiLevelType w:val="hybridMultilevel"/>
    <w:lvl w:ilvl="0">
      <w:lvlJc w:val="left"/>
      <w:lvlText w:val="%1."/>
      <w:numFmt w:val="decimal"/>
      <w:start w:val="1"/>
    </w:lvl>
    <w:lvl w:ilvl="1">
      <w:lvlJc w:val="left"/>
      <w:lvlText w:val="(%2)"/>
      <w:numFmt w:val="lowerLetter"/>
      <w:start w:val="1"/>
    </w:lvl>
  </w:abstractNum>
  <w:abstractNum w:abstractNumId="36">
    <w:nsid w:val="7724C67E"/>
    <w:multiLevelType w:val="hybridMultilevel"/>
    <w:lvl w:ilvl="0">
      <w:lvlJc w:val="left"/>
      <w:lvlText w:val="%1)"/>
      <w:numFmt w:val="decimal"/>
      <w:start w:val="1"/>
    </w:lvl>
  </w:abstractNum>
  <w:abstractNum w:abstractNumId="37">
    <w:nsid w:val="5C482A9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2019-12-29T18:16:10Z</dcterms:created>
  <dcterms:modified xsi:type="dcterms:W3CDTF">2019-12-29T18:16:10Z</dcterms:modified>
</cp:coreProperties>
</file>