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9"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_____________</w:t>
      </w:r>
    </w:p>
    <w:p>
      <w:pPr>
        <w:spacing w:after="0" w:line="201"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8"/>
          <w:szCs w:val="18"/>
          <w:color w:val="auto"/>
        </w:rPr>
        <w:t>FORM 8-A</w:t>
      </w:r>
    </w:p>
    <w:p>
      <w:pPr>
        <w:spacing w:after="0" w:line="201" w:lineRule="exact"/>
        <w:rPr>
          <w:sz w:val="24"/>
          <w:szCs w:val="24"/>
          <w:color w:val="auto"/>
        </w:rPr>
      </w:pPr>
    </w:p>
    <w:p>
      <w:pPr>
        <w:jc w:val="center"/>
        <w:ind w:right="2499"/>
        <w:spacing w:after="0"/>
        <w:rPr>
          <w:sz w:val="20"/>
          <w:szCs w:val="20"/>
          <w:color w:val="auto"/>
        </w:rPr>
      </w:pPr>
      <w:r>
        <w:rPr>
          <w:rFonts w:ascii="Courier New" w:cs="Courier New" w:eastAsia="Courier New" w:hAnsi="Courier New"/>
          <w:sz w:val="18"/>
          <w:szCs w:val="18"/>
          <w:color w:val="auto"/>
        </w:rPr>
        <w:t>FOR REGISTRATION OF CERTAIN CLASSES OF SECURITIES</w:t>
      </w:r>
    </w:p>
    <w:p>
      <w:pPr>
        <w:jc w:val="center"/>
        <w:ind w:right="2499"/>
        <w:spacing w:after="0" w:line="238" w:lineRule="auto"/>
        <w:rPr>
          <w:sz w:val="20"/>
          <w:szCs w:val="20"/>
          <w:color w:val="auto"/>
        </w:rPr>
      </w:pPr>
      <w:r>
        <w:rPr>
          <w:rFonts w:ascii="Courier New" w:cs="Courier New" w:eastAsia="Courier New" w:hAnsi="Courier New"/>
          <w:sz w:val="18"/>
          <w:szCs w:val="18"/>
          <w:color w:val="auto"/>
        </w:rPr>
        <w:t>PURSUANT TO SECTION 12(b) OR 12(g) OF THE</w:t>
      </w:r>
    </w:p>
    <w:p>
      <w:pPr>
        <w:jc w:val="center"/>
        <w:ind w:right="2499"/>
        <w:spacing w:after="0"/>
        <w:rPr>
          <w:sz w:val="20"/>
          <w:szCs w:val="20"/>
          <w:color w:val="auto"/>
        </w:rPr>
      </w:pPr>
      <w:r>
        <w:rPr>
          <w:rFonts w:ascii="Courier New" w:cs="Courier New" w:eastAsia="Courier New" w:hAnsi="Courier New"/>
          <w:sz w:val="18"/>
          <w:szCs w:val="18"/>
          <w:color w:val="auto"/>
        </w:rPr>
        <w:t>SECURITIES EXCHANGE ACT OF 1934</w:t>
      </w:r>
    </w:p>
    <w:p>
      <w:pPr>
        <w:jc w:val="center"/>
        <w:ind w:right="2399"/>
        <w:spacing w:after="0" w:line="237" w:lineRule="auto"/>
        <w:rPr>
          <w:sz w:val="20"/>
          <w:szCs w:val="20"/>
          <w:color w:val="auto"/>
        </w:rPr>
      </w:pPr>
      <w:r>
        <w:rPr>
          <w:rFonts w:ascii="Courier New" w:cs="Courier New" w:eastAsia="Courier New" w:hAnsi="Courier New"/>
          <w:sz w:val="18"/>
          <w:szCs w:val="18"/>
          <w:color w:val="auto"/>
        </w:rPr>
        <w:t>____________</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THE SCOTTS COMPANY</w:t>
      </w:r>
    </w:p>
    <w:p>
      <w:pPr>
        <w:ind w:left="2440"/>
        <w:spacing w:after="0" w:line="238" w:lineRule="auto"/>
        <w:rPr>
          <w:sz w:val="20"/>
          <w:szCs w:val="20"/>
          <w:color w:val="auto"/>
        </w:rPr>
      </w:pPr>
      <w:r>
        <w:rPr>
          <w:rFonts w:ascii="Courier New" w:cs="Courier New" w:eastAsia="Courier New" w:hAnsi="Courier New"/>
          <w:sz w:val="18"/>
          <w:szCs w:val="18"/>
          <w:color w:val="auto"/>
        </w:rPr>
        <w:t>THE O.M. SCOTT &amp; SONS COMPANY</w:t>
      </w:r>
    </w:p>
    <w:p>
      <w:pPr>
        <w:spacing w:after="0" w:line="5"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(Exact name of registrants as specified in their charters)</w:t>
      </w:r>
    </w:p>
    <w:p>
      <w:pPr>
        <w:sectPr>
          <w:pgSz w:w="11900" w:h="16877" w:orient="portrait"/>
          <w:cols w:equalWidth="0" w:num="1">
            <w:col w:w="10219"/>
          </w:cols>
          <w:pgMar w:left="240" w:top="244" w:right="1440" w:bottom="0" w:gutter="0" w:footer="0" w:header="0"/>
        </w:sectPr>
      </w:pP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of Incorporation</w:t>
      </w:r>
    </w:p>
    <w:p>
      <w:pPr>
        <w:spacing w:after="0" w:line="16"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or organization)</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31-1199481</w:t>
      </w:r>
    </w:p>
    <w:p>
      <w:pPr>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77" w:orient="portrait"/>
          <w:cols w:equalWidth="0" w:num="2">
            <w:col w:w="3500" w:space="720"/>
            <w:col w:w="5999"/>
          </w:cols>
          <w:pgMar w:left="240" w:top="244" w:right="1440" w:bottom="0" w:gutter="0" w:footer="0" w:header="0"/>
          <w:type w:val="continuous"/>
        </w:sectPr>
      </w:pPr>
    </w:p>
    <w:p>
      <w:pPr>
        <w:spacing w:after="0" w:line="204"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14111 Scottslawn Road</w:t>
      </w:r>
    </w:p>
    <w:p>
      <w:pPr>
        <w:jc w:val="center"/>
        <w:ind w:right="2319"/>
        <w:spacing w:after="0"/>
        <w:tabs>
          <w:tab w:leader="none" w:pos="180" w:val="left"/>
        </w:tabs>
        <w:rPr>
          <w:sz w:val="20"/>
          <w:szCs w:val="20"/>
          <w:color w:val="auto"/>
        </w:rPr>
      </w:pPr>
      <w:r>
        <w:rPr>
          <w:rFonts w:ascii="Courier New" w:cs="Courier New" w:eastAsia="Courier New" w:hAnsi="Courier New"/>
          <w:sz w:val="18"/>
          <w:szCs w:val="18"/>
          <w:color w:val="auto"/>
        </w:rPr>
        <w:t>Marysville, Ohio</w:t>
      </w:r>
      <w:r>
        <w:rPr>
          <w:sz w:val="20"/>
          <w:szCs w:val="20"/>
          <w:color w:val="auto"/>
        </w:rPr>
        <w:tab/>
      </w:r>
      <w:r>
        <w:rPr>
          <w:rFonts w:ascii="Courier New" w:cs="Courier New" w:eastAsia="Courier New" w:hAnsi="Courier New"/>
          <w:sz w:val="16"/>
          <w:szCs w:val="16"/>
          <w:color w:val="auto"/>
        </w:rPr>
        <w:t>43041</w:t>
      </w:r>
    </w:p>
    <w:p>
      <w:pPr>
        <w:sectPr>
          <w:pgSz w:w="11900" w:h="16877" w:orient="portrait"/>
          <w:cols w:equalWidth="0" w:num="1">
            <w:col w:w="10219"/>
          </w:cols>
          <w:pgMar w:left="240" w:top="244" w:right="1440" w:bottom="0" w:gutter="0" w:footer="0" w:header="0"/>
          <w:type w:val="continuous"/>
        </w:sectPr>
      </w:pPr>
    </w:p>
    <w:p>
      <w:pPr>
        <w:jc w:val="center"/>
        <w:ind w:right="2419"/>
        <w:spacing w:after="0"/>
        <w:rPr>
          <w:sz w:val="20"/>
          <w:szCs w:val="20"/>
          <w:color w:val="auto"/>
        </w:rPr>
      </w:pPr>
      <w:r>
        <w:rPr>
          <w:rFonts w:ascii="Courier New" w:cs="Courier New" w:eastAsia="Courier New" w:hAnsi="Courier New"/>
          <w:sz w:val="18"/>
          <w:szCs w:val="18"/>
          <w:color w:val="auto"/>
        </w:rPr>
        <w:t>(513) 644-0011</w:t>
      </w:r>
    </w:p>
    <w:p>
      <w:pPr>
        <w:jc w:val="center"/>
        <w:ind w:right="2419"/>
        <w:spacing w:after="0" w:line="237"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______________</w:t>
      </w:r>
    </w:p>
    <w:p>
      <w:pPr>
        <w:spacing w:after="0" w:line="207"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Securities to be registered pursuant to Section 12(b) of the Act:</w:t>
      </w: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00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Name of each exchange</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 of each</w:t>
            </w:r>
          </w:p>
        </w:tc>
        <w:tc>
          <w:tcPr>
            <w:tcW w:w="2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class</w:t>
            </w:r>
          </w:p>
        </w:tc>
        <w:tc>
          <w:tcPr>
            <w:tcW w:w="14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on which</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each class</w:t>
            </w: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to be so registered</w:t>
            </w:r>
          </w:p>
        </w:tc>
        <w:tc>
          <w:tcPr>
            <w:tcW w:w="14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is to be</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registered</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9 7/8% Senior</w:t>
            </w:r>
          </w:p>
        </w:tc>
        <w:tc>
          <w:tcPr>
            <w:tcW w:w="2520" w:type="dxa"/>
            <w:vAlign w:val="bottom"/>
          </w:tcPr>
          <w:p>
            <w:pPr>
              <w:ind w:left="40"/>
              <w:spacing w:after="0"/>
              <w:rPr>
                <w:sz w:val="20"/>
                <w:szCs w:val="20"/>
                <w:color w:val="auto"/>
              </w:rPr>
            </w:pPr>
            <w:r>
              <w:rPr>
                <w:rFonts w:ascii="Courier New" w:cs="Courier New" w:eastAsia="Courier New" w:hAnsi="Courier New"/>
                <w:sz w:val="18"/>
                <w:szCs w:val="18"/>
                <w:color w:val="auto"/>
              </w:rPr>
              <w:t>Subordinated Notes</w:t>
            </w:r>
          </w:p>
        </w:tc>
        <w:tc>
          <w:tcPr>
            <w:tcW w:w="1480" w:type="dxa"/>
            <w:vAlign w:val="bottom"/>
          </w:tcPr>
          <w:p>
            <w:pPr>
              <w:ind w:left="580"/>
              <w:spacing w:after="0"/>
              <w:rPr>
                <w:sz w:val="20"/>
                <w:szCs w:val="20"/>
                <w:color w:val="auto"/>
              </w:rPr>
            </w:pPr>
            <w:r>
              <w:rPr>
                <w:rFonts w:ascii="Courier New" w:cs="Courier New" w:eastAsia="Courier New" w:hAnsi="Courier New"/>
                <w:sz w:val="18"/>
                <w:szCs w:val="18"/>
                <w:color w:val="auto"/>
              </w:rPr>
              <w:t>New York</w:t>
            </w:r>
          </w:p>
        </w:tc>
        <w:tc>
          <w:tcPr>
            <w:tcW w:w="1520" w:type="dxa"/>
            <w:vAlign w:val="bottom"/>
          </w:tcPr>
          <w:p>
            <w:pPr>
              <w:ind w:left="40"/>
              <w:spacing w:after="0"/>
              <w:rPr>
                <w:sz w:val="20"/>
                <w:szCs w:val="20"/>
                <w:color w:val="auto"/>
              </w:rPr>
            </w:pPr>
            <w:r>
              <w:rPr>
                <w:rFonts w:ascii="Courier New" w:cs="Courier New" w:eastAsia="Courier New" w:hAnsi="Courier New"/>
                <w:sz w:val="18"/>
                <w:szCs w:val="18"/>
                <w:color w:val="auto"/>
                <w:w w:val="96"/>
              </w:rPr>
              <w:t>Stock Exchange</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due August 1,</w:t>
            </w:r>
          </w:p>
        </w:tc>
        <w:tc>
          <w:tcPr>
            <w:tcW w:w="2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2004</w:t>
            </w:r>
          </w:p>
        </w:tc>
        <w:tc>
          <w:tcPr>
            <w:tcW w:w="14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400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_________________</w:t>
            </w:r>
          </w:p>
        </w:tc>
        <w:tc>
          <w:tcPr>
            <w:tcW w:w="1520" w:type="dxa"/>
            <w:vAlign w:val="bottom"/>
          </w:tcPr>
          <w:p>
            <w:pPr>
              <w:spacing w:after="0"/>
              <w:rPr>
                <w:sz w:val="17"/>
                <w:szCs w:val="17"/>
                <w:color w:val="auto"/>
              </w:rPr>
            </w:pPr>
          </w:p>
        </w:tc>
      </w:tr>
    </w:tbl>
    <w:p>
      <w:pPr>
        <w:spacing w:after="0" w:line="207"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6"/>
          <w:szCs w:val="16"/>
          <w:color w:val="auto"/>
        </w:rPr>
        <w:t>Securities to be registered pursuant to Section 12(g) of the Act:</w:t>
      </w:r>
    </w:p>
    <w:p>
      <w:pPr>
        <w:spacing w:after="0" w:line="218"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4"/>
          <w:szCs w:val="24"/>
          <w:color w:val="auto"/>
        </w:rPr>
      </w:pPr>
    </w:p>
    <w:p>
      <w:pPr>
        <w:spacing w:after="0" w:line="209" w:lineRule="exact"/>
        <w:rPr>
          <w:sz w:val="24"/>
          <w:szCs w:val="24"/>
          <w:color w:val="auto"/>
        </w:rPr>
      </w:pPr>
    </w:p>
    <w:p>
      <w:pPr>
        <w:ind w:left="1060" w:right="451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8"/>
          <w:szCs w:val="18"/>
          <w:color w:val="auto"/>
        </w:rPr>
        <w:t>Description of Registrant's Securities to be Registered</w:t>
      </w:r>
    </w:p>
    <w:p>
      <w:pPr>
        <w:spacing w:after="0" w:line="208" w:lineRule="exact"/>
        <w:rPr>
          <w:sz w:val="24"/>
          <w:szCs w:val="24"/>
          <w:color w:val="auto"/>
        </w:rPr>
      </w:pPr>
    </w:p>
    <w:p>
      <w:pPr>
        <w:ind w:left="1060" w:right="3899"/>
        <w:spacing w:after="0" w:line="270" w:lineRule="auto"/>
        <w:rPr>
          <w:sz w:val="20"/>
          <w:szCs w:val="20"/>
          <w:color w:val="auto"/>
        </w:rPr>
      </w:pPr>
      <w:r>
        <w:rPr>
          <w:rFonts w:ascii="Courier New" w:cs="Courier New" w:eastAsia="Courier New" w:hAnsi="Courier New"/>
          <w:sz w:val="16"/>
          <w:szCs w:val="16"/>
          <w:color w:val="auto"/>
        </w:rPr>
        <w:t>The description of the Registrants' 9 7/8% Senior Subordinated Notes due August 1, 2004 (the "Notes") contained under the headings "DESCRIPTION OF NOTES" on pages S-11 to S-16 of the Prospectus Supplement dated July 12, 1994 to the Prospectus dated June 21, 1994 (the "Prospectus"), contained in the Registrants' Registration Statement on Form S-3 (File No. 33-53941), and "DESCRIPTION OF DEBT SECURITIES" on pages 33 through 45 of the Prospectus is incorporated herein by reference.</w:t>
      </w:r>
    </w:p>
    <w:p>
      <w:pPr>
        <w:spacing w:after="0" w:line="184"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Exhibits</w:t>
      </w:r>
    </w:p>
    <w:p>
      <w:pPr>
        <w:spacing w:after="0" w:line="201"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The following exhibits are filed as part of the</w:t>
      </w:r>
    </w:p>
    <w:p>
      <w:pPr>
        <w:ind w:left="1060"/>
        <w:spacing w:after="0" w:line="238" w:lineRule="auto"/>
        <w:rPr>
          <w:sz w:val="20"/>
          <w:szCs w:val="20"/>
          <w:color w:val="auto"/>
        </w:rPr>
      </w:pPr>
      <w:r>
        <w:rPr>
          <w:rFonts w:ascii="Courier New" w:cs="Courier New" w:eastAsia="Courier New" w:hAnsi="Courier New"/>
          <w:sz w:val="18"/>
          <w:szCs w:val="18"/>
          <w:color w:val="auto"/>
        </w:rPr>
        <w:t>registration statement:</w:t>
      </w:r>
    </w:p>
    <w:p>
      <w:pPr>
        <w:spacing w:after="0" w:line="207" w:lineRule="exact"/>
        <w:rPr>
          <w:sz w:val="24"/>
          <w:szCs w:val="24"/>
          <w:color w:val="auto"/>
        </w:rPr>
      </w:pPr>
    </w:p>
    <w:p>
      <w:pPr>
        <w:ind w:left="1580" w:right="3999" w:hanging="526"/>
        <w:spacing w:after="0" w:line="273" w:lineRule="auto"/>
        <w:tabs>
          <w:tab w:leader="none" w:pos="156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Form of 9 7/8% Senior Subordinated Note due August 1, 2004 (incorporated by reference to Exhibit 4.2 to the Registrants' Form 8-K dated July 22, 1994 (File No. 0-19768) and filed through the EDGAR System).</w:t>
      </w:r>
    </w:p>
    <w:p>
      <w:pPr>
        <w:spacing w:after="0" w:line="185" w:lineRule="exact"/>
        <w:rPr>
          <w:sz w:val="24"/>
          <w:szCs w:val="24"/>
          <w:color w:val="auto"/>
        </w:rPr>
      </w:pPr>
    </w:p>
    <w:p>
      <w:pPr>
        <w:ind w:left="1580" w:right="3479" w:hanging="526"/>
        <w:spacing w:after="0" w:line="237" w:lineRule="auto"/>
        <w:tabs>
          <w:tab w:leader="none" w:pos="1560" w:val="left"/>
        </w:tabs>
        <w:rPr>
          <w:sz w:val="20"/>
          <w:szCs w:val="20"/>
          <w:color w:val="auto"/>
        </w:rPr>
      </w:pPr>
      <w:r>
        <w:rPr>
          <w:rFonts w:ascii="Courier New" w:cs="Courier New" w:eastAsia="Courier New" w:hAnsi="Courier New"/>
          <w:sz w:val="18"/>
          <w:szCs w:val="18"/>
          <w:color w:val="auto"/>
        </w:rPr>
        <w:t>2.1</w:t>
        <w:tab/>
        <w:t>Indenture dated as of June 1, 1994, between the Registrants and Chemical Bank, as Trustee (incorporated by reference to Exhibit 4(b) to the Registrants' Registration Statement on Form S-3 (File No. 33-53941) filed through the EDGAR System).</w:t>
      </w:r>
    </w:p>
    <w:p>
      <w:pPr>
        <w:spacing w:after="0" w:line="210" w:lineRule="exact"/>
        <w:rPr>
          <w:sz w:val="24"/>
          <w:szCs w:val="24"/>
          <w:color w:val="auto"/>
        </w:rPr>
      </w:pPr>
    </w:p>
    <w:p>
      <w:pPr>
        <w:ind w:left="1580" w:right="3479" w:hanging="526"/>
        <w:spacing w:after="0" w:line="273" w:lineRule="auto"/>
        <w:tabs>
          <w:tab w:leader="none" w:pos="1560" w:val="left"/>
        </w:tabs>
        <w:rPr>
          <w:sz w:val="20"/>
          <w:szCs w:val="20"/>
          <w:color w:val="auto"/>
        </w:rPr>
      </w:pPr>
      <w:r>
        <w:rPr>
          <w:rFonts w:ascii="Courier New" w:cs="Courier New" w:eastAsia="Courier New" w:hAnsi="Courier New"/>
          <w:sz w:val="18"/>
          <w:szCs w:val="18"/>
          <w:color w:val="auto"/>
        </w:rPr>
        <w:t>2.2</w:t>
      </w:r>
      <w:r>
        <w:rPr>
          <w:sz w:val="20"/>
          <w:szCs w:val="20"/>
          <w:color w:val="auto"/>
        </w:rPr>
        <w:tab/>
      </w:r>
      <w:r>
        <w:rPr>
          <w:rFonts w:ascii="Courier New" w:cs="Courier New" w:eastAsia="Courier New" w:hAnsi="Courier New"/>
          <w:sz w:val="16"/>
          <w:szCs w:val="16"/>
          <w:color w:val="auto"/>
        </w:rPr>
        <w:t>First Supplemental Indenture dated as of July 12, 1994, between the Registrants and Chemical Bank, as Trustee (incorporated by reference to Exhibit 4.1 to the Registrants' Form 8-K dated July 22, 1994 (File No. 0-19768) and filed through the</w:t>
      </w:r>
    </w:p>
    <w:p>
      <w:pPr>
        <w:sectPr>
          <w:pgSz w:w="11900" w:h="16877" w:orient="portrait"/>
          <w:cols w:equalWidth="0" w:num="1">
            <w:col w:w="10219"/>
          </w:cols>
          <w:pgMar w:left="240" w:top="244" w:right="1440" w:bottom="0" w:gutter="0" w:footer="0" w:header="0"/>
          <w:type w:val="continuous"/>
        </w:sectPr>
      </w:pPr>
    </w:p>
    <w:bookmarkStart w:id="1" w:name="page2"/>
    <w:bookmarkEnd w:id="1"/>
    <w:p>
      <w:pPr>
        <w:ind w:left="1580"/>
        <w:spacing w:after="0"/>
        <w:rPr>
          <w:sz w:val="20"/>
          <w:szCs w:val="20"/>
          <w:color w:val="auto"/>
        </w:rPr>
      </w:pPr>
      <w:r>
        <w:rPr>
          <w:rFonts w:ascii="Courier New" w:cs="Courier New" w:eastAsia="Courier New" w:hAnsi="Courier New"/>
          <w:sz w:val="18"/>
          <w:szCs w:val="18"/>
          <w:color w:val="auto"/>
        </w:rPr>
        <w:t>EDGAR System).</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359" w:firstLine="1053"/>
        <w:spacing w:after="0" w:line="237" w:lineRule="auto"/>
        <w:rPr>
          <w:sz w:val="20"/>
          <w:szCs w:val="20"/>
          <w:color w:val="auto"/>
        </w:rPr>
      </w:pPr>
      <w:r>
        <w:rPr>
          <w:rFonts w:ascii="Courier New" w:cs="Courier New" w:eastAsia="Courier New" w:hAnsi="Courier New"/>
          <w:sz w:val="18"/>
          <w:szCs w:val="18"/>
          <w:color w:val="auto"/>
        </w:rPr>
        <w:t>Pursuant to the requirements of Section 12 of the Securities Exchange Act of 1934, the Registrants have duly caused this registration statement to be signed on its behalf by the undersigned, thereto duly authorized.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THE SCOTTS COMPANY</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July 26, 1994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Craig D. Walley</w:t>
      </w:r>
    </w:p>
    <w:p>
      <w:pPr>
        <w:spacing w:after="0" w:line="16" w:lineRule="exact"/>
        <w:rPr>
          <w:sz w:val="20"/>
          <w:szCs w:val="20"/>
          <w:color w:val="auto"/>
        </w:rPr>
      </w:pPr>
    </w:p>
    <w:p>
      <w:pPr>
        <w:sectPr>
          <w:pgSz w:w="11900" w:h="16838" w:orient="portrait"/>
          <w:cols w:equalWidth="0" w:num="2">
            <w:col w:w="2980" w:space="720"/>
            <w:col w:w="6519"/>
          </w:cols>
          <w:pgMar w:left="240" w:top="136" w:right="1440" w:bottom="1440" w:gutter="0" w:footer="0" w:header="0"/>
          <w:type w:val="continuous"/>
        </w:sectPr>
      </w:pPr>
    </w:p>
    <w:p>
      <w:pPr>
        <w:ind w:left="3700"/>
        <w:spacing w:after="0"/>
        <w:rPr>
          <w:sz w:val="20"/>
          <w:szCs w:val="20"/>
          <w:color w:val="auto"/>
        </w:rPr>
      </w:pPr>
      <w:r>
        <w:rPr>
          <w:rFonts w:ascii="Courier New" w:cs="Courier New" w:eastAsia="Courier New" w:hAnsi="Courier New"/>
          <w:sz w:val="18"/>
          <w:szCs w:val="18"/>
          <w:color w:val="auto"/>
        </w:rPr>
        <w:t>Name: Craig D. Walley</w:t>
      </w:r>
    </w:p>
    <w:p>
      <w:pPr>
        <w:ind w:left="3700"/>
        <w:spacing w:after="0" w:line="238" w:lineRule="auto"/>
        <w:rPr>
          <w:sz w:val="20"/>
          <w:szCs w:val="20"/>
          <w:color w:val="auto"/>
        </w:rPr>
      </w:pPr>
      <w:r>
        <w:rPr>
          <w:rFonts w:ascii="Courier New" w:cs="Courier New" w:eastAsia="Courier New" w:hAnsi="Courier New"/>
          <w:sz w:val="18"/>
          <w:szCs w:val="18"/>
          <w:color w:val="auto"/>
        </w:rPr>
        <w:t>Title: Vice President,</w:t>
      </w:r>
    </w:p>
    <w:p>
      <w:pPr>
        <w:ind w:left="4320"/>
        <w:spacing w:after="0"/>
        <w:rPr>
          <w:sz w:val="20"/>
          <w:szCs w:val="20"/>
          <w:color w:val="auto"/>
        </w:rPr>
      </w:pPr>
      <w:r>
        <w:rPr>
          <w:rFonts w:ascii="Courier New" w:cs="Courier New" w:eastAsia="Courier New" w:hAnsi="Courier New"/>
          <w:sz w:val="18"/>
          <w:szCs w:val="18"/>
          <w:color w:val="auto"/>
        </w:rPr>
        <w:t>General Counsel</w:t>
      </w:r>
    </w:p>
    <w:p>
      <w:pPr>
        <w:ind w:left="4320"/>
        <w:spacing w:after="0" w:line="237" w:lineRule="auto"/>
        <w:rPr>
          <w:sz w:val="20"/>
          <w:szCs w:val="20"/>
          <w:color w:val="auto"/>
        </w:rPr>
      </w:pPr>
      <w:r>
        <w:rPr>
          <w:rFonts w:ascii="Courier New" w:cs="Courier New" w:eastAsia="Courier New" w:hAnsi="Courier New"/>
          <w:sz w:val="18"/>
          <w:szCs w:val="18"/>
          <w:color w:val="auto"/>
        </w:rPr>
        <w:t>and Secretary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THE O.M. SCOTT &amp; SONS COMPANY</w:t>
      </w:r>
    </w:p>
    <w:p>
      <w:pPr>
        <w:sectPr>
          <w:pgSz w:w="11900" w:h="16838" w:orient="portrait"/>
          <w:cols w:equalWidth="0" w:num="1">
            <w:col w:w="10219"/>
          </w:cols>
          <w:pgMar w:left="240" w:top="13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July 26, 1994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Craig D. Walley</w:t>
      </w:r>
    </w:p>
    <w:p>
      <w:pPr>
        <w:spacing w:after="0" w:line="1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Craig D. Walley</w:t>
      </w:r>
    </w:p>
    <w:p>
      <w:pPr>
        <w:spacing w:after="0" w:line="238" w:lineRule="auto"/>
        <w:rPr>
          <w:sz w:val="20"/>
          <w:szCs w:val="20"/>
          <w:color w:val="auto"/>
        </w:rPr>
      </w:pPr>
      <w:r>
        <w:rPr>
          <w:rFonts w:ascii="Courier New" w:cs="Courier New" w:eastAsia="Courier New" w:hAnsi="Courier New"/>
          <w:sz w:val="18"/>
          <w:szCs w:val="18"/>
          <w:color w:val="auto"/>
        </w:rPr>
        <w:t>Title: Vice President,</w:t>
      </w:r>
    </w:p>
    <w:p>
      <w:pPr>
        <w:ind w:left="520"/>
        <w:spacing w:after="0"/>
        <w:rPr>
          <w:sz w:val="20"/>
          <w:szCs w:val="20"/>
          <w:color w:val="auto"/>
        </w:rPr>
      </w:pPr>
      <w:r>
        <w:rPr>
          <w:rFonts w:ascii="Courier New" w:cs="Courier New" w:eastAsia="Courier New" w:hAnsi="Courier New"/>
          <w:sz w:val="18"/>
          <w:szCs w:val="18"/>
          <w:color w:val="auto"/>
        </w:rPr>
        <w:t>General Counsel</w:t>
      </w:r>
    </w:p>
    <w:p>
      <w:pPr>
        <w:ind w:left="520"/>
        <w:spacing w:after="0" w:line="237" w:lineRule="auto"/>
        <w:rPr>
          <w:sz w:val="20"/>
          <w:szCs w:val="20"/>
          <w:color w:val="auto"/>
        </w:rPr>
      </w:pPr>
      <w:r>
        <w:rPr>
          <w:rFonts w:ascii="Courier New" w:cs="Courier New" w:eastAsia="Courier New" w:hAnsi="Courier New"/>
          <w:sz w:val="18"/>
          <w:szCs w:val="18"/>
          <w:color w:val="auto"/>
        </w:rPr>
        <w:t>and Secretary</w:t>
      </w:r>
    </w:p>
    <w:sectPr>
      <w:pgSz w:w="11900" w:h="16838" w:orient="portrait"/>
      <w:cols w:equalWidth="0" w:num="2">
        <w:col w:w="2980" w:space="720"/>
        <w:col w:w="65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2019-12-19T23:47:26Z</dcterms:created>
  <dcterms:modified xsi:type="dcterms:W3CDTF">2019-12-19T23:47:26Z</dcterms:modified>
</cp:coreProperties>
</file>