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4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3180"/>
        <w:spacing w:after="0"/>
        <w:rPr>
          <w:sz w:val="20"/>
          <w:szCs w:val="20"/>
          <w:color w:val="auto"/>
        </w:rPr>
      </w:pPr>
      <w:r>
        <w:rPr>
          <w:rFonts w:ascii="Arial" w:cs="Arial" w:eastAsia="Arial" w:hAnsi="Arial"/>
          <w:sz w:val="16"/>
          <w:szCs w:val="16"/>
          <w:color w:val="auto"/>
        </w:rPr>
        <w:t>______________________________________________________________</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6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67" w:lineRule="exact"/>
        <w:rPr>
          <w:sz w:val="24"/>
          <w:szCs w:val="24"/>
          <w:color w:val="auto"/>
        </w:rPr>
      </w:pPr>
    </w:p>
    <w:p>
      <w:pPr>
        <w:ind w:left="440" w:right="3020" w:hanging="405"/>
        <w:spacing w:after="0" w:line="308" w:lineRule="auto"/>
        <w:tabs>
          <w:tab w:leader="none" w:pos="49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September 30, 2013</w:t>
      </w:r>
    </w:p>
    <w:p>
      <w:pPr>
        <w:jc w:val="center"/>
        <w:spacing w:after="0"/>
        <w:rPr>
          <w:sz w:val="20"/>
          <w:szCs w:val="20"/>
          <w:color w:val="auto"/>
        </w:rPr>
      </w:pPr>
      <w:r>
        <w:rPr>
          <w:rFonts w:ascii="Arial" w:cs="Arial" w:eastAsia="Arial" w:hAnsi="Arial"/>
          <w:sz w:val="16"/>
          <w:szCs w:val="16"/>
          <w:b w:val="1"/>
          <w:bCs w:val="1"/>
          <w:color w:val="auto"/>
        </w:rPr>
        <w:t>OR</w:t>
      </w:r>
    </w:p>
    <w:p>
      <w:pPr>
        <w:spacing w:after="0" w:line="167"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6" w:lineRule="exact"/>
        <w:rPr>
          <w:sz w:val="24"/>
          <w:szCs w:val="24"/>
          <w:color w:val="auto"/>
        </w:rPr>
      </w:pPr>
    </w:p>
    <w:tbl>
      <w:tblPr>
        <w:tblLayout w:type="fixed"/>
        <w:tblInd w:w="340" w:type="dxa"/>
        <w:tblCellMar>
          <w:top w:w="0" w:type="dxa"/>
          <w:left w:w="0" w:type="dxa"/>
          <w:bottom w:w="0" w:type="dxa"/>
          <w:right w:w="0" w:type="dxa"/>
        </w:tblCellMar>
      </w:tblPr>
      <w:tr>
        <w:trPr>
          <w:trHeight w:val="210"/>
        </w:trPr>
        <w:tc>
          <w:tcPr>
            <w:tcW w:w="2280" w:type="dxa"/>
            <w:vAlign w:val="bottom"/>
            <w:gridSpan w:val="2"/>
          </w:tcPr>
          <w:p>
            <w:pPr>
              <w:ind w:left="100"/>
              <w:spacing w:after="0"/>
              <w:rPr>
                <w:sz w:val="20"/>
                <w:szCs w:val="20"/>
                <w:color w:val="auto"/>
              </w:rPr>
            </w:pPr>
            <w:r>
              <w:rPr>
                <w:rFonts w:ascii="Arial" w:cs="Arial" w:eastAsia="Arial" w:hAnsi="Arial"/>
                <w:sz w:val="16"/>
                <w:szCs w:val="16"/>
                <w:b w:val="1"/>
                <w:bCs w:val="1"/>
                <w:color w:val="auto"/>
                <w:w w:val="96"/>
              </w:rPr>
              <w:t>For the transition period from</w:t>
            </w:r>
          </w:p>
        </w:tc>
        <w:tc>
          <w:tcPr>
            <w:tcW w:w="1740" w:type="dxa"/>
            <w:vAlign w:val="bottom"/>
            <w:gridSpan w:val="2"/>
          </w:tcPr>
          <w:p>
            <w:pPr>
              <w:ind w:left="800"/>
              <w:spacing w:after="0"/>
              <w:rPr>
                <w:sz w:val="20"/>
                <w:szCs w:val="20"/>
                <w:color w:val="auto"/>
              </w:rPr>
            </w:pPr>
            <w:r>
              <w:rPr>
                <w:rFonts w:ascii="Arial" w:cs="Arial" w:eastAsia="Arial" w:hAnsi="Arial"/>
                <w:sz w:val="16"/>
                <w:szCs w:val="16"/>
                <w:b w:val="1"/>
                <w:bCs w:val="1"/>
                <w:color w:val="auto"/>
              </w:rPr>
              <w:t>to</w:t>
            </w:r>
          </w:p>
        </w:tc>
        <w:tc>
          <w:tcPr>
            <w:tcW w:w="2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3"/>
        </w:trPr>
        <w:tc>
          <w:tcPr>
            <w:tcW w:w="1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740" w:type="dxa"/>
            <w:vAlign w:val="bottom"/>
            <w:gridSpan w:val="2"/>
          </w:tcPr>
          <w:p>
            <w:pPr>
              <w:jc w:val="center"/>
              <w:ind w:right="944"/>
              <w:spacing w:after="0"/>
              <w:rPr>
                <w:sz w:val="20"/>
                <w:szCs w:val="20"/>
                <w:color w:val="auto"/>
              </w:rPr>
            </w:pPr>
            <w:r>
              <w:rPr>
                <w:rFonts w:ascii="Arial" w:cs="Arial" w:eastAsia="Arial" w:hAnsi="Arial"/>
                <w:sz w:val="16"/>
                <w:szCs w:val="16"/>
                <w:b w:val="1"/>
                <w:bCs w:val="1"/>
                <w:color w:val="auto"/>
                <w:w w:val="91"/>
              </w:rPr>
              <w:t>Commission file number 1-11593</w:t>
            </w:r>
          </w:p>
        </w:tc>
        <w:tc>
          <w:tcPr>
            <w:tcW w:w="6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165"/>
        </w:trPr>
        <w:tc>
          <w:tcPr>
            <w:tcW w:w="1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100" w:type="dxa"/>
            <w:vAlign w:val="bottom"/>
            <w:gridSpan w:val="5"/>
          </w:tcPr>
          <w:p>
            <w:pPr>
              <w:jc w:val="right"/>
              <w:ind w:right="461"/>
              <w:spacing w:after="0" w:line="165" w:lineRule="exact"/>
              <w:rPr>
                <w:sz w:val="20"/>
                <w:szCs w:val="20"/>
                <w:color w:val="auto"/>
              </w:rPr>
            </w:pPr>
            <w:r>
              <w:rPr>
                <w:rFonts w:ascii="Arial" w:cs="Arial" w:eastAsia="Arial" w:hAnsi="Arial"/>
                <w:sz w:val="16"/>
                <w:szCs w:val="16"/>
                <w:color w:val="auto"/>
              </w:rPr>
              <w:t>______________________________________________________________</w:t>
            </w:r>
          </w:p>
        </w:tc>
        <w:tc>
          <w:tcPr>
            <w:tcW w:w="1260" w:type="dxa"/>
            <w:vAlign w:val="bottom"/>
          </w:tcPr>
          <w:p>
            <w:pPr>
              <w:spacing w:after="0"/>
              <w:rPr>
                <w:sz w:val="14"/>
                <w:szCs w:val="14"/>
                <w:color w:val="auto"/>
              </w:rPr>
            </w:pPr>
          </w:p>
        </w:tc>
      </w:tr>
      <w:tr>
        <w:trPr>
          <w:trHeight w:val="493"/>
        </w:trPr>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00" w:type="dxa"/>
            <w:vAlign w:val="bottom"/>
            <w:gridSpan w:val="5"/>
          </w:tcPr>
          <w:p>
            <w:pPr>
              <w:jc w:val="center"/>
              <w:spacing w:after="0"/>
              <w:rPr>
                <w:sz w:val="20"/>
                <w:szCs w:val="20"/>
                <w:color w:val="auto"/>
              </w:rPr>
            </w:pPr>
            <w:r>
              <w:rPr>
                <w:rFonts w:ascii="Arial" w:cs="Arial" w:eastAsia="Arial" w:hAnsi="Arial"/>
                <w:sz w:val="40"/>
                <w:szCs w:val="40"/>
                <w:b w:val="1"/>
                <w:bCs w:val="1"/>
                <w:color w:val="auto"/>
                <w:w w:val="90"/>
              </w:rPr>
              <w:t>The Scotts Miracle-Gro Company</w:t>
            </w:r>
          </w:p>
        </w:tc>
        <w:tc>
          <w:tcPr>
            <w:tcW w:w="1260" w:type="dxa"/>
            <w:vAlign w:val="bottom"/>
          </w:tcPr>
          <w:p>
            <w:pPr>
              <w:spacing w:after="0"/>
              <w:rPr>
                <w:sz w:val="24"/>
                <w:szCs w:val="24"/>
                <w:color w:val="auto"/>
              </w:rPr>
            </w:pPr>
          </w:p>
        </w:tc>
      </w:tr>
      <w:tr>
        <w:trPr>
          <w:trHeight w:val="210"/>
        </w:trPr>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60" w:type="dxa"/>
            <w:vAlign w:val="bottom"/>
            <w:gridSpan w:val="3"/>
          </w:tcPr>
          <w:p>
            <w:pPr>
              <w:jc w:val="center"/>
              <w:ind w:right="44"/>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51"/>
        </w:trPr>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2"/>
          </w:tcPr>
          <w:p>
            <w:pPr>
              <w:jc w:val="center"/>
              <w:ind w:right="1159"/>
              <w:spacing w:after="0"/>
              <w:rPr>
                <w:sz w:val="20"/>
                <w:szCs w:val="20"/>
                <w:color w:val="auto"/>
              </w:rPr>
            </w:pPr>
            <w:r>
              <w:rPr>
                <w:rFonts w:ascii="Arial" w:cs="Arial" w:eastAsia="Arial" w:hAnsi="Arial"/>
                <w:sz w:val="16"/>
                <w:szCs w:val="16"/>
                <w:b w:val="1"/>
                <w:bCs w:val="1"/>
                <w:color w:val="auto"/>
                <w:w w:val="93"/>
              </w:rPr>
              <w:t>Ohio</w:t>
            </w:r>
          </w:p>
        </w:tc>
        <w:tc>
          <w:tcPr>
            <w:tcW w:w="2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80" w:type="dxa"/>
            <w:vAlign w:val="bottom"/>
            <w:gridSpan w:val="2"/>
          </w:tcPr>
          <w:p>
            <w:pPr>
              <w:jc w:val="right"/>
              <w:ind w:right="939"/>
              <w:spacing w:after="0"/>
              <w:rPr>
                <w:sz w:val="20"/>
                <w:szCs w:val="20"/>
                <w:color w:val="auto"/>
              </w:rPr>
            </w:pPr>
            <w:r>
              <w:rPr>
                <w:rFonts w:ascii="Arial" w:cs="Arial" w:eastAsia="Arial" w:hAnsi="Arial"/>
                <w:sz w:val="16"/>
                <w:szCs w:val="16"/>
                <w:b w:val="1"/>
                <w:bCs w:val="1"/>
                <w:color w:val="auto"/>
                <w:w w:val="98"/>
              </w:rPr>
              <w:t>31-1414921</w:t>
            </w:r>
          </w:p>
        </w:tc>
      </w:tr>
      <w:tr>
        <w:trPr>
          <w:trHeight w:val="186"/>
        </w:trPr>
        <w:tc>
          <w:tcPr>
            <w:tcW w:w="4020" w:type="dxa"/>
            <w:vAlign w:val="bottom"/>
            <w:gridSpan w:val="4"/>
          </w:tcPr>
          <w:p>
            <w:pPr>
              <w:jc w:val="center"/>
              <w:ind w:left="941"/>
              <w:spacing w:after="0"/>
              <w:rPr>
                <w:sz w:val="20"/>
                <w:szCs w:val="20"/>
                <w:color w:val="auto"/>
              </w:rPr>
            </w:pPr>
            <w:r>
              <w:rPr>
                <w:rFonts w:ascii="Arial" w:cs="Arial" w:eastAsia="Arial" w:hAnsi="Arial"/>
                <w:sz w:val="14"/>
                <w:szCs w:val="14"/>
                <w:b w:val="1"/>
                <w:bCs w:val="1"/>
                <w:color w:val="auto"/>
                <w:w w:val="93"/>
              </w:rPr>
              <w:t>(State or other jurisdiction of</w:t>
            </w:r>
          </w:p>
        </w:tc>
        <w:tc>
          <w:tcPr>
            <w:tcW w:w="2800" w:type="dxa"/>
            <w:vAlign w:val="bottom"/>
          </w:tcPr>
          <w:p>
            <w:pPr>
              <w:spacing w:after="0"/>
              <w:rPr>
                <w:sz w:val="16"/>
                <w:szCs w:val="16"/>
                <w:color w:val="auto"/>
              </w:rPr>
            </w:pPr>
          </w:p>
        </w:tc>
        <w:tc>
          <w:tcPr>
            <w:tcW w:w="2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020" w:type="dxa"/>
            <w:vAlign w:val="bottom"/>
            <w:gridSpan w:val="4"/>
          </w:tcPr>
          <w:p>
            <w:pPr>
              <w:jc w:val="center"/>
              <w:ind w:left="941"/>
              <w:spacing w:after="0"/>
              <w:rPr>
                <w:sz w:val="20"/>
                <w:szCs w:val="20"/>
                <w:color w:val="auto"/>
              </w:rPr>
            </w:pPr>
            <w:r>
              <w:rPr>
                <w:rFonts w:ascii="Arial" w:cs="Arial" w:eastAsia="Arial" w:hAnsi="Arial"/>
                <w:sz w:val="14"/>
                <w:szCs w:val="14"/>
                <w:b w:val="1"/>
                <w:bCs w:val="1"/>
                <w:color w:val="auto"/>
                <w:w w:val="94"/>
              </w:rPr>
              <w:t>incorporation or organization)</w:t>
            </w:r>
          </w:p>
        </w:tc>
        <w:tc>
          <w:tcPr>
            <w:tcW w:w="2800" w:type="dxa"/>
            <w:vAlign w:val="bottom"/>
          </w:tcPr>
          <w:p>
            <w:pPr>
              <w:spacing w:after="0"/>
              <w:rPr>
                <w:sz w:val="16"/>
                <w:szCs w:val="16"/>
                <w:color w:val="auto"/>
              </w:rPr>
            </w:pPr>
          </w:p>
        </w:tc>
        <w:tc>
          <w:tcPr>
            <w:tcW w:w="2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Identification No.)</w:t>
            </w:r>
          </w:p>
        </w:tc>
      </w:tr>
      <w:tr>
        <w:trPr>
          <w:trHeight w:val="349"/>
        </w:trPr>
        <w:tc>
          <w:tcPr>
            <w:tcW w:w="4020" w:type="dxa"/>
            <w:vAlign w:val="bottom"/>
            <w:gridSpan w:val="4"/>
          </w:tcPr>
          <w:p>
            <w:pPr>
              <w:jc w:val="center"/>
              <w:ind w:left="961"/>
              <w:spacing w:after="0"/>
              <w:rPr>
                <w:sz w:val="20"/>
                <w:szCs w:val="20"/>
                <w:color w:val="auto"/>
              </w:rPr>
            </w:pPr>
            <w:r>
              <w:rPr>
                <w:rFonts w:ascii="Arial" w:cs="Arial" w:eastAsia="Arial" w:hAnsi="Arial"/>
                <w:sz w:val="16"/>
                <w:szCs w:val="16"/>
                <w:b w:val="1"/>
                <w:bCs w:val="1"/>
                <w:color w:val="auto"/>
                <w:w w:val="88"/>
              </w:rPr>
              <w:t>14111 Scottslawn Road,</w:t>
            </w:r>
          </w:p>
        </w:tc>
        <w:tc>
          <w:tcPr>
            <w:tcW w:w="2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0"/>
        </w:trPr>
        <w:tc>
          <w:tcPr>
            <w:tcW w:w="4020" w:type="dxa"/>
            <w:vAlign w:val="bottom"/>
            <w:gridSpan w:val="4"/>
          </w:tcPr>
          <w:p>
            <w:pPr>
              <w:jc w:val="center"/>
              <w:ind w:left="941"/>
              <w:spacing w:after="0"/>
              <w:rPr>
                <w:sz w:val="20"/>
                <w:szCs w:val="20"/>
                <w:color w:val="auto"/>
              </w:rPr>
            </w:pPr>
            <w:r>
              <w:rPr>
                <w:rFonts w:ascii="Arial" w:cs="Arial" w:eastAsia="Arial" w:hAnsi="Arial"/>
                <w:sz w:val="16"/>
                <w:szCs w:val="16"/>
                <w:b w:val="1"/>
                <w:bCs w:val="1"/>
                <w:color w:val="auto"/>
                <w:w w:val="94"/>
              </w:rPr>
              <w:t>Marysville, Ohio</w:t>
            </w:r>
          </w:p>
        </w:tc>
        <w:tc>
          <w:tcPr>
            <w:tcW w:w="2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80" w:type="dxa"/>
            <w:vAlign w:val="bottom"/>
            <w:gridSpan w:val="2"/>
          </w:tcPr>
          <w:p>
            <w:pPr>
              <w:jc w:val="right"/>
              <w:ind w:right="1119"/>
              <w:spacing w:after="0"/>
              <w:rPr>
                <w:sz w:val="20"/>
                <w:szCs w:val="20"/>
                <w:color w:val="auto"/>
              </w:rPr>
            </w:pPr>
            <w:r>
              <w:rPr>
                <w:rFonts w:ascii="Arial" w:cs="Arial" w:eastAsia="Arial" w:hAnsi="Arial"/>
                <w:sz w:val="16"/>
                <w:szCs w:val="16"/>
                <w:b w:val="1"/>
                <w:bCs w:val="1"/>
                <w:color w:val="auto"/>
              </w:rPr>
              <w:t>43041</w:t>
            </w:r>
          </w:p>
        </w:tc>
      </w:tr>
      <w:tr>
        <w:trPr>
          <w:trHeight w:val="222"/>
        </w:trPr>
        <w:tc>
          <w:tcPr>
            <w:tcW w:w="4020" w:type="dxa"/>
            <w:vAlign w:val="bottom"/>
            <w:gridSpan w:val="4"/>
          </w:tcPr>
          <w:p>
            <w:pPr>
              <w:jc w:val="center"/>
              <w:ind w:left="9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80" w:type="dxa"/>
            <w:vAlign w:val="bottom"/>
            <w:gridSpan w:val="2"/>
          </w:tcPr>
          <w:p>
            <w:pPr>
              <w:jc w:val="center"/>
              <w:ind w:right="859"/>
              <w:spacing w:after="0"/>
              <w:rPr>
                <w:sz w:val="20"/>
                <w:szCs w:val="20"/>
                <w:color w:val="auto"/>
              </w:rPr>
            </w:pPr>
            <w:r>
              <w:rPr>
                <w:rFonts w:ascii="Arial" w:cs="Arial" w:eastAsia="Arial" w:hAnsi="Arial"/>
                <w:sz w:val="14"/>
                <w:szCs w:val="14"/>
                <w:b w:val="1"/>
                <w:bCs w:val="1"/>
                <w:color w:val="auto"/>
                <w:w w:val="95"/>
              </w:rPr>
              <w:t>(Zip Code)</w:t>
            </w:r>
          </w:p>
        </w:tc>
      </w:tr>
      <w:tr>
        <w:trPr>
          <w:trHeight w:val="189"/>
        </w:trPr>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60" w:type="dxa"/>
            <w:vAlign w:val="bottom"/>
            <w:gridSpan w:val="3"/>
          </w:tcPr>
          <w:p>
            <w:pPr>
              <w:jc w:val="center"/>
              <w:ind w:right="24"/>
              <w:spacing w:after="0"/>
              <w:rPr>
                <w:sz w:val="20"/>
                <w:szCs w:val="20"/>
                <w:color w:val="auto"/>
              </w:rPr>
            </w:pPr>
            <w:r>
              <w:rPr>
                <w:rFonts w:ascii="Arial" w:cs="Arial" w:eastAsia="Arial" w:hAnsi="Arial"/>
                <w:sz w:val="16"/>
                <w:szCs w:val="16"/>
                <w:b w:val="1"/>
                <w:bCs w:val="1"/>
                <w:color w:val="auto"/>
                <w:w w:val="89"/>
              </w:rPr>
              <w:t>Registrant’s telephone number, including area code:</w:t>
            </w: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937-644-0011</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0"/>
        </w:trPr>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60" w:type="dxa"/>
            <w:vAlign w:val="bottom"/>
            <w:gridSpan w:val="3"/>
          </w:tcPr>
          <w:p>
            <w:pPr>
              <w:jc w:val="center"/>
              <w:ind w:right="24"/>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90"/>
        </w:trPr>
        <w:tc>
          <w:tcPr>
            <w:tcW w:w="1940" w:type="dxa"/>
            <w:vAlign w:val="bottom"/>
          </w:tcPr>
          <w:p>
            <w:pPr>
              <w:spacing w:after="0"/>
              <w:rPr>
                <w:sz w:val="24"/>
                <w:szCs w:val="24"/>
                <w:color w:val="auto"/>
              </w:rPr>
            </w:pPr>
          </w:p>
        </w:tc>
        <w:tc>
          <w:tcPr>
            <w:tcW w:w="2080" w:type="dxa"/>
            <w:vAlign w:val="bottom"/>
            <w:gridSpan w:val="3"/>
          </w:tcPr>
          <w:p>
            <w:pPr>
              <w:jc w:val="center"/>
              <w:ind w:right="839"/>
              <w:spacing w:after="0"/>
              <w:rPr>
                <w:sz w:val="20"/>
                <w:szCs w:val="20"/>
                <w:color w:val="auto"/>
              </w:rPr>
            </w:pPr>
            <w:r>
              <w:rPr>
                <w:rFonts w:ascii="Arial" w:cs="Arial" w:eastAsia="Arial" w:hAnsi="Arial"/>
                <w:sz w:val="14"/>
                <w:szCs w:val="14"/>
                <w:b w:val="1"/>
                <w:bCs w:val="1"/>
                <w:color w:val="auto"/>
                <w:w w:val="93"/>
              </w:rPr>
              <w:t>Title of Each Class</w:t>
            </w:r>
          </w:p>
        </w:tc>
        <w:tc>
          <w:tcPr>
            <w:tcW w:w="2800" w:type="dxa"/>
            <w:vAlign w:val="bottom"/>
          </w:tcPr>
          <w:p>
            <w:pPr>
              <w:spacing w:after="0"/>
              <w:rPr>
                <w:sz w:val="24"/>
                <w:szCs w:val="24"/>
                <w:color w:val="auto"/>
              </w:rPr>
            </w:pPr>
          </w:p>
        </w:tc>
        <w:tc>
          <w:tcPr>
            <w:tcW w:w="2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0"/>
        </w:trPr>
        <w:tc>
          <w:tcPr>
            <w:tcW w:w="194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20" w:type="dxa"/>
            <w:vAlign w:val="bottom"/>
            <w:gridSpan w:val="3"/>
            <w:shd w:val="clear" w:color="auto" w:fill="000000"/>
          </w:tcPr>
          <w:p>
            <w:pPr>
              <w:spacing w:after="0" w:line="20" w:lineRule="exact"/>
              <w:rPr>
                <w:sz w:val="1"/>
                <w:szCs w:val="1"/>
                <w:color w:val="auto"/>
              </w:rPr>
            </w:pPr>
          </w:p>
        </w:tc>
      </w:tr>
      <w:tr>
        <w:trPr>
          <w:trHeight w:val="264"/>
        </w:trPr>
        <w:tc>
          <w:tcPr>
            <w:tcW w:w="4020" w:type="dxa"/>
            <w:vAlign w:val="bottom"/>
            <w:gridSpan w:val="4"/>
          </w:tcPr>
          <w:p>
            <w:pPr>
              <w:jc w:val="center"/>
              <w:ind w:left="961"/>
              <w:spacing w:after="0"/>
              <w:rPr>
                <w:sz w:val="20"/>
                <w:szCs w:val="20"/>
                <w:color w:val="auto"/>
              </w:rPr>
            </w:pPr>
            <w:r>
              <w:rPr>
                <w:rFonts w:ascii="Arial" w:cs="Arial" w:eastAsia="Arial" w:hAnsi="Arial"/>
                <w:sz w:val="18"/>
                <w:szCs w:val="18"/>
                <w:color w:val="auto"/>
                <w:w w:val="90"/>
              </w:rPr>
              <w:t>Common Shares, without par value</w:t>
            </w:r>
          </w:p>
        </w:tc>
        <w:tc>
          <w:tcPr>
            <w:tcW w:w="2800" w:type="dxa"/>
            <w:vAlign w:val="bottom"/>
          </w:tcPr>
          <w:p>
            <w:pPr>
              <w:spacing w:after="0"/>
              <w:rPr>
                <w:sz w:val="22"/>
                <w:szCs w:val="22"/>
                <w:color w:val="auto"/>
              </w:rPr>
            </w:pPr>
          </w:p>
        </w:tc>
        <w:tc>
          <w:tcPr>
            <w:tcW w:w="2820" w:type="dxa"/>
            <w:vAlign w:val="bottom"/>
            <w:gridSpan w:val="3"/>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02"/>
        </w:trPr>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60" w:type="dxa"/>
            <w:vAlign w:val="bottom"/>
            <w:gridSpan w:val="3"/>
          </w:tcPr>
          <w:p>
            <w:pPr>
              <w:jc w:val="center"/>
              <w:ind w:right="24"/>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3"/>
        </w:trPr>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740" w:type="dxa"/>
            <w:vAlign w:val="bottom"/>
            <w:gridSpan w:val="2"/>
          </w:tcPr>
          <w:p>
            <w:pPr>
              <w:jc w:val="center"/>
              <w:ind w:right="944"/>
              <w:spacing w:after="0"/>
              <w:rPr>
                <w:sz w:val="20"/>
                <w:szCs w:val="20"/>
                <w:color w:val="auto"/>
              </w:rPr>
            </w:pPr>
            <w:r>
              <w:rPr>
                <w:rFonts w:ascii="Arial" w:cs="Arial" w:eastAsia="Arial" w:hAnsi="Arial"/>
                <w:sz w:val="16"/>
                <w:szCs w:val="16"/>
                <w:b w:val="1"/>
                <w:bCs w:val="1"/>
                <w:color w:val="auto"/>
                <w:w w:val="89"/>
              </w:rPr>
              <w:t>None</w:t>
            </w: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6"/>
        </w:trPr>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100" w:type="dxa"/>
            <w:vAlign w:val="bottom"/>
            <w:gridSpan w:val="5"/>
          </w:tcPr>
          <w:p>
            <w:pPr>
              <w:jc w:val="center"/>
              <w:spacing w:after="0"/>
              <w:rPr>
                <w:sz w:val="20"/>
                <w:szCs w:val="20"/>
                <w:color w:val="auto"/>
              </w:rPr>
            </w:pPr>
            <w:r>
              <w:rPr>
                <w:rFonts w:ascii="Arial" w:cs="Arial" w:eastAsia="Arial" w:hAnsi="Arial"/>
                <w:sz w:val="16"/>
                <w:szCs w:val="16"/>
                <w:color w:val="auto"/>
                <w:w w:val="91"/>
              </w:rPr>
              <w:t>______________________________________________________________</w:t>
            </w:r>
          </w:p>
        </w:tc>
        <w:tc>
          <w:tcPr>
            <w:tcW w:w="1260" w:type="dxa"/>
            <w:vAlign w:val="bottom"/>
          </w:tcPr>
          <w:p>
            <w:pPr>
              <w:spacing w:after="0"/>
              <w:rPr>
                <w:sz w:val="17"/>
                <w:szCs w:val="17"/>
                <w:color w:val="auto"/>
              </w:rPr>
            </w:pPr>
          </w:p>
        </w:tc>
      </w:tr>
      <w:tr>
        <w:trPr>
          <w:trHeight w:val="315"/>
        </w:trPr>
        <w:tc>
          <w:tcPr>
            <w:tcW w:w="7760" w:type="dxa"/>
            <w:vAlign w:val="bottom"/>
            <w:gridSpan w:val="6"/>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20" w:type="dxa"/>
            <w:vAlign w:val="bottom"/>
          </w:tcPr>
          <w:p>
            <w:pPr>
              <w:jc w:val="right"/>
              <w:ind w:right="81"/>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1260" w:type="dxa"/>
            <w:vAlign w:val="bottom"/>
          </w:tcPr>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97"/>
        </w:trPr>
        <w:tc>
          <w:tcPr>
            <w:tcW w:w="7760" w:type="dxa"/>
            <w:vAlign w:val="bottom"/>
            <w:gridSpan w:val="6"/>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20" w:type="dxa"/>
            <w:vAlign w:val="bottom"/>
          </w:tcPr>
          <w:p>
            <w:pPr>
              <w:jc w:val="right"/>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1260" w:type="dxa"/>
            <w:vAlign w:val="bottom"/>
          </w:tcPr>
          <w:p>
            <w:pPr>
              <w:ind w:left="14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bl>
    <w:p>
      <w:pPr>
        <w:spacing w:after="0" w:line="73" w:lineRule="exact"/>
        <w:rPr>
          <w:sz w:val="24"/>
          <w:szCs w:val="24"/>
          <w:color w:val="auto"/>
        </w:rPr>
      </w:pPr>
    </w:p>
    <w:p>
      <w:pPr>
        <w:jc w:val="both"/>
        <w:ind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firstLine="324"/>
        <w:spacing w:after="0" w:line="201"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right="20" w:firstLine="324"/>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29" w:right="239" w:bottom="1440" w:gutter="0" w:footer="0" w:header="0"/>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4">
            <w:col w:w="2180" w:space="720"/>
            <w:col w:w="3960" w:space="720"/>
            <w:col w:w="2940" w:space="720"/>
            <w:col w:w="180"/>
          </w:cols>
          <w:pgMar w:left="240" w:top="229" w:right="239" w:bottom="144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5">
            <w:col w:w="2180" w:space="720"/>
            <w:col w:w="140" w:space="120"/>
            <w:col w:w="3700" w:space="720"/>
            <w:col w:w="2940" w:space="720"/>
            <w:col w:w="180"/>
          </w:cols>
          <w:pgMar w:left="240" w:top="229" w:right="239" w:bottom="1440" w:gutter="0" w:footer="0" w:header="0"/>
          <w:type w:val="continuous"/>
        </w:sectPr>
      </w:pPr>
    </w:p>
    <w:p>
      <w:pPr>
        <w:spacing w:after="0" w:line="30"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87" w:lineRule="exact"/>
        <w:rPr>
          <w:sz w:val="24"/>
          <w:szCs w:val="24"/>
          <w:color w:val="auto"/>
        </w:rPr>
      </w:pPr>
    </w:p>
    <w:p>
      <w:pPr>
        <w:sectPr>
          <w:pgSz w:w="11900" w:h="16838" w:orient="portrait"/>
          <w:cols w:equalWidth="0" w:num="5">
            <w:col w:w="7020" w:space="160"/>
            <w:col w:w="220" w:space="80"/>
            <w:col w:w="160" w:space="160"/>
            <w:col w:w="200" w:space="80"/>
            <w:col w:w="3340"/>
          </w:cols>
          <w:pgMar w:left="240" w:top="229" w:right="239" w:bottom="1440" w:gutter="0" w:footer="0" w:header="0"/>
          <w:type w:val="continuous"/>
        </w:sectPr>
      </w:pPr>
    </w:p>
    <w:p>
      <w:pPr>
        <w:ind w:right="20" w:firstLine="324"/>
        <w:spacing w:after="0" w:line="275" w:lineRule="auto"/>
        <w:rPr>
          <w:sz w:val="20"/>
          <w:szCs w:val="20"/>
          <w:color w:val="auto"/>
        </w:rPr>
      </w:pPr>
      <w:r>
        <w:rPr>
          <w:rFonts w:ascii="Arial" w:cs="Arial" w:eastAsia="Arial" w:hAnsi="Arial"/>
          <w:sz w:val="16"/>
          <w:szCs w:val="16"/>
          <w:color w:val="auto"/>
        </w:rPr>
        <w:t>The aggregate market value of Common Shares (the only common equity of the registrant) held by non-affiliates as of March 30, 2013 (the last business day of the most recently completed second quarter) was approximately $1,892,511,413.</w:t>
      </w:r>
    </w:p>
    <w:p>
      <w:pPr>
        <w:spacing w:after="0" w:line="65"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There were 61,985,318 Common Shares of the registrant outstanding as of November 13, 2013.</w:t>
      </w:r>
    </w:p>
    <w:p>
      <w:pPr>
        <w:spacing w:after="0" w:line="19" w:lineRule="exact"/>
        <w:rPr>
          <w:sz w:val="24"/>
          <w:szCs w:val="24"/>
          <w:color w:val="auto"/>
        </w:rPr>
      </w:pPr>
    </w:p>
    <w:p>
      <w:pPr>
        <w:ind w:left="3180"/>
        <w:spacing w:after="0"/>
        <w:rPr>
          <w:sz w:val="20"/>
          <w:szCs w:val="20"/>
          <w:color w:val="auto"/>
        </w:rPr>
      </w:pPr>
      <w:r>
        <w:rPr>
          <w:rFonts w:ascii="Arial" w:cs="Arial" w:eastAsia="Arial" w:hAnsi="Arial"/>
          <w:sz w:val="16"/>
          <w:szCs w:val="16"/>
          <w:color w:val="auto"/>
        </w:rPr>
        <w:t>______________________________________________________________</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ind w:firstLine="324"/>
        <w:spacing w:after="0" w:line="275" w:lineRule="auto"/>
        <w:rPr>
          <w:sz w:val="20"/>
          <w:szCs w:val="20"/>
          <w:color w:val="auto"/>
        </w:rPr>
      </w:pPr>
      <w:r>
        <w:rPr>
          <w:rFonts w:ascii="Arial" w:cs="Arial" w:eastAsia="Arial" w:hAnsi="Arial"/>
          <w:sz w:val="16"/>
          <w:szCs w:val="16"/>
          <w:color w:val="auto"/>
        </w:rPr>
        <w:t>Portions of the definitive Proxy Statement for the registrant’s 2014 Annual Meeting of Shareholders are incorporated by reference into Part III of this Annual Report on Form 10-K.</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7"/>
          <w:szCs w:val="17"/>
          <w:b w:val="1"/>
          <w:bCs w:val="1"/>
          <w:i w:val="1"/>
          <w:iCs w:val="1"/>
          <w:u w:val="single" w:color="auto"/>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Description and Development of the Business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discussion below provides a brief description of the business conducted by The Scotts Miracle-Gro Company (“Scotts Miracle-Gro” and, together with its subsidiaries, the “Company,” “we” or “us”), including general developments in the Company’s business during the fiscal year ended September 30, 2013 (“fiscal 2013”). For additional information on recent business developments, see “ITEM 7. MANAGEMENT’S DISCUSSION AND ANALYSIS OF FINANCIAL CONDITION AND RESULTS OF OPERATIONS” of this Annual Report on Form 10-K.</w:t>
      </w:r>
    </w:p>
    <w:p>
      <w:pPr>
        <w:spacing w:after="0" w:line="133" w:lineRule="exact"/>
        <w:rPr>
          <w:sz w:val="20"/>
          <w:szCs w:val="20"/>
          <w:color w:val="auto"/>
        </w:rPr>
      </w:pPr>
    </w:p>
    <w:p>
      <w:pPr>
        <w:jc w:val="both"/>
        <w:ind w:firstLine="432"/>
        <w:spacing w:after="0" w:line="221" w:lineRule="auto"/>
        <w:rPr>
          <w:sz w:val="20"/>
          <w:szCs w:val="20"/>
          <w:color w:val="auto"/>
        </w:rPr>
      </w:pPr>
      <w:r>
        <w:rPr>
          <w:rFonts w:ascii="Arial" w:cs="Arial" w:eastAsia="Arial" w:hAnsi="Arial"/>
          <w:sz w:val="16"/>
          <w:szCs w:val="16"/>
          <w:color w:val="auto"/>
        </w:rPr>
        <w:t>We are a leading manufacturer and marketer of branded consumer lawn and garden products. Our products are marketed under some of the most recognized brand names in the industry, including, in North America, Scotts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Turf Builder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lawn and grass seed products, including the Scotts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LawnPro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Annual 4 Step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Program; Miracle-Gro</w:t>
      </w:r>
      <w:r>
        <w:rPr>
          <w:rFonts w:ascii="Arial" w:cs="Arial" w:eastAsia="Arial" w:hAnsi="Arial"/>
          <w:sz w:val="22"/>
          <w:szCs w:val="22"/>
          <w:color w:val="auto"/>
          <w:vertAlign w:val="superscript"/>
        </w:rPr>
        <w:t>®</w:t>
      </w:r>
      <w:r>
        <w:rPr>
          <w:rFonts w:ascii="Arial" w:cs="Arial" w:eastAsia="Arial" w:hAnsi="Arial"/>
          <w:sz w:val="16"/>
          <w:szCs w:val="16"/>
          <w:color w:val="auto"/>
        </w:rPr>
        <w:t>, Scotts</w:t>
      </w:r>
      <w:r>
        <w:rPr>
          <w:rFonts w:ascii="Arial" w:cs="Arial" w:eastAsia="Arial" w:hAnsi="Arial"/>
          <w:sz w:val="22"/>
          <w:szCs w:val="22"/>
          <w:color w:val="auto"/>
          <w:vertAlign w:val="superscript"/>
        </w:rPr>
        <w:t>®</w:t>
      </w:r>
      <w:r>
        <w:rPr>
          <w:rFonts w:ascii="Arial" w:cs="Arial" w:eastAsia="Arial" w:hAnsi="Arial"/>
          <w:sz w:val="16"/>
          <w:szCs w:val="16"/>
          <w:color w:val="auto"/>
        </w:rPr>
        <w:t>, Liquafeed</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Osmocote</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gardening and landscape products; Ortho</w:t>
      </w:r>
      <w:r>
        <w:rPr>
          <w:rFonts w:ascii="Arial" w:cs="Arial" w:eastAsia="Arial" w:hAnsi="Arial"/>
          <w:sz w:val="22"/>
          <w:szCs w:val="22"/>
          <w:color w:val="auto"/>
          <w:vertAlign w:val="superscript"/>
        </w:rPr>
        <w:t>®</w:t>
      </w:r>
      <w:r>
        <w:rPr>
          <w:rFonts w:ascii="Arial" w:cs="Arial" w:eastAsia="Arial" w:hAnsi="Arial"/>
          <w:sz w:val="16"/>
          <w:szCs w:val="16"/>
          <w:color w:val="auto"/>
        </w:rPr>
        <w:t>, Roundup</w:t>
      </w:r>
      <w:r>
        <w:rPr>
          <w:rFonts w:ascii="Arial" w:cs="Arial" w:eastAsia="Arial" w:hAnsi="Arial"/>
          <w:sz w:val="22"/>
          <w:szCs w:val="22"/>
          <w:color w:val="auto"/>
          <w:vertAlign w:val="superscript"/>
        </w:rPr>
        <w:t>®2</w:t>
      </w:r>
      <w:r>
        <w:rPr>
          <w:rFonts w:ascii="Arial" w:cs="Arial" w:eastAsia="Arial" w:hAnsi="Arial"/>
          <w:sz w:val="16"/>
          <w:szCs w:val="16"/>
          <w:color w:val="auto"/>
        </w:rPr>
        <w:t xml:space="preserve"> and Home Defense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branded insect control, weed control and rodenticide products; and Scotts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Morning Song</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wild bird food products. In the United Kingdom, key brands include Miracle-Gro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plant fertilizers; Weedol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Pathclear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herbicides; EverGreen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lawn fertilizers; and Levington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gardening and landscape products. Other significant brands in Europe include KB</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Fertiligène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France; Celaflor</w:t>
      </w:r>
      <w:r>
        <w:rPr>
          <w:rFonts w:ascii="Arial" w:cs="Arial" w:eastAsia="Arial" w:hAnsi="Arial"/>
          <w:sz w:val="22"/>
          <w:szCs w:val="22"/>
          <w:color w:val="auto"/>
          <w:vertAlign w:val="superscript"/>
        </w:rPr>
        <w:t>®</w:t>
      </w:r>
      <w:r>
        <w:rPr>
          <w:rFonts w:ascii="Arial" w:cs="Arial" w:eastAsia="Arial" w:hAnsi="Arial"/>
          <w:sz w:val="16"/>
          <w:szCs w:val="16"/>
          <w:color w:val="auto"/>
        </w:rPr>
        <w:t>, Nexa Lotte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Substral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Germany and Austria; and ASEF</w:t>
      </w:r>
      <w:r>
        <w:rPr>
          <w:rFonts w:ascii="Arial" w:cs="Arial" w:eastAsia="Arial" w:hAnsi="Arial"/>
          <w:sz w:val="22"/>
          <w:szCs w:val="22"/>
          <w:color w:val="auto"/>
          <w:vertAlign w:val="superscript"/>
        </w:rPr>
        <w:t>®</w:t>
      </w:r>
      <w:r>
        <w:rPr>
          <w:rFonts w:ascii="Arial" w:cs="Arial" w:eastAsia="Arial" w:hAnsi="Arial"/>
          <w:sz w:val="16"/>
          <w:szCs w:val="16"/>
          <w:color w:val="auto"/>
        </w:rPr>
        <w:t>, KB</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Substral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Belgium, the Netherlands and Luxembourg. We also operate the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which provides residential and commercial lawn care, tree and shrub care and limited pest control services in the United States.</w:t>
      </w:r>
    </w:p>
    <w:p>
      <w:pPr>
        <w:spacing w:after="0" w:line="15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heritage is tied to the 1995 merger of The Scotts Company, which traces its roots to a company founded by O.M. Scott in Marysville, Ohio in 1868, and Stern’s Miracle-Gro Products, Inc., which was formed on Long Island, New York by Horace Hagedorn and Otto Stern in 1951. Scotts Miracle-Gro is an Ohio corporation.</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are dedicated to delivering strong, long-term financial results and outstanding shareholder returns by providing products of superior quality and value to enhance consumers’ lawn and garden environments. In fiscal 2013, we progressed a number of key initiatives which focused on: (1) margin improvement and SG&amp;A reduction and (2) stronger balance sheet and operating cash flow with a bias towards returning cash to shareholders. After a late start to the season impacting first half results, strong consumer engagement and our initiatives came together in the second half of the year to lift full year results. We also continued our long term focus on innovation and global expansion.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divide our business into the following reportable segments:</w:t>
      </w:r>
    </w:p>
    <w:p>
      <w:pPr>
        <w:spacing w:after="0" w:line="171"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Consumer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p>
      <w:pPr>
        <w:spacing w:after="0" w:line="9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This division of reportable segments is consistent with how the segments report to and are managed by our Chief Executive Officer (the chief operating decision maker of the Company). Financial information about these segments for each of the three years ended September 30 is presented in “NOTE 21. SEGMENT INFORMATION” of the Notes to Consolidated Financial Statements included in this Annual Report on Form 10-K.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 and Services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Global Consumer</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our Global Consumer segment, we manufacture and market consumer lawn and garden products in the following categories: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196" w:lineRule="auto"/>
        <w:rPr>
          <w:sz w:val="20"/>
          <w:szCs w:val="20"/>
          <w:color w:val="auto"/>
        </w:rPr>
      </w:pPr>
      <w:r>
        <w:rPr>
          <w:rFonts w:ascii="Arial" w:cs="Arial" w:eastAsia="Arial" w:hAnsi="Arial"/>
          <w:sz w:val="18"/>
          <w:szCs w:val="18"/>
          <w:color w:val="auto"/>
        </w:rPr>
        <w:t>1 Osmocote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a registered trademark of Everris International B.V., a subsidiary of Israel Chemicals Ltd.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a registered trademark of Monsanto Technology LLC, a company affiliated with Monsanto Company ("Monsanto")</w:t>
      </w:r>
    </w:p>
    <w:p>
      <w:pPr>
        <w:spacing w:after="0" w:line="1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jc w:val="both"/>
        <w:ind w:firstLine="878"/>
        <w:spacing w:after="0" w:line="230" w:lineRule="auto"/>
        <w:rPr>
          <w:sz w:val="20"/>
          <w:szCs w:val="20"/>
          <w:color w:val="auto"/>
        </w:rPr>
      </w:pPr>
      <w:r>
        <w:rPr>
          <w:rFonts w:ascii="Arial" w:cs="Arial" w:eastAsia="Arial" w:hAnsi="Arial"/>
          <w:sz w:val="16"/>
          <w:szCs w:val="16"/>
          <w:i w:val="1"/>
          <w:iCs w:val="1"/>
          <w:color w:val="auto"/>
        </w:rPr>
        <w:t xml:space="preserve">Lawn Care: </w:t>
      </w:r>
      <w:r>
        <w:rPr>
          <w:rFonts w:ascii="Arial" w:cs="Arial" w:eastAsia="Arial" w:hAnsi="Arial"/>
          <w:sz w:val="16"/>
          <w:szCs w:val="16"/>
          <w:color w:val="auto"/>
        </w:rPr>
        <w:t>The lawn care category is designed to help consumers obtain and enjoy the lawn they want. In the United States, products within this</w:t>
      </w:r>
      <w:r>
        <w:rPr>
          <w:rFonts w:ascii="Arial" w:cs="Arial" w:eastAsia="Arial" w:hAnsi="Arial"/>
          <w:sz w:val="16"/>
          <w:szCs w:val="16"/>
          <w:i w:val="1"/>
          <w:iCs w:val="1"/>
          <w:color w:val="auto"/>
        </w:rPr>
        <w:t xml:space="preserve"> </w:t>
      </w:r>
      <w:r>
        <w:rPr>
          <w:rFonts w:ascii="Arial" w:cs="Arial" w:eastAsia="Arial" w:hAnsi="Arial"/>
          <w:sz w:val="16"/>
          <w:szCs w:val="16"/>
          <w:color w:val="auto"/>
        </w:rPr>
        <w:t>category include fertilizer products under the Scotts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Turf Builder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names, grass seed products under the Scotts</w:t>
      </w:r>
      <w:r>
        <w:rPr>
          <w:rFonts w:ascii="Arial" w:cs="Arial" w:eastAsia="Arial" w:hAnsi="Arial"/>
          <w:sz w:val="22"/>
          <w:szCs w:val="22"/>
          <w:color w:val="auto"/>
          <w:vertAlign w:val="superscript"/>
        </w:rPr>
        <w:t>®</w:t>
      </w:r>
      <w:r>
        <w:rPr>
          <w:rFonts w:ascii="Arial" w:cs="Arial" w:eastAsia="Arial" w:hAnsi="Arial"/>
          <w:sz w:val="16"/>
          <w:szCs w:val="16"/>
          <w:color w:val="auto"/>
        </w:rPr>
        <w:t>, Turf Builder</w:t>
      </w:r>
      <w:r>
        <w:rPr>
          <w:rFonts w:ascii="Arial" w:cs="Arial" w:eastAsia="Arial" w:hAnsi="Arial"/>
          <w:sz w:val="22"/>
          <w:szCs w:val="22"/>
          <w:color w:val="auto"/>
          <w:vertAlign w:val="superscript"/>
        </w:rPr>
        <w:t>®</w:t>
      </w:r>
      <w:r>
        <w:rPr>
          <w:rFonts w:ascii="Arial" w:cs="Arial" w:eastAsia="Arial" w:hAnsi="Arial"/>
          <w:sz w:val="16"/>
          <w:szCs w:val="16"/>
          <w:color w:val="auto"/>
        </w:rPr>
        <w:t>, EZ Seed</w:t>
      </w:r>
      <w:r>
        <w:rPr>
          <w:rFonts w:ascii="Arial" w:cs="Arial" w:eastAsia="Arial" w:hAnsi="Arial"/>
          <w:sz w:val="22"/>
          <w:szCs w:val="22"/>
          <w:color w:val="auto"/>
          <w:vertAlign w:val="superscript"/>
        </w:rPr>
        <w:t>®</w:t>
      </w:r>
      <w:r>
        <w:rPr>
          <w:rFonts w:ascii="Arial" w:cs="Arial" w:eastAsia="Arial" w:hAnsi="Arial"/>
          <w:sz w:val="16"/>
          <w:szCs w:val="16"/>
          <w:color w:val="auto"/>
        </w:rPr>
        <w:t>, Water Smart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PatchMaster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names and lawn-related weed, pest and disease control products primarily under the Scotts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Lawn Pro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names, including sub-brands such as GrubEx</w:t>
      </w:r>
      <w:r>
        <w:rPr>
          <w:rFonts w:ascii="Arial" w:cs="Arial" w:eastAsia="Arial" w:hAnsi="Arial"/>
          <w:sz w:val="22"/>
          <w:szCs w:val="22"/>
          <w:color w:val="auto"/>
          <w:vertAlign w:val="superscript"/>
        </w:rPr>
        <w:t>®</w:t>
      </w:r>
      <w:r>
        <w:rPr>
          <w:rFonts w:ascii="Arial" w:cs="Arial" w:eastAsia="Arial" w:hAnsi="Arial"/>
          <w:sz w:val="16"/>
          <w:szCs w:val="16"/>
          <w:color w:val="auto"/>
        </w:rPr>
        <w:t>. A similar range of products is marketed in Europe under a variety of brands such as EverGreen</w:t>
      </w:r>
      <w:r>
        <w:rPr>
          <w:rFonts w:ascii="Arial" w:cs="Arial" w:eastAsia="Arial" w:hAnsi="Arial"/>
          <w:sz w:val="22"/>
          <w:szCs w:val="22"/>
          <w:color w:val="auto"/>
          <w:vertAlign w:val="superscript"/>
        </w:rPr>
        <w:t>®</w:t>
      </w:r>
      <w:r>
        <w:rPr>
          <w:rFonts w:ascii="Arial" w:cs="Arial" w:eastAsia="Arial" w:hAnsi="Arial"/>
          <w:sz w:val="16"/>
          <w:szCs w:val="16"/>
          <w:color w:val="auto"/>
        </w:rPr>
        <w:t>, Fertiligène</w:t>
      </w:r>
      <w:r>
        <w:rPr>
          <w:rFonts w:ascii="Arial" w:cs="Arial" w:eastAsia="Arial" w:hAnsi="Arial"/>
          <w:sz w:val="22"/>
          <w:szCs w:val="22"/>
          <w:color w:val="auto"/>
          <w:vertAlign w:val="superscript"/>
        </w:rPr>
        <w:t>®</w:t>
      </w:r>
      <w:r>
        <w:rPr>
          <w:rFonts w:ascii="Arial" w:cs="Arial" w:eastAsia="Arial" w:hAnsi="Arial"/>
          <w:sz w:val="16"/>
          <w:szCs w:val="16"/>
          <w:color w:val="auto"/>
        </w:rPr>
        <w:t>, Substral</w:t>
      </w:r>
      <w:r>
        <w:rPr>
          <w:rFonts w:ascii="Arial" w:cs="Arial" w:eastAsia="Arial" w:hAnsi="Arial"/>
          <w:sz w:val="22"/>
          <w:szCs w:val="22"/>
          <w:color w:val="auto"/>
          <w:vertAlign w:val="superscript"/>
        </w:rPr>
        <w:t>®</w:t>
      </w:r>
      <w:r>
        <w:rPr>
          <w:rFonts w:ascii="Arial" w:cs="Arial" w:eastAsia="Arial" w:hAnsi="Arial"/>
          <w:sz w:val="16"/>
          <w:szCs w:val="16"/>
          <w:color w:val="auto"/>
        </w:rPr>
        <w:t>, Miracle-Gro Patch Magic</w:t>
      </w:r>
      <w:r>
        <w:rPr>
          <w:rFonts w:ascii="Arial" w:cs="Arial" w:eastAsia="Arial" w:hAnsi="Arial"/>
          <w:sz w:val="22"/>
          <w:szCs w:val="22"/>
          <w:color w:val="auto"/>
          <w:vertAlign w:val="superscript"/>
        </w:rPr>
        <w:t>®</w:t>
      </w:r>
      <w:r>
        <w:rPr>
          <w:rFonts w:ascii="Arial" w:cs="Arial" w:eastAsia="Arial" w:hAnsi="Arial"/>
          <w:sz w:val="16"/>
          <w:szCs w:val="16"/>
          <w:color w:val="auto"/>
        </w:rPr>
        <w:t>, Weedol</w:t>
      </w:r>
      <w:r>
        <w:rPr>
          <w:rFonts w:ascii="Arial" w:cs="Arial" w:eastAsia="Arial" w:hAnsi="Arial"/>
          <w:sz w:val="22"/>
          <w:szCs w:val="22"/>
          <w:color w:val="auto"/>
          <w:vertAlign w:val="superscript"/>
        </w:rPr>
        <w:t>®</w:t>
      </w:r>
      <w:r>
        <w:rPr>
          <w:rFonts w:ascii="Arial" w:cs="Arial" w:eastAsia="Arial" w:hAnsi="Arial"/>
          <w:sz w:val="16"/>
          <w:szCs w:val="16"/>
          <w:color w:val="auto"/>
        </w:rPr>
        <w:t>, Pathclear</w:t>
      </w:r>
      <w:r>
        <w:rPr>
          <w:rFonts w:ascii="Arial" w:cs="Arial" w:eastAsia="Arial" w:hAnsi="Arial"/>
          <w:sz w:val="22"/>
          <w:szCs w:val="22"/>
          <w:color w:val="auto"/>
          <w:vertAlign w:val="superscript"/>
        </w:rPr>
        <w:t>®</w:t>
      </w:r>
      <w:r>
        <w:rPr>
          <w:rFonts w:ascii="Arial" w:cs="Arial" w:eastAsia="Arial" w:hAnsi="Arial"/>
          <w:sz w:val="16"/>
          <w:szCs w:val="16"/>
          <w:color w:val="auto"/>
        </w:rPr>
        <w:t>, KB</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Celaflor</w:t>
      </w:r>
      <w:r>
        <w:rPr>
          <w:rFonts w:ascii="Arial" w:cs="Arial" w:eastAsia="Arial" w:hAnsi="Arial"/>
          <w:sz w:val="22"/>
          <w:szCs w:val="22"/>
          <w:color w:val="auto"/>
          <w:vertAlign w:val="superscript"/>
        </w:rPr>
        <w:t>®</w:t>
      </w:r>
      <w:r>
        <w:rPr>
          <w:rFonts w:ascii="Arial" w:cs="Arial" w:eastAsia="Arial" w:hAnsi="Arial"/>
          <w:sz w:val="16"/>
          <w:szCs w:val="16"/>
          <w:color w:val="auto"/>
        </w:rPr>
        <w:t>. The lawn care category also includes spreaders and other durables under the Scotts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 including Turf Builder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EdgeGuard</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spreaders, Snap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spreaders and Handy Green</w:t>
      </w:r>
      <w:r>
        <w:rPr>
          <w:rFonts w:ascii="Arial" w:cs="Arial" w:eastAsia="Arial" w:hAnsi="Arial"/>
          <w:sz w:val="22"/>
          <w:szCs w:val="22"/>
          <w:color w:val="auto"/>
          <w:vertAlign w:val="superscript"/>
        </w:rPr>
        <w:t>®</w:t>
      </w:r>
      <w:r>
        <w:rPr>
          <w:rFonts w:ascii="Arial" w:cs="Arial" w:eastAsia="Arial" w:hAnsi="Arial"/>
          <w:sz w:val="16"/>
          <w:szCs w:val="16"/>
          <w:color w:val="auto"/>
        </w:rPr>
        <w:t>II handheld spreaders.</w:t>
      </w:r>
    </w:p>
    <w:p>
      <w:pPr>
        <w:spacing w:after="0" w:line="5" w:lineRule="exact"/>
        <w:rPr>
          <w:sz w:val="20"/>
          <w:szCs w:val="20"/>
          <w:color w:val="auto"/>
        </w:rPr>
      </w:pPr>
    </w:p>
    <w:p>
      <w:pPr>
        <w:jc w:val="both"/>
        <w:ind w:firstLine="878"/>
        <w:spacing w:after="0" w:line="207" w:lineRule="auto"/>
        <w:rPr>
          <w:sz w:val="20"/>
          <w:szCs w:val="20"/>
          <w:color w:val="auto"/>
        </w:rPr>
      </w:pPr>
      <w:r>
        <w:rPr>
          <w:rFonts w:ascii="Arial" w:cs="Arial" w:eastAsia="Arial" w:hAnsi="Arial"/>
          <w:sz w:val="17"/>
          <w:szCs w:val="17"/>
          <w:i w:val="1"/>
          <w:iCs w:val="1"/>
          <w:color w:val="auto"/>
        </w:rPr>
        <w:t xml:space="preserve">Gardening and Landscape: </w:t>
      </w:r>
      <w:r>
        <w:rPr>
          <w:rFonts w:ascii="Arial" w:cs="Arial" w:eastAsia="Arial" w:hAnsi="Arial"/>
          <w:sz w:val="17"/>
          <w:szCs w:val="17"/>
          <w:color w:val="auto"/>
        </w:rPr>
        <w:t>The gardening and landscape category is designed to help consumers grow and enjoy flower and vegetable gardens</w:t>
      </w:r>
      <w:r>
        <w:rPr>
          <w:rFonts w:ascii="Arial" w:cs="Arial" w:eastAsia="Arial" w:hAnsi="Arial"/>
          <w:sz w:val="17"/>
          <w:szCs w:val="17"/>
          <w:i w:val="1"/>
          <w:iCs w:val="1"/>
          <w:color w:val="auto"/>
        </w:rPr>
        <w:t xml:space="preserve"> </w:t>
      </w:r>
      <w:r>
        <w:rPr>
          <w:rFonts w:ascii="Arial" w:cs="Arial" w:eastAsia="Arial" w:hAnsi="Arial"/>
          <w:sz w:val="17"/>
          <w:szCs w:val="17"/>
          <w:color w:val="auto"/>
        </w:rPr>
        <w:t>and beautify landscaped areas. In the United States, products within this category include a complete line of water soluble plant foods under the Miracle-Gro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and sub-brands such as LiquaFeed</w:t>
      </w:r>
      <w:r>
        <w:rPr>
          <w:rFonts w:ascii="Arial" w:cs="Arial" w:eastAsia="Arial" w:hAnsi="Arial"/>
          <w:sz w:val="24"/>
          <w:szCs w:val="24"/>
          <w:color w:val="auto"/>
          <w:vertAlign w:val="superscript"/>
        </w:rPr>
        <w:t>®</w:t>
      </w:r>
      <w:r>
        <w:rPr>
          <w:rFonts w:ascii="Arial" w:cs="Arial" w:eastAsia="Arial" w:hAnsi="Arial"/>
          <w:sz w:val="17"/>
          <w:szCs w:val="17"/>
          <w:color w:val="auto"/>
        </w:rPr>
        <w:t>, continuous-release plant foods under the Osmocote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Shake ‘N Feed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names, potting mixes and garden soils under the Miracle-Gro</w:t>
      </w:r>
      <w:r>
        <w:rPr>
          <w:rFonts w:ascii="Arial" w:cs="Arial" w:eastAsia="Arial" w:hAnsi="Arial"/>
          <w:sz w:val="24"/>
          <w:szCs w:val="24"/>
          <w:color w:val="auto"/>
          <w:vertAlign w:val="superscript"/>
        </w:rPr>
        <w:t>®</w:t>
      </w:r>
      <w:r>
        <w:rPr>
          <w:rFonts w:ascii="Arial" w:cs="Arial" w:eastAsia="Arial" w:hAnsi="Arial"/>
          <w:sz w:val="17"/>
          <w:szCs w:val="17"/>
          <w:color w:val="auto"/>
        </w:rPr>
        <w:t>, Scotts</w:t>
      </w:r>
      <w:r>
        <w:rPr>
          <w:rFonts w:ascii="Arial" w:cs="Arial" w:eastAsia="Arial" w:hAnsi="Arial"/>
          <w:sz w:val="24"/>
          <w:szCs w:val="24"/>
          <w:color w:val="auto"/>
          <w:vertAlign w:val="superscript"/>
        </w:rPr>
        <w:t>®</w:t>
      </w:r>
      <w:r>
        <w:rPr>
          <w:rFonts w:ascii="Arial" w:cs="Arial" w:eastAsia="Arial" w:hAnsi="Arial"/>
          <w:sz w:val="17"/>
          <w:szCs w:val="17"/>
          <w:color w:val="auto"/>
        </w:rPr>
        <w:t>, Hyponex</w:t>
      </w:r>
      <w:r>
        <w:rPr>
          <w:rFonts w:ascii="Arial" w:cs="Arial" w:eastAsia="Arial" w:hAnsi="Arial"/>
          <w:sz w:val="24"/>
          <w:szCs w:val="24"/>
          <w:color w:val="auto"/>
          <w:vertAlign w:val="superscript"/>
        </w:rPr>
        <w:t>®</w:t>
      </w:r>
      <w:r>
        <w:rPr>
          <w:rFonts w:ascii="Arial" w:cs="Arial" w:eastAsia="Arial" w:hAnsi="Arial"/>
          <w:sz w:val="17"/>
          <w:szCs w:val="17"/>
          <w:color w:val="auto"/>
        </w:rPr>
        <w:t>, Earthgro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SuperSoil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names, mulch and decorative groundcover products under the Scotts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including the sub-brands Nature Scapes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Earthgro</w:t>
      </w:r>
      <w:r>
        <w:rPr>
          <w:rFonts w:ascii="Arial" w:cs="Arial" w:eastAsia="Arial" w:hAnsi="Arial"/>
          <w:sz w:val="24"/>
          <w:szCs w:val="24"/>
          <w:color w:val="auto"/>
          <w:vertAlign w:val="superscript"/>
        </w:rPr>
        <w:t>®</w:t>
      </w:r>
      <w:r>
        <w:rPr>
          <w:rFonts w:ascii="Arial" w:cs="Arial" w:eastAsia="Arial" w:hAnsi="Arial"/>
          <w:sz w:val="17"/>
          <w:szCs w:val="17"/>
          <w:color w:val="auto"/>
        </w:rPr>
        <w:t>, landscape weed prevention products under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plant-related pest and disease control products under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wild bird food and bird feeder products under the Scotts Songbird Selections</w:t>
      </w:r>
      <w:r>
        <w:rPr>
          <w:rFonts w:ascii="Arial" w:cs="Arial" w:eastAsia="Arial" w:hAnsi="Arial"/>
          <w:sz w:val="24"/>
          <w:szCs w:val="24"/>
          <w:color w:val="auto"/>
          <w:vertAlign w:val="superscript"/>
        </w:rPr>
        <w:t>®</w:t>
      </w:r>
      <w:r>
        <w:rPr>
          <w:rFonts w:ascii="Arial" w:cs="Arial" w:eastAsia="Arial" w:hAnsi="Arial"/>
          <w:sz w:val="17"/>
          <w:szCs w:val="17"/>
          <w:color w:val="auto"/>
        </w:rPr>
        <w:t>, Morning Song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Country Pride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names, organic garden products under the Miracle-Gro Organic Choice</w:t>
      </w:r>
      <w:r>
        <w:rPr>
          <w:rFonts w:ascii="Arial" w:cs="Arial" w:eastAsia="Arial" w:hAnsi="Arial"/>
          <w:sz w:val="24"/>
          <w:szCs w:val="24"/>
          <w:color w:val="auto"/>
          <w:vertAlign w:val="superscript"/>
        </w:rPr>
        <w:t>®</w:t>
      </w:r>
      <w:r>
        <w:rPr>
          <w:rFonts w:ascii="Arial" w:cs="Arial" w:eastAsia="Arial" w:hAnsi="Arial"/>
          <w:sz w:val="17"/>
          <w:szCs w:val="17"/>
          <w:color w:val="auto"/>
        </w:rPr>
        <w:t>, Scotts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Whitney Farms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names, and live goods under the Miracle-Gro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and Gro-ables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sub-brand. Internationally, similar products are marketed under the Miracle-Gro</w:t>
      </w:r>
      <w:r>
        <w:rPr>
          <w:rFonts w:ascii="Arial" w:cs="Arial" w:eastAsia="Arial" w:hAnsi="Arial"/>
          <w:sz w:val="24"/>
          <w:szCs w:val="24"/>
          <w:color w:val="auto"/>
          <w:vertAlign w:val="superscript"/>
        </w:rPr>
        <w:t>®</w:t>
      </w:r>
      <w:r>
        <w:rPr>
          <w:rFonts w:ascii="Arial" w:cs="Arial" w:eastAsia="Arial" w:hAnsi="Arial"/>
          <w:sz w:val="17"/>
          <w:szCs w:val="17"/>
          <w:color w:val="auto"/>
        </w:rPr>
        <w:t>, Fertiligène</w:t>
      </w:r>
      <w:r>
        <w:rPr>
          <w:rFonts w:ascii="Arial" w:cs="Arial" w:eastAsia="Arial" w:hAnsi="Arial"/>
          <w:sz w:val="24"/>
          <w:szCs w:val="24"/>
          <w:color w:val="auto"/>
          <w:vertAlign w:val="superscript"/>
        </w:rPr>
        <w:t>®</w:t>
      </w:r>
      <w:r>
        <w:rPr>
          <w:rFonts w:ascii="Arial" w:cs="Arial" w:eastAsia="Arial" w:hAnsi="Arial"/>
          <w:sz w:val="17"/>
          <w:szCs w:val="17"/>
          <w:color w:val="auto"/>
        </w:rPr>
        <w:t>, Substral</w:t>
      </w:r>
      <w:r>
        <w:rPr>
          <w:rFonts w:ascii="Arial" w:cs="Arial" w:eastAsia="Arial" w:hAnsi="Arial"/>
          <w:sz w:val="24"/>
          <w:szCs w:val="24"/>
          <w:color w:val="auto"/>
          <w:vertAlign w:val="superscript"/>
        </w:rPr>
        <w:t>®</w:t>
      </w:r>
      <w:r>
        <w:rPr>
          <w:rFonts w:ascii="Arial" w:cs="Arial" w:eastAsia="Arial" w:hAnsi="Arial"/>
          <w:sz w:val="17"/>
          <w:szCs w:val="17"/>
          <w:color w:val="auto"/>
        </w:rPr>
        <w:t>, KB</w:t>
      </w:r>
      <w:r>
        <w:rPr>
          <w:rFonts w:ascii="Arial" w:cs="Arial" w:eastAsia="Arial" w:hAnsi="Arial"/>
          <w:sz w:val="24"/>
          <w:szCs w:val="24"/>
          <w:color w:val="auto"/>
          <w:vertAlign w:val="superscript"/>
        </w:rPr>
        <w:t>®</w:t>
      </w:r>
      <w:r>
        <w:rPr>
          <w:rFonts w:ascii="Arial" w:cs="Arial" w:eastAsia="Arial" w:hAnsi="Arial"/>
          <w:sz w:val="17"/>
          <w:szCs w:val="17"/>
          <w:color w:val="auto"/>
        </w:rPr>
        <w:t>, Celaflor</w:t>
      </w:r>
      <w:r>
        <w:rPr>
          <w:rFonts w:ascii="Arial" w:cs="Arial" w:eastAsia="Arial" w:hAnsi="Arial"/>
          <w:sz w:val="24"/>
          <w:szCs w:val="24"/>
          <w:color w:val="auto"/>
          <w:vertAlign w:val="superscript"/>
        </w:rPr>
        <w:t>®</w:t>
      </w:r>
      <w:r>
        <w:rPr>
          <w:rFonts w:ascii="Arial" w:cs="Arial" w:eastAsia="Arial" w:hAnsi="Arial"/>
          <w:sz w:val="17"/>
          <w:szCs w:val="17"/>
          <w:color w:val="auto"/>
        </w:rPr>
        <w:t>, ASEF</w:t>
      </w:r>
      <w:r>
        <w:rPr>
          <w:rFonts w:ascii="Arial" w:cs="Arial" w:eastAsia="Arial" w:hAnsi="Arial"/>
          <w:sz w:val="24"/>
          <w:szCs w:val="24"/>
          <w:color w:val="auto"/>
          <w:vertAlign w:val="superscript"/>
        </w:rPr>
        <w:t>®</w:t>
      </w:r>
      <w:r>
        <w:rPr>
          <w:rFonts w:ascii="Arial" w:cs="Arial" w:eastAsia="Arial" w:hAnsi="Arial"/>
          <w:sz w:val="17"/>
          <w:szCs w:val="17"/>
          <w:color w:val="auto"/>
        </w:rPr>
        <w:t>, Scotts</w:t>
      </w:r>
      <w:r>
        <w:rPr>
          <w:rFonts w:ascii="Arial" w:cs="Arial" w:eastAsia="Arial" w:hAnsi="Arial"/>
          <w:sz w:val="24"/>
          <w:szCs w:val="24"/>
          <w:color w:val="auto"/>
          <w:vertAlign w:val="superscript"/>
        </w:rPr>
        <w:t>®</w:t>
      </w:r>
      <w:r>
        <w:rPr>
          <w:rFonts w:ascii="Arial" w:cs="Arial" w:eastAsia="Arial" w:hAnsi="Arial"/>
          <w:sz w:val="17"/>
          <w:szCs w:val="17"/>
          <w:color w:val="auto"/>
        </w:rPr>
        <w:t>, Morning Melodies</w:t>
      </w:r>
      <w:r>
        <w:rPr>
          <w:rFonts w:ascii="Arial" w:cs="Arial" w:eastAsia="Arial" w:hAnsi="Arial"/>
          <w:sz w:val="24"/>
          <w:szCs w:val="24"/>
          <w:color w:val="auto"/>
          <w:vertAlign w:val="superscript"/>
        </w:rPr>
        <w:t>®</w:t>
      </w:r>
      <w:r>
        <w:rPr>
          <w:rFonts w:ascii="Arial" w:cs="Arial" w:eastAsia="Arial" w:hAnsi="Arial"/>
          <w:sz w:val="17"/>
          <w:szCs w:val="17"/>
          <w:color w:val="auto"/>
        </w:rPr>
        <w:t>, Scotts EcoSense</w:t>
      </w:r>
      <w:r>
        <w:rPr>
          <w:rFonts w:ascii="Arial" w:cs="Arial" w:eastAsia="Arial" w:hAnsi="Arial"/>
          <w:sz w:val="24"/>
          <w:szCs w:val="24"/>
          <w:color w:val="auto"/>
          <w:vertAlign w:val="superscript"/>
        </w:rPr>
        <w:t>®</w:t>
      </w:r>
      <w:r>
        <w:rPr>
          <w:rFonts w:ascii="Arial" w:cs="Arial" w:eastAsia="Arial" w:hAnsi="Arial"/>
          <w:sz w:val="17"/>
          <w:szCs w:val="17"/>
          <w:color w:val="auto"/>
        </w:rPr>
        <w:t>, Fertiligène Naturen</w:t>
      </w:r>
      <w:r>
        <w:rPr>
          <w:rFonts w:ascii="Arial" w:cs="Arial" w:eastAsia="Arial" w:hAnsi="Arial"/>
          <w:sz w:val="24"/>
          <w:szCs w:val="24"/>
          <w:color w:val="auto"/>
          <w:vertAlign w:val="superscript"/>
        </w:rPr>
        <w:t>®</w:t>
      </w:r>
      <w:r>
        <w:rPr>
          <w:rFonts w:ascii="Arial" w:cs="Arial" w:eastAsia="Arial" w:hAnsi="Arial"/>
          <w:sz w:val="17"/>
          <w:szCs w:val="17"/>
          <w:color w:val="auto"/>
        </w:rPr>
        <w:t>, Substral Naturen</w:t>
      </w:r>
      <w:r>
        <w:rPr>
          <w:rFonts w:ascii="Arial" w:cs="Arial" w:eastAsia="Arial" w:hAnsi="Arial"/>
          <w:sz w:val="24"/>
          <w:szCs w:val="24"/>
          <w:color w:val="auto"/>
          <w:vertAlign w:val="superscript"/>
        </w:rPr>
        <w:t>®</w:t>
      </w:r>
      <w:r>
        <w:rPr>
          <w:rFonts w:ascii="Arial" w:cs="Arial" w:eastAsia="Arial" w:hAnsi="Arial"/>
          <w:sz w:val="17"/>
          <w:szCs w:val="17"/>
          <w:color w:val="auto"/>
        </w:rPr>
        <w:t>, KB Naturen</w:t>
      </w:r>
      <w:r>
        <w:rPr>
          <w:rFonts w:ascii="Arial" w:cs="Arial" w:eastAsia="Arial" w:hAnsi="Arial"/>
          <w:sz w:val="24"/>
          <w:szCs w:val="24"/>
          <w:color w:val="auto"/>
          <w:vertAlign w:val="superscript"/>
        </w:rPr>
        <w:t>®</w:t>
      </w:r>
      <w:r>
        <w:rPr>
          <w:rFonts w:ascii="Arial" w:cs="Arial" w:eastAsia="Arial" w:hAnsi="Arial"/>
          <w:sz w:val="17"/>
          <w:szCs w:val="17"/>
          <w:color w:val="auto"/>
        </w:rPr>
        <w:t>, Carre Vert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Miracle-Gro Organic Choice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names.</w:t>
      </w:r>
    </w:p>
    <w:p>
      <w:pPr>
        <w:jc w:val="both"/>
        <w:ind w:firstLine="878"/>
        <w:spacing w:after="0" w:line="220" w:lineRule="auto"/>
        <w:rPr>
          <w:sz w:val="20"/>
          <w:szCs w:val="20"/>
          <w:color w:val="auto"/>
        </w:rPr>
      </w:pPr>
      <w:r>
        <w:rPr>
          <w:rFonts w:ascii="Arial" w:cs="Arial" w:eastAsia="Arial" w:hAnsi="Arial"/>
          <w:sz w:val="17"/>
          <w:szCs w:val="17"/>
          <w:i w:val="1"/>
          <w:iCs w:val="1"/>
          <w:color w:val="auto"/>
        </w:rPr>
        <w:t xml:space="preserve">Controls: </w:t>
      </w:r>
      <w:r>
        <w:rPr>
          <w:rFonts w:ascii="Arial" w:cs="Arial" w:eastAsia="Arial" w:hAnsi="Arial"/>
          <w:sz w:val="17"/>
          <w:szCs w:val="17"/>
          <w:color w:val="auto"/>
        </w:rPr>
        <w:t>The controls category is designed to help consumers protect their homes from pests and maintain external home areas. In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insect control and rodenticide products are marketed under the Ortho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brand name, including Ortho Max</w:t>
      </w:r>
      <w:r>
        <w:rPr>
          <w:rFonts w:ascii="Arial" w:cs="Arial" w:eastAsia="Arial" w:hAnsi="Arial"/>
          <w:sz w:val="23"/>
          <w:szCs w:val="23"/>
          <w:color w:val="auto"/>
          <w:vertAlign w:val="superscript"/>
        </w:rPr>
        <w:t>®</w:t>
      </w:r>
      <w:r>
        <w:rPr>
          <w:rFonts w:ascii="Arial" w:cs="Arial" w:eastAsia="Arial" w:hAnsi="Arial"/>
          <w:sz w:val="17"/>
          <w:szCs w:val="17"/>
          <w:color w:val="auto"/>
        </w:rPr>
        <w:t>, Home Defense Max</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Bug B Gon Max</w:t>
      </w:r>
      <w:r>
        <w:rPr>
          <w:rFonts w:ascii="Arial" w:cs="Arial" w:eastAsia="Arial" w:hAnsi="Arial"/>
          <w:sz w:val="23"/>
          <w:szCs w:val="23"/>
          <w:color w:val="auto"/>
          <w:vertAlign w:val="superscript"/>
        </w:rPr>
        <w:t>®</w:t>
      </w:r>
      <w:r>
        <w:rPr>
          <w:rFonts w:ascii="Arial" w:cs="Arial" w:eastAsia="Arial" w:hAnsi="Arial"/>
          <w:sz w:val="17"/>
          <w:szCs w:val="17"/>
          <w:color w:val="auto"/>
        </w:rPr>
        <w:t xml:space="preserve"> sub-brands, selective weed control products are marketed under the Ortho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Weed B Gon</w:t>
      </w:r>
      <w:r>
        <w:rPr>
          <w:rFonts w:ascii="Arial" w:cs="Arial" w:eastAsia="Arial" w:hAnsi="Arial"/>
          <w:sz w:val="23"/>
          <w:szCs w:val="23"/>
          <w:color w:val="auto"/>
          <w:vertAlign w:val="superscript"/>
        </w:rPr>
        <w:t>®</w:t>
      </w:r>
      <w:r>
        <w:rPr>
          <w:rFonts w:ascii="Arial" w:cs="Arial" w:eastAsia="Arial" w:hAnsi="Arial"/>
          <w:sz w:val="17"/>
          <w:szCs w:val="17"/>
          <w:color w:val="auto"/>
        </w:rPr>
        <w:t xml:space="preserve"> sub-brand, while non-selective weed control products are marketed under the Roundup</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Groundclear</w:t>
      </w:r>
      <w:r>
        <w:rPr>
          <w:rFonts w:ascii="Arial" w:cs="Arial" w:eastAsia="Arial" w:hAnsi="Arial"/>
          <w:sz w:val="23"/>
          <w:szCs w:val="23"/>
          <w:color w:val="auto"/>
          <w:vertAlign w:val="superscript"/>
        </w:rPr>
        <w:t>®</w:t>
      </w:r>
      <w:r>
        <w:rPr>
          <w:rFonts w:ascii="Arial" w:cs="Arial" w:eastAsia="Arial" w:hAnsi="Arial"/>
          <w:sz w:val="17"/>
          <w:szCs w:val="17"/>
          <w:color w:val="auto"/>
        </w:rPr>
        <w:t xml:space="preserve"> brand names. Internationally, products within this category are marketed under the Nexa Lotte</w:t>
      </w:r>
      <w:r>
        <w:rPr>
          <w:rFonts w:ascii="Arial" w:cs="Arial" w:eastAsia="Arial" w:hAnsi="Arial"/>
          <w:sz w:val="23"/>
          <w:szCs w:val="23"/>
          <w:color w:val="auto"/>
          <w:vertAlign w:val="superscript"/>
        </w:rPr>
        <w:t>®</w:t>
      </w:r>
      <w:r>
        <w:rPr>
          <w:rFonts w:ascii="Arial" w:cs="Arial" w:eastAsia="Arial" w:hAnsi="Arial"/>
          <w:sz w:val="17"/>
          <w:szCs w:val="17"/>
          <w:color w:val="auto"/>
        </w:rPr>
        <w:t>, Fertiligène</w:t>
      </w:r>
      <w:r>
        <w:rPr>
          <w:rFonts w:ascii="Arial" w:cs="Arial" w:eastAsia="Arial" w:hAnsi="Arial"/>
          <w:sz w:val="23"/>
          <w:szCs w:val="23"/>
          <w:color w:val="auto"/>
          <w:vertAlign w:val="superscript"/>
        </w:rPr>
        <w:t>®</w:t>
      </w:r>
      <w:r>
        <w:rPr>
          <w:rFonts w:ascii="Arial" w:cs="Arial" w:eastAsia="Arial" w:hAnsi="Arial"/>
          <w:sz w:val="17"/>
          <w:szCs w:val="17"/>
          <w:color w:val="auto"/>
        </w:rPr>
        <w:t>, KB</w:t>
      </w:r>
      <w:r>
        <w:rPr>
          <w:rFonts w:ascii="Arial" w:cs="Arial" w:eastAsia="Arial" w:hAnsi="Arial"/>
          <w:sz w:val="23"/>
          <w:szCs w:val="23"/>
          <w:color w:val="auto"/>
          <w:vertAlign w:val="superscript"/>
        </w:rPr>
        <w:t>®</w:t>
      </w:r>
      <w:r>
        <w:rPr>
          <w:rFonts w:ascii="Arial" w:cs="Arial" w:eastAsia="Arial" w:hAnsi="Arial"/>
          <w:sz w:val="17"/>
          <w:szCs w:val="17"/>
          <w:color w:val="auto"/>
        </w:rPr>
        <w:t>, Home Defence</w:t>
      </w:r>
      <w:r>
        <w:rPr>
          <w:rFonts w:ascii="Arial" w:cs="Arial" w:eastAsia="Arial" w:hAnsi="Arial"/>
          <w:sz w:val="23"/>
          <w:szCs w:val="23"/>
          <w:color w:val="auto"/>
          <w:vertAlign w:val="superscript"/>
        </w:rPr>
        <w:t>®</w:t>
      </w:r>
      <w:r>
        <w:rPr>
          <w:rFonts w:ascii="Arial" w:cs="Arial" w:eastAsia="Arial" w:hAnsi="Arial"/>
          <w:sz w:val="17"/>
          <w:szCs w:val="17"/>
          <w:color w:val="auto"/>
        </w:rPr>
        <w:t>, Weedol</w:t>
      </w:r>
      <w:r>
        <w:rPr>
          <w:rFonts w:ascii="Arial" w:cs="Arial" w:eastAsia="Arial" w:hAnsi="Arial"/>
          <w:sz w:val="23"/>
          <w:szCs w:val="23"/>
          <w:color w:val="auto"/>
          <w:vertAlign w:val="superscript"/>
        </w:rPr>
        <w:t>®</w:t>
      </w:r>
      <w:r>
        <w:rPr>
          <w:rFonts w:ascii="Arial" w:cs="Arial" w:eastAsia="Arial" w:hAnsi="Arial"/>
          <w:sz w:val="17"/>
          <w:szCs w:val="17"/>
          <w:color w:val="auto"/>
        </w:rPr>
        <w:t>, Pathclear</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Roundup</w:t>
      </w:r>
      <w:r>
        <w:rPr>
          <w:rFonts w:ascii="Arial" w:cs="Arial" w:eastAsia="Arial" w:hAnsi="Arial"/>
          <w:sz w:val="23"/>
          <w:szCs w:val="23"/>
          <w:color w:val="auto"/>
          <w:vertAlign w:val="superscript"/>
        </w:rPr>
        <w:t>®</w:t>
      </w:r>
      <w:r>
        <w:rPr>
          <w:rFonts w:ascii="Arial" w:cs="Arial" w:eastAsia="Arial" w:hAnsi="Arial"/>
          <w:sz w:val="17"/>
          <w:szCs w:val="17"/>
          <w:color w:val="auto"/>
        </w:rPr>
        <w:t xml:space="preserve"> brands. In addition, in October 2013 through our acquisition of the Tomcat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consumer rodent control business from Bell Laboratories, Inc., we began to market rodent control products under the Tomcat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brand.</w:t>
      </w:r>
    </w:p>
    <w:p>
      <w:pPr>
        <w:spacing w:after="0" w:line="51" w:lineRule="exact"/>
        <w:rPr>
          <w:sz w:val="20"/>
          <w:szCs w:val="20"/>
          <w:color w:val="auto"/>
        </w:rPr>
      </w:pPr>
    </w:p>
    <w:p>
      <w:pPr>
        <w:jc w:val="both"/>
        <w:ind w:firstLine="432"/>
        <w:spacing w:after="0" w:line="221" w:lineRule="auto"/>
        <w:rPr>
          <w:sz w:val="20"/>
          <w:szCs w:val="20"/>
          <w:color w:val="auto"/>
        </w:rPr>
      </w:pPr>
      <w:r>
        <w:rPr>
          <w:rFonts w:ascii="Arial" w:cs="Arial" w:eastAsia="Arial" w:hAnsi="Arial"/>
          <w:sz w:val="17"/>
          <w:szCs w:val="17"/>
          <w:color w:val="auto"/>
        </w:rPr>
        <w:t>Since 1999, we have served as Monsanto’s exclusive agent for the marketing and distribution of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in the consumer lawn and garden market within the United States and other specified countries, including Australia, Austria, Belgium, Canada, France, Germany, the Netherlands and the United Kingdom. Under the terms of the Amended and Restated Exclusive Agency and Marketing Agreement (the “Marketing Agreement”) between the Company and Monsanto, we are jointly responsible with Monsanto for developing global consumer and trade marketing programs for consumer Roundup</w:t>
      </w:r>
      <w:r>
        <w:rPr>
          <w:rFonts w:ascii="Arial" w:cs="Arial" w:eastAsia="Arial" w:hAnsi="Arial"/>
          <w:sz w:val="24"/>
          <w:szCs w:val="24"/>
          <w:color w:val="auto"/>
          <w:vertAlign w:val="superscript"/>
        </w:rPr>
        <w:t>®</w:t>
      </w:r>
      <w:r>
        <w:rPr>
          <w:rFonts w:ascii="Arial" w:cs="Arial" w:eastAsia="Arial" w:hAnsi="Arial"/>
          <w:sz w:val="17"/>
          <w:szCs w:val="17"/>
          <w:color w:val="auto"/>
        </w:rPr>
        <w:t>. We have responsibility for manufacturing conversion, distribution and logistics, and selling and marketing support for consumer Roundup</w:t>
      </w:r>
      <w:r>
        <w:rPr>
          <w:rFonts w:ascii="Arial" w:cs="Arial" w:eastAsia="Arial" w:hAnsi="Arial"/>
          <w:sz w:val="24"/>
          <w:szCs w:val="24"/>
          <w:color w:val="auto"/>
          <w:vertAlign w:val="superscript"/>
        </w:rPr>
        <w:t>®</w:t>
      </w:r>
      <w:r>
        <w:rPr>
          <w:rFonts w:ascii="Arial" w:cs="Arial" w:eastAsia="Arial" w:hAnsi="Arial"/>
          <w:sz w:val="17"/>
          <w:szCs w:val="17"/>
          <w:color w:val="auto"/>
        </w:rPr>
        <w:t>. Monsanto continues to own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and provides significant oversight of the brand. In addition, Monsanto continues to own and operate the agricultural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For additional details regarding the Marketing Agreement, see “ITEM 1A. RISK FACTORS — If Monsanto were to terminate the Marketing Agreement for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we would lose a substantial source of future earnings and overhead expense absorption” of this Annual Report on Form 10-K and “NOTE 6. MARKETING AGREEMENT” of the Notes to Consolidated Financial Statements included in this Annual Report on Form 10-K.</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Scotts LawnService</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p>
    <w:p>
      <w:pPr>
        <w:jc w:val="both"/>
        <w:ind w:firstLine="432"/>
        <w:spacing w:after="0" w:line="200" w:lineRule="auto"/>
        <w:rPr>
          <w:sz w:val="20"/>
          <w:szCs w:val="20"/>
          <w:color w:val="auto"/>
        </w:rPr>
      </w:pPr>
      <w:r>
        <w:rPr>
          <w:rFonts w:ascii="Arial" w:cs="Arial" w:eastAsia="Arial" w:hAnsi="Arial"/>
          <w:sz w:val="18"/>
          <w:szCs w:val="18"/>
          <w:color w:val="auto"/>
        </w:rPr>
        <w:t>The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 provides residential and commercial lawn care, tree and shrub care and limited pest control services in the United States through periodic applications of fertilizer and control products. As of September 30, 2013,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had 86 Company-operated locations as well as 93 locations operated by independent franchisees.</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Acquisitions and Divestitures</w:t>
      </w:r>
    </w:p>
    <w:p>
      <w:pPr>
        <w:spacing w:after="0" w:line="90" w:lineRule="exact"/>
        <w:rPr>
          <w:sz w:val="20"/>
          <w:szCs w:val="20"/>
          <w:color w:val="auto"/>
        </w:rPr>
      </w:pPr>
    </w:p>
    <w:p>
      <w:pPr>
        <w:jc w:val="both"/>
        <w:ind w:firstLine="432"/>
        <w:spacing w:after="0" w:line="203" w:lineRule="auto"/>
        <w:rPr>
          <w:sz w:val="20"/>
          <w:szCs w:val="20"/>
          <w:color w:val="auto"/>
        </w:rPr>
      </w:pPr>
      <w:r>
        <w:rPr>
          <w:rFonts w:ascii="Arial" w:cs="Arial" w:eastAsia="Arial" w:hAnsi="Arial"/>
          <w:sz w:val="18"/>
          <w:szCs w:val="18"/>
          <w:color w:val="auto"/>
        </w:rPr>
        <w:t>On October 14, 2013, we acquired the Tomcat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consumer rodent control business from Bell Laboratories, Inc. located in Madison, Wisconsin for $60 million. In addition, over the past five years we have completed several smaller acquisitions within our controls, growing media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businesses.</w:t>
      </w:r>
    </w:p>
    <w:p>
      <w:pPr>
        <w:spacing w:after="0" w:line="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past five years we have completed several divestitures including the wind down of our Smith &amp; Hawken business completed in the first quarter of fiscal 2010 and the February 28, 2011 sale of our Global Professional (“Global Pro”) business to Israel Chemicals Ltd. (“ICL”) for $270 million. In the fourth quarter of fiscal 2012, we completed the wind down of our professional seed business. We have classified our results of operations for all periods presented to reflect these businesses as discontinued operations. See “NOTE 2. DISCONTINUED OPERATIONS” of the Notes to Consolidated Financial Statements included in this Annual Report on Form 10-K for additional information.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Markets and Methods of Distribution</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sell our consumer products primarily to home centers, mass merchandisers, warehouse clubs, large hardware chains, independent hardware stores, nurseries, garden centers and food and drug stores through both a direct sales force and our network of brokers and distributors. In addition, during fiscal 2013, we employed approximately 2,200 full-time and seasonal in-store associates within the U.S. to help our retail partners merchandise their lawn and garden departments directly to consumers of our products.</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majority of shipments to customers are made via common carriers or through distributors in the United States and through a network of public warehouses and distributors in Europe. We primarily utilize third parties to manage the key distribution centers for our Global Consumer business in North America, which are strategically placed across the United States and Canada. The primary distribution centers for our Global Consumer business internationally are located in the United Kingdom, France, Germany, Austria and Australia and are also managed by third-party logistics providers. Growing media products are generally shipped direct-to-store without passing through a distribution center. Fiscal 2013 marked year five of our multi-year plan to co-distribute lawn fertilizer and growing media products directly to our retail customers, which to date has helped eliminate the need for approximately 25% of our third-party warehouse space.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purchase raw materials for our products from various sources. We are subject to market risk as a result of the fluctuating prices of raw materials such as urea and other fertilizer inputs, resins, diesel, gasoline, sphagnum peat, bark, grass seed and wild bird food grains. Our objectives surrounding the procurement of these materials are to ensure continuous supply, to minimize costs and to improve predictability. We seek to achieve these objectives through negotiation of contracts with favorable terms directly with vendors. When appropriate, we commit to purchase a certain percentage of our needs in advance of the season to secure pre-determined prices. We also hedge certain commodities, particularly diesel, gasoline and urea, to improve predictability and control costs. Sufficient raw materials were available during fiscal 2013.</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Patents and Licenses</w:t>
      </w:r>
    </w:p>
    <w:p>
      <w:pPr>
        <w:spacing w:after="0" w:line="94" w:lineRule="exact"/>
        <w:rPr>
          <w:sz w:val="20"/>
          <w:szCs w:val="20"/>
          <w:color w:val="auto"/>
        </w:rPr>
      </w:pPr>
    </w:p>
    <w:p>
      <w:pPr>
        <w:jc w:val="both"/>
        <w:ind w:firstLine="432"/>
        <w:spacing w:after="0" w:line="205" w:lineRule="auto"/>
        <w:rPr>
          <w:sz w:val="20"/>
          <w:szCs w:val="20"/>
          <w:color w:val="auto"/>
        </w:rPr>
      </w:pPr>
      <w:r>
        <w:rPr>
          <w:rFonts w:ascii="Arial" w:cs="Arial" w:eastAsia="Arial" w:hAnsi="Arial"/>
          <w:sz w:val="18"/>
          <w:szCs w:val="18"/>
          <w:color w:val="auto"/>
        </w:rPr>
        <w:t>We consider our trademarks, patents and licenses to be key competitive advantages. We pursue a vigorous trademark protection strategy consisting of registration and maintenance of key trademarks and proactive monitoring and enforcement activities to protect against infringement. The Scotts</w:t>
      </w:r>
      <w:r>
        <w:rPr>
          <w:rFonts w:ascii="Arial" w:cs="Arial" w:eastAsia="Arial" w:hAnsi="Arial"/>
          <w:sz w:val="25"/>
          <w:szCs w:val="25"/>
          <w:color w:val="auto"/>
          <w:vertAlign w:val="superscript"/>
        </w:rPr>
        <w:t>®</w:t>
      </w:r>
      <w:r>
        <w:rPr>
          <w:rFonts w:ascii="Arial" w:cs="Arial" w:eastAsia="Arial" w:hAnsi="Arial"/>
          <w:sz w:val="18"/>
          <w:szCs w:val="18"/>
          <w:color w:val="auto"/>
        </w:rPr>
        <w:t>, Miracle-Gro</w:t>
      </w:r>
      <w:r>
        <w:rPr>
          <w:rFonts w:ascii="Arial" w:cs="Arial" w:eastAsia="Arial" w:hAnsi="Arial"/>
          <w:sz w:val="25"/>
          <w:szCs w:val="25"/>
          <w:color w:val="auto"/>
          <w:vertAlign w:val="superscript"/>
        </w:rPr>
        <w:t>®</w:t>
      </w:r>
      <w:r>
        <w:rPr>
          <w:rFonts w:ascii="Arial" w:cs="Arial" w:eastAsia="Arial" w:hAnsi="Arial"/>
          <w:sz w:val="18"/>
          <w:szCs w:val="18"/>
          <w:color w:val="auto"/>
        </w:rPr>
        <w:t>, Ortho</w:t>
      </w:r>
      <w:r>
        <w:rPr>
          <w:rFonts w:ascii="Arial" w:cs="Arial" w:eastAsia="Arial" w:hAnsi="Arial"/>
          <w:sz w:val="25"/>
          <w:szCs w:val="25"/>
          <w:color w:val="auto"/>
          <w:vertAlign w:val="superscript"/>
        </w:rPr>
        <w:t>®</w:t>
      </w:r>
      <w:r>
        <w:rPr>
          <w:rFonts w:ascii="Arial" w:cs="Arial" w:eastAsia="Arial" w:hAnsi="Arial"/>
          <w:sz w:val="18"/>
          <w:szCs w:val="18"/>
          <w:color w:val="auto"/>
        </w:rPr>
        <w:t>,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Hyponex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Earthgro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names and logos, as well as a number of product trademarks, including Turf Builder</w:t>
      </w:r>
      <w:r>
        <w:rPr>
          <w:rFonts w:ascii="Arial" w:cs="Arial" w:eastAsia="Arial" w:hAnsi="Arial"/>
          <w:sz w:val="25"/>
          <w:szCs w:val="25"/>
          <w:color w:val="auto"/>
          <w:vertAlign w:val="superscript"/>
        </w:rPr>
        <w:t>®</w:t>
      </w:r>
      <w:r>
        <w:rPr>
          <w:rFonts w:ascii="Arial" w:cs="Arial" w:eastAsia="Arial" w:hAnsi="Arial"/>
          <w:sz w:val="18"/>
          <w:szCs w:val="18"/>
          <w:color w:val="auto"/>
        </w:rPr>
        <w:t>, EZ Seed</w:t>
      </w:r>
      <w:r>
        <w:rPr>
          <w:rFonts w:ascii="Arial" w:cs="Arial" w:eastAsia="Arial" w:hAnsi="Arial"/>
          <w:sz w:val="25"/>
          <w:szCs w:val="25"/>
          <w:color w:val="auto"/>
          <w:vertAlign w:val="superscript"/>
        </w:rPr>
        <w:t>®</w:t>
      </w:r>
      <w:r>
        <w:rPr>
          <w:rFonts w:ascii="Arial" w:cs="Arial" w:eastAsia="Arial" w:hAnsi="Arial"/>
          <w:sz w:val="18"/>
          <w:szCs w:val="18"/>
          <w:color w:val="auto"/>
        </w:rPr>
        <w:t>, Snap</w:t>
      </w:r>
      <w:r>
        <w:rPr>
          <w:rFonts w:ascii="Arial" w:cs="Arial" w:eastAsia="Arial" w:hAnsi="Arial"/>
          <w:sz w:val="25"/>
          <w:szCs w:val="25"/>
          <w:color w:val="auto"/>
          <w:vertAlign w:val="superscript"/>
        </w:rPr>
        <w:t>®</w:t>
      </w:r>
      <w:r>
        <w:rPr>
          <w:rFonts w:ascii="Arial" w:cs="Arial" w:eastAsia="Arial" w:hAnsi="Arial"/>
          <w:sz w:val="18"/>
          <w:szCs w:val="18"/>
          <w:color w:val="auto"/>
        </w:rPr>
        <w:t>, Organic Choice</w:t>
      </w:r>
      <w:r>
        <w:rPr>
          <w:rFonts w:ascii="Arial" w:cs="Arial" w:eastAsia="Arial" w:hAnsi="Arial"/>
          <w:sz w:val="25"/>
          <w:szCs w:val="25"/>
          <w:color w:val="auto"/>
          <w:vertAlign w:val="superscript"/>
        </w:rPr>
        <w:t>®</w:t>
      </w:r>
      <w:r>
        <w:rPr>
          <w:rFonts w:ascii="Arial" w:cs="Arial" w:eastAsia="Arial" w:hAnsi="Arial"/>
          <w:sz w:val="18"/>
          <w:szCs w:val="18"/>
          <w:color w:val="auto"/>
        </w:rPr>
        <w:t>, Home Defense Max</w:t>
      </w:r>
      <w:r>
        <w:rPr>
          <w:rFonts w:ascii="Arial" w:cs="Arial" w:eastAsia="Arial" w:hAnsi="Arial"/>
          <w:sz w:val="25"/>
          <w:szCs w:val="25"/>
          <w:color w:val="auto"/>
          <w:vertAlign w:val="superscript"/>
        </w:rPr>
        <w:t>®</w:t>
      </w:r>
      <w:r>
        <w:rPr>
          <w:rFonts w:ascii="Arial" w:cs="Arial" w:eastAsia="Arial" w:hAnsi="Arial"/>
          <w:sz w:val="18"/>
          <w:szCs w:val="18"/>
          <w:color w:val="auto"/>
        </w:rPr>
        <w:t>, Nature Scapes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Weed B Gon Max</w:t>
      </w:r>
      <w:r>
        <w:rPr>
          <w:rFonts w:ascii="Arial" w:cs="Arial" w:eastAsia="Arial" w:hAnsi="Arial"/>
          <w:sz w:val="25"/>
          <w:szCs w:val="25"/>
          <w:color w:val="auto"/>
          <w:vertAlign w:val="superscript"/>
        </w:rPr>
        <w:t>®</w:t>
      </w:r>
      <w:r>
        <w:rPr>
          <w:rFonts w:ascii="Arial" w:cs="Arial" w:eastAsia="Arial" w:hAnsi="Arial"/>
          <w:sz w:val="18"/>
          <w:szCs w:val="18"/>
          <w:color w:val="auto"/>
        </w:rPr>
        <w:t>, are registered in the United States and/or internationally and are considered material to our business.</w:t>
      </w:r>
    </w:p>
    <w:p>
      <w:pPr>
        <w:spacing w:after="0" w:line="15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addition, we actively develop and maintain a vast portfolio of utility and design patents covering subject matter such as fertilizer, chemical and growing media compositions and processes; grass seed varieties; and mechanical dispensing devices such as applicators, spreaders and sprayers. Our utility patents provide protection generally extending to 20 years from the date of filing, and many of our patents will continue well into the next decade. We also hold exclusive and non-exclusive patent licenses and supply arrangements, permitting the use and sale of additional patented fertilizers, pesticides and mechanical devices. Although our portfolio of patents and patent licenses is important to our success, no single patent or group of related patents is considered significant to any of our business segments or the business as a whole.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Backlog</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business is highly seasonal, with in excess of 75% of our annual net sales occurring in our second and third fiscal quarters combined. Our annual sales are further concentrated in our second and third fiscal quarters by retailers who rely on our ability to deliver products closer to when consumers buy our products, thereby reducing retailers’ pre-season inventories.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anticipate significant orders for the upcoming spring season will start to be received late in the winter and continue through the spring season.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Historically, substantially all orders are received and shipped within the same fiscal year with minimal carryover of open orders at the end of the fiscal year.</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w:t>
      </w:r>
    </w:p>
    <w:p>
      <w:pPr>
        <w:spacing w:after="0" w:line="9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Approximately 89.7% of our worldwide net sales in fiscal 2013 were made by our Global Consumer segment. Our three largest customers are reported within the Global Consumer segment and are the only customers that individually represent more than 10% of reported consolidated net sales. Approximately 65% of our Global Consumer segment net sales in fiscal 2013 were made to Home Depot, Lowe’s and Walmart. We face strong competition for the business of these significant customers. The loss of any of these customers or a substantial decrease in the volume or profitability of our business with any of these customers could have a material effect on our financial condition, results of operations or cash flows.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Marketplace</w:t>
      </w:r>
    </w:p>
    <w:p>
      <w:pPr>
        <w:spacing w:after="0" w:line="9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markets in which we sell our products are highly competitive. In the United States lawn and garden and pest control markets, our products compete against private-label as well as branded products. Primary competitors include Spectrum Brands, Bayer AG, Central Garden &amp; Pet Company, Enforcer Products, Inc., Kellogg Garden Products, Old Castle Retail, Inc., Infinity Lawn and Garden Inc. and Lebanon Seaboard Corporation. In addition, we face competition from regional competitors who compete primarily on the basis of price for commodity growing media products.</w:t>
      </w:r>
    </w:p>
    <w:p>
      <w:pPr>
        <w:spacing w:after="0" w:line="11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Internationally, we face strong competition in the lawn and garden market, particularly in Europe. Our competitors in the European Union include Bayer AG, Compo GmbH, Westland Horticulture and a variety of local companies.</w:t>
      </w:r>
    </w:p>
    <w:p>
      <w:pPr>
        <w:spacing w:after="0" w:line="116" w:lineRule="exact"/>
        <w:rPr>
          <w:sz w:val="20"/>
          <w:szCs w:val="20"/>
          <w:color w:val="auto"/>
        </w:rPr>
      </w:pPr>
    </w:p>
    <w:p>
      <w:pPr>
        <w:jc w:val="both"/>
        <w:ind w:firstLine="432"/>
        <w:spacing w:after="0" w:line="203" w:lineRule="auto"/>
        <w:rPr>
          <w:sz w:val="20"/>
          <w:szCs w:val="20"/>
          <w:color w:val="auto"/>
        </w:rPr>
      </w:pPr>
      <w:r>
        <w:rPr>
          <w:rFonts w:ascii="Arial" w:cs="Arial" w:eastAsia="Arial" w:hAnsi="Arial"/>
          <w:sz w:val="18"/>
          <w:szCs w:val="18"/>
          <w:color w:val="auto"/>
        </w:rPr>
        <w:t>We have the second largest market share position in the fragmented U.S. lawn care service market. We compete against TruGreen</w:t>
      </w:r>
      <w:r>
        <w:rPr>
          <w:rFonts w:ascii="Arial" w:cs="Arial" w:eastAsia="Arial" w:hAnsi="Arial"/>
          <w:sz w:val="25"/>
          <w:szCs w:val="25"/>
          <w:color w:val="auto"/>
          <w:vertAlign w:val="superscript"/>
        </w:rPr>
        <w:t>®</w:t>
      </w:r>
      <w:r>
        <w:rPr>
          <w:rFonts w:ascii="Arial" w:cs="Arial" w:eastAsia="Arial" w:hAnsi="Arial"/>
          <w:sz w:val="18"/>
          <w:szCs w:val="18"/>
          <w:color w:val="auto"/>
        </w:rPr>
        <w:t>, a division of ServiceMaster</w:t>
      </w:r>
      <w:r>
        <w:rPr>
          <w:rFonts w:ascii="Arial" w:cs="Arial" w:eastAsia="Arial" w:hAnsi="Arial"/>
          <w:sz w:val="25"/>
          <w:szCs w:val="25"/>
          <w:color w:val="auto"/>
          <w:vertAlign w:val="superscript"/>
        </w:rPr>
        <w:t>®</w:t>
      </w:r>
      <w:r>
        <w:rPr>
          <w:rFonts w:ascii="Arial" w:cs="Arial" w:eastAsia="Arial" w:hAnsi="Arial"/>
          <w:sz w:val="18"/>
          <w:szCs w:val="18"/>
          <w:color w:val="auto"/>
        </w:rPr>
        <w:t>, which has a substantially larger share of this market than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as well as numerous regional and local lawn care service operations and national and regional franchisors.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continually invest in research and development, both in the laboratory and at the consumer level, to improve our products, manufacturing processes, packaging and delivery systems. Spending on research and development was $46.7 million, $50.8 million and $50.9 million in fiscal 2013, fiscal 2012 and fiscal 2011, respectively, including product registration costs of $12.4 million, $14.0 million and $14.6 million, respectively. In addition to the benefits of our own research and development, we actively seek ways to leverage the research and development activities of our suppliers and other business partners.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Considerations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6"/>
          <w:szCs w:val="16"/>
          <w:color w:val="auto"/>
        </w:rPr>
        <w:t>Local, state, federal and foreign laws and regulations affect the manufacture, sale and application of our products in several ways. For example, in the United States, products containing pesticides must comply with the Federal Insecticide, Fungicide, and Rodenticide Act of 1947, as amended (“FIFRA”), and be registered with the U.S. Environmental Protection Agency (the “U.S. EPA”) and similar state agencies before they can be sold or distributed. Fertilizer and growing media products are subject to state and foreign labeling regulations. Our manufacturing operations are subject to waste, water and air quality permitting and other regulatory requirements of federal, state and foreign agencies. Our wild bird food business is subject to regulation by the U.S. Food and Drug Administration and various state regulations. Our grass seed products are regulated by the Federal Seed Act and various state regulations. Most states require our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locations and/or technicians to comply with strict licensing requirements prior to applying many of our products. The failure to comply with any of these laws or regulations could have an adverse effect on our business.</w:t>
      </w:r>
    </w:p>
    <w:p>
      <w:pPr>
        <w:spacing w:after="0" w:line="11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to individuals in the vicinity that products will be applied in the future or may ban the use of certain ingredients.</w:t>
      </w:r>
    </w:p>
    <w:p>
      <w:pPr>
        <w:spacing w:after="0" w:line="10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State, federal and foreign authorities generally require growing media facilities to obtain permits (sometimes on an annual basis) in order to harvest peat and to discharge storm water run-off or water pumped from peat deposits. The permits typically specify the condition in which the property must be left after the peat is fully harvested, with the residual use typically being natural wetland habitats combined with open water areas. We are generally required by these permits to limit our harvesting and to restore the property consistent with the intended residual use. In some locations, these facilities have been required to create water retention ponds to control the sediment content of discharged water.</w:t>
      </w:r>
    </w:p>
    <w:p>
      <w:pPr>
        <w:spacing w:after="0" w:line="13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For more information regarding how compliance with federal, state, local and foreign laws and regulations may affect us, see “ITEM 1A. RISK FACTORS — Compliance with environmental and other public health regulations or changes in such regulations or regulatory enforcement priorities could increase our costs of doing business or limit our ability to market all of our products” of this Annual Report on Form 10-K.</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Regulatory Matters</w:t>
      </w:r>
    </w:p>
    <w:p>
      <w:pPr>
        <w:spacing w:after="0" w:line="17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We are subject to various environmental proceedings, the majority of which are for site remediation. At September 30, 2013, $4.0 million was accrued for such environmental matters. During fiscal 2013, fiscal 2012 and fiscal 2011, we expensed $0.4 million, $0.8 million and $2.4 million, respectively, for such environmental matters. We had no material capital expenditures during the last three fiscal years related to environmental or regulatory matters.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September 30, 2013, we employed approximately 6,200 employees. During peak sales and production periods, we employ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8,400 employees, including seasonal and temporary labor.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certain information concerning our international revenues and long-lived assets, see “NOTE 21. SEGMENT INFORMATION” of the Notes to Consolidated Financial Statements included in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9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maintain a website at http://investor.scotts.com (this uniform resource locator, or URL, is an inactive textual reference only and is not intended to incorporate our website into this Annual Report on Form 10-K). We file reports with the Securities and Exchange Commission (the “SEC”) and make available, free of charge, on or through our website, our annual reports on Form 10-K, quarterly reports on Form 10-Q, current reports on Form 8-K, and amendments to those reports filed or furnished pursuant to Section 13(a) or 15(d) of the Securities Exchange Act of 1934, as amended, as well as our proxy and information statements, as soon as reasonably practicable after we electronically file such material with, or furnish it to, the SEC.</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6"/>
          <w:szCs w:val="16"/>
          <w:b w:val="1"/>
          <w:bCs w:val="1"/>
          <w:i w:val="1"/>
          <w:iCs w:val="1"/>
          <w:u w:val="single" w:color="auto"/>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4"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This Annual Report on Form 10-K, including the exhibits hereto and the information incorporated by reference herein, as well as our 2013 Annual Report to Shareholders (our “2013 Annual Report”), contains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Scotts Miracle-Gro common shares.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1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Forward-looking statements contained in this Annual Report on Form 10-K and our 2013 Annual Report are predictions only and actual results could differ materially from management’s expectations due to a variety of factors, including those described below. All forward-looking statements attributable to us or persons working on our behalf are expressly qualified in their entirety by such risk factors.</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forward-looking statements that we make in this Annual Report on Form 10-K and our 2013 Annual Report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214"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Compliance with environmental and other public health regulations or changes in such regulations or regulatory enforcement priorities could increase our costs of doing business or limit our ability to market all of our products.</w:t>
      </w:r>
    </w:p>
    <w:p>
      <w:pPr>
        <w:spacing w:after="0" w:line="35"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Local, state, federal and foreign laws and regulations relating to environmental matters affect us in several ways. In the United States, all products containing pesticides must comply with FIFRA and be registered with the U.S. EPA and similar state agencies before they can be sold or distributed. The inability to obtain or maintain such compliance, or the cancellation of any such registration, could have an adverse effect on our business, the severity of which would depend on the products involved, whether another product could be substituted and whether our competitors were similarly affected. We attempt to anticipate regulatory developments and maintain registrations of, and access to, substitute active ingredients, but there can be no assurance that we will be able to avoid or reduce these risks. In the European Union (the “EU”), the European Parliament has adopted various forms of regulation which may substantially restrict or eliminate our ability to market and sell certain of our consumer pesticide products in their current form in the EU. In addition, in Canada, regulations have been adopted by several provinces that substantially restrict our ability to market and sell certain of our consumer pesticide products.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Under the Food Quality Protection Act, enacted by the U.S. Congress in 1996, food-use pesticides are evaluated to determine whether there is reasonable certainty that no harm will result from the cumulative effects of pesticide exposures. Under this Act, the U.S. EPA is evaluating the cumulative and aggregate risks from dietary and non-dietary exposures to pesticides. The pesticides in our products, certain of which may be used on crops processed into various food products, are typically manufactured by independent third parties and continue to be evaluated by the U.S. EPA as part of this exposure risk assessment. The U.S. EPA or the third-party registrant may decide that a pesticide we use in our products will be limited or made unavailable to us. We cannot predict the outcome or the severity of the effect of continuing evaluations.</w:t>
      </w:r>
    </w:p>
    <w:p>
      <w:pPr>
        <w:spacing w:after="0" w:line="12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7"/>
          <w:szCs w:val="17"/>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may require users to post notices on properties to which products have been or will be applied, may require notification to individuals in the vicinity that products will be applied in the future or may ban the use of certain ingredients. Most states require our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locations and/or technicians to comply with strict licensing requirements prior to applying many of our products. Even if we are able to comply with all such regulations and obtain all necessary registrations and licenses, we cannot provide assurance that our products, particularly pesticide products, will not cause injury to the environment or to people under all circumstances. The costs of compliance, remediation or products liability have adversely affected operating results in the past and could materially adversely affect future quarterly or annual operating results.</w:t>
      </w:r>
    </w:p>
    <w:p>
      <w:pPr>
        <w:spacing w:after="0" w:line="13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harvesting of peat for our growing media business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the United Kingdom, our peat extraction efforts are also the subject of regulation.</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addition to the regulations already described, local, state, federal and foreign agencies regulate the disposal, transport, handling and storage of waste, remediation of contaminated sites, air and water discharges from our facilities, and workplace health and safety.</w:t>
      </w:r>
    </w:p>
    <w:p>
      <w:pPr>
        <w:spacing w:after="0" w:line="11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Under certain environmental laws, we may be liable for the costs of investigation regarding and remediation of the presence of certain regulated materials, as well as related costs of investigation and remediation of damage to natural resources, at various properties, including our current and former properties as well as offsite waste handling or disposal sites that we have used. Liability may be imposed upon us without regard to whether we knew of or caused the presence of such materials and, under certain circumstances, on a joint and several basis. There can be no assurances that the presence of such regulated materials at any such locations, or locations that we may acquire in the future, will not result in liability to us under such laws or expose us to third-party actions such as tort suits based on alleged conduct or environmental conditions.</w:t>
      </w:r>
    </w:p>
    <w:p>
      <w:pPr>
        <w:spacing w:after="0" w:line="12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adequacy of our current non-FIFRA compliance-related environmental reserves and future provisions depends upon our operating in substantial compliance with applicable environmental and public health laws and regulations, as well as the assumptions that we have both identified all of the significant sites that must be remediated and that there are no significant conditions of potential contamination that are unknown to us. A significant change in the facts and circumstances surrounding these assumptions or in current enforcement policies or requirements, or a finding that we are not in substantial compliance with applicable environmental and public health laws and regulations, could have a material adverse effect on future environmental capital expenditures and other environmental expenses, as well as our financial condition, results of operations or cash flows.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Damage to our reputation could have an adverse effect on our business.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Maintaining our strong reputation with both consumers and our retail customers is a key component in our success. Product recalls, our inability to ship, sell or transport affected products and governmental investigations may harm our reputation and acceptance of our products by our retail customers and consumers, which may materially and adversely affect our business operations, decrease sales and increase costs.</w:t>
      </w:r>
    </w:p>
    <w:p>
      <w:pPr>
        <w:spacing w:after="0" w:line="12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addition, perceptions that the products we produce and market are not safe could adversely affect us and contribute to the risk we will be subjected to legal action. We manufacture and market a variety of products, such as fertilizers, certain growing media, herbicides and pesticides. On occasion, allegations are made that some of our products have failed to perform up to expectations or have caused damage or injury to individuals or property. Based on reports of contamination at a third-party supplier’s vermiculite mine, the public may perceive that some of our products manufactured in the past using vermiculite are or may be contaminated. Public perception that our products are not safe, whether justified or not, could impair our reputation, involve us in litigation, damage our brand names and have a material adverse effect on our business.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marketing activities may not be successful.</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invest substantial resources in advertising, consumer promotions and other marketing activities in order to maintain, extend and expand our brand image. There can be no assurances that our marketing strategies will be effective or that the amount we invest in advertising activities will result in a corresponding increase in sales of our products. If our marketing initiatives are not successful, we will have incurred significant expenses without the benefit of higher revenues.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Disruptions in availability or increases in the prices of raw materials or fuel costs could adversely affect our results of operations.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source many of our commodities and other raw materials on a global basis. The general availability and price of those raw materials can be affected by numerous forces beyond our control, including political instability, trade restrictions and other government regulations, duties and tariffs, price controls, changes in currency exchange rates and weather.</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significant disruption in the availability of any of our key raw materials could negatively impact our business. In addition, increases in the prices of key commodities and other raw materials could adversely affect our ability to manage our cost structure. Market conditions may limit our ability to raise selling prices to offset increases in our raw material costs. Our proprietary technologies can limit our ability to locate or utilize alternative inputs for certain products. For certain inputs, new sources of supply may have to be qualified under regulatory standards, which can require additional investment and delay bringing a product to market.</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utilize hedge agreements periodically to fix the prices of a portion of our urea and fuel needs. The hedge agreements are designed to mitigate the earnings and cash flow fluctuations associated with the costs of urea and fuel. In periods of declining urea and fuel prices, utilizing hedge agreements may effectively increase our expenditures for these raw materials.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hedging arrangements expose us to certain counterparty risks.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addition to commodity hedge agreements, we utilize interest rate swap agreements as a means to hedge our variable interest rate exposure on debt instruments as well as foreign currency forward contracts to manage the exchange rate risk associated with certain intercompany loans with foreign subsidiaries. Utilizing these hedge agreements exposes us to certain counterparty risks. The failure of one or more of these counterparties to fulfill their obligations under the hedge agreements, whether as a result of weakening financial stability or otherwise, could adversely affect our financial condition, results of operations or cash flows.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Economic conditions could adversely affect our business.</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Uncertain global economic conditions could adversely affect our business. Negative global economic trends, such as decreased consumer and business spending, high unemployment levels, reduced rates of home ownership and housing starts, high foreclosure rates and declining consumer and business confidence, pose challenges to our business and could result in declining revenues, profitability and cash flow. Although we continue to devote significant resources to support our brands, unfavorable economic conditions may negatively affect consumer demand for our products. Consumers may reduce discretionary spending during periods of economic uncertainty, which could reduce sales volumes of our products or result in a shift in our product mix from higher margin to lower margin products.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highly competitive nature of our markets could adversely affect our ability to maintain or grow revenues.</w:t>
      </w:r>
    </w:p>
    <w:p>
      <w:pPr>
        <w:spacing w:after="0" w:line="9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Each of our operating segments participates in markets that are highly competitive. Our products compete against national and regional products and private label products produced by various suppliers. Many of our competitors sell their products at prices lower than ours. Our most price sensitive customers may trade down to lower priced products during challenging economic times or if current economic conditions worsen. We compete primarily on the basis of product innovation, product quality, product performance, value, brand strength, supply chain competency, field sales support, in-store sales support, the strength of our relationships with major retailers and advertising. Some of our competitors have significant financial resources. The strong competition that we face in all of our markets may prevent us from achieving our revenue goals, which may have a material adverse effect on our financial condition, results of operations or cash flows. Our inability to continue to develop and grow brands with leading market positions, maintain our relationships with key retailers and deliver products on a reliable basis at competitive prices could have a material adverse effect on us.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We may not successfully develop new products or improve existing products or maintain our effectiveness in reaching consumers through rapidly evolving communication vehicles.</w:t>
      </w:r>
    </w:p>
    <w:p>
      <w:pPr>
        <w:spacing w:after="0" w:line="3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Our future success depends, in part, upon our ability to improve our existing products and to develop, manufacture and market new, innovative products to meet evolving consumer needs, as well as our ability to leverage new mediums such as digital media and social networks to reach existing and potential consumers. We cannot be certain that we will be successful in the development, manufacturing and marketing of new products or product innovations which satisfy consumer needs or achieve market acceptance, or that we will develop and market new products or product innovations in a timely manner. If we fail to successfully develop, manufacture and market new or enhanced products or develop product innovations, or if we fail to reach existing and potential consumers, our ability to maintain or grow our market share may be adversely affected, which in turn could materially adversely affect our business, financial condition and results of operations. In addition, the development and introduction of new products and product innovations require substantial research, development and marketing expenditures, which we may be unable to recoup if such new products or innovations do not achieve market acceptance.</w:t>
      </w:r>
    </w:p>
    <w:p>
      <w:pPr>
        <w:spacing w:after="0" w:line="11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Many of the products we manufacture and market contain active ingredients that are subject to regulatory approval. The need to obtain such approval could delay the launch of new products or product innovations that contain active ingredients or otherwise prevent us from developing and manufacturing certain products and innovations, further exacerbating the risks to our business.</w:t>
      </w:r>
    </w:p>
    <w:p>
      <w:pPr>
        <w:spacing w:after="0" w:line="208" w:lineRule="exact"/>
        <w:rPr>
          <w:sz w:val="20"/>
          <w:szCs w:val="20"/>
          <w:color w:val="auto"/>
        </w:rPr>
      </w:pPr>
    </w:p>
    <w:p>
      <w:pPr>
        <w:jc w:val="both"/>
        <w:ind w:right="20" w:firstLine="216"/>
        <w:spacing w:after="0" w:line="277" w:lineRule="auto"/>
        <w:rPr>
          <w:sz w:val="20"/>
          <w:szCs w:val="20"/>
          <w:color w:val="auto"/>
        </w:rPr>
      </w:pPr>
      <w:r>
        <w:rPr>
          <w:rFonts w:ascii="Arial" w:cs="Arial" w:eastAsia="Arial" w:hAnsi="Arial"/>
          <w:sz w:val="18"/>
          <w:szCs w:val="18"/>
          <w:b w:val="1"/>
          <w:bCs w:val="1"/>
          <w:i w:val="1"/>
          <w:iCs w:val="1"/>
          <w:color w:val="auto"/>
        </w:rPr>
        <w:t>Because of the concentration of our sales to a small number of retail customers, the loss of one or more of, or significant reduction in orders from, our top customers could adversely affect our financial results.</w:t>
      </w:r>
    </w:p>
    <w:p>
      <w:pPr>
        <w:spacing w:after="0" w:line="3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Global Consumer net sales represented approximately 89.7% of our worldwide net sales in fiscal 2013. Our top three retail customers together accounted for 65% of our Global Consumer segment fiscal 2013 net sales and 56% of our outstanding accounts receivable as of September 30, 2013. The loss of, or reduction in orders from our top three retail customers, Home Depot, Lowe’s, Walmart, or any other significant customer could have a material adverse effect on our business, financial condition, results of operations or cash flows, as could customer disputes regarding shipments, fees, merchandise condition or related matters. Our inability to collect accounts receivable from one of our major customers, or a significant deterioration in the financial condition of one of these customers, including a bankruptcy filing or a liquidation, could also have a material adverse effect on our financial condition, results of operations or cash flows.</w:t>
      </w:r>
    </w:p>
    <w:p>
      <w:pPr>
        <w:spacing w:after="0" w:line="13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do not have long-term sales agreements with, or other contractual assurances as to future sales to, any of our major retail customers. In addition, continued consolidation in the retail industry has resulted in an increasingly concentrated retail base, and as a result, we are significantly dependent upon key retailers whose bargaining strength is strong. To the extent such concentration continues to occur, our net sales and income from operations may be increasingly sensitive to deterioration in the financial condition of, or other adverse developments involving our relationship with, one or more of our customers. In addition, our business may be negatively affected by changes in the policies of our retailers, such as inventory destocking, limitations on access to shelf space, price demands and other conditions.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reliance on third-party manufacturers could harm our business.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rely on third-party service providers to manufacture certain of our products. This reliance generates a number of risks, including decreased control over the production process, which could lead to production delays or interruptions, and inferior product quality control. In addition, performance problems at these third-party providers could lead to cost overruns, shortages or other problems, which could increase our costs of production or result in service delays to our customers.</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If one or more of our third-party manufacturers becomes insolvent or unwilling to continue to manufacture products of acceptable quality, at acceptable costs, in a timely manner, our ability to deliver products to our customers could be significantly impaired. Substitute manufacturers might not be available or, if available, might be unwilling or unable to manufacture the products we need on acceptable terms. Moreover, if customer demand for our products increases, we may be unable to secure sufficient additional capacity from our current third-party manufacturers, or others, on commercially reasonable terms, or at all.</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reliance on a limited base of suppliers may result in disruptions to our business and adversely affect our financial results.</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rely on a limited number of suppliers for certain of our raw materials, product components and other necessary supplies, including certain active ingredients used in our products. If we are unable to maintain supplier arrangements and relationships, if we are unable to contract with suppliers at the quantity and quality levels needed for our business, or if any of our key suppliers becomes insolvent or experiences other financial distress, we could experience disruptions in production, which could have a material adverse effect on our financial results.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A significant interruption in the operation of our or our suppliers’ facilities could impact our capacity to produce products and service our customers, which could adversely affect revenues and earnings.</w:t>
      </w:r>
    </w:p>
    <w:p>
      <w:pPr>
        <w:spacing w:after="0" w:line="3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Operations at our and our suppliers’ facilities are subject to disruption for a variety of reasons, including fire, flooding or other natural disasters, disease outbreaks or pandemics, acts of war, terrorism, government shut-downs and work stoppages. A significant interruption in the operation of our or our suppliers’ facilities could significantly impact our capacity to produce products and service our retail customers in a timely manner, which could have a material adverse effect on our revenues, earnings and financial position. This is especially true for those products that we manufacture at a limited number of facilities, such as our fertilizer and liquid products in both the United States and Europe.</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Adverse weather conditions could adversely impact financial results.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Weather conditions in North America and Europe can have a significant impact on the timing of sales in the spring selling season and overall annual sales. An abnormally wet and/or cold spring throughout North America or Europe, abnormally dry periods or droughts, and other severe weather conditions or events could adversely affect fertilizer, pesticide and insecticide sales and, therefore, our financial results.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indebtedness could limit our flexibility and adversely affect our financial condition.</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September 30, 2013, we had $570.5 million of debt. Our inability to meet restrictive financial and non-financial covenants associated with that debt could adversely affect our financial condition.</w:t>
      </w:r>
    </w:p>
    <w:p>
      <w:pPr>
        <w:spacing w:after="0" w:line="11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ability to make payments on our indebtedness, fund planned capital expenditures and acquisitions, pay dividends and make share repurchases depends on our ability to generate cash in the future. This, to some extent, is subject to general economic, financial, competitive, legislative, regulatory and other factors that are beyond our control. We cannot ensure that our business will generate sufficient cash flow from operating activities or that future borrowings will be available to us under our credit facility in amounts sufficient to enable us to pay our indebtedness or to fund our other liquidity needs.</w:t>
      </w:r>
    </w:p>
    <w:p>
      <w:pPr>
        <w:spacing w:after="0" w:line="10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credit facility, the indenture governing our 7.25% Senior Notes due 2018 (the “7.25% Senior Notes”) and the indenture governing our 6.625% Senior Notes due 2020 (the “6.625% Senior Notes” and, collectively with the 7.25% Senior Notes, the “Senior Notes”) contain restrictive covenants and cross-default provisions. In addition, our credit facility requires us to maintain specified financial ratios. Our ability to comply with those covenants and satisfy those financial ratios can be affected by events beyond our control. A breach of any of those financial ratio covenants or other covenants could result in a default. Upon the occurrence of such an event of default, the lenders could elect to declare all of the outstanding indebtedness immediately due and payable and terminate all commitments to extend further credit. We cannot ensure that our lenders would waive a default or that we could pay the indebtedness in full if it were accelerated.</w:t>
      </w:r>
    </w:p>
    <w:p>
      <w:pPr>
        <w:spacing w:after="0" w:line="13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Subject to compliance with certain covenants under our credit facility and the indentures governing our Senior Notes, we may incur additional debt in the future. If we incur additional debt, the risks described above could intensify.</w:t>
      </w:r>
    </w:p>
    <w:p>
      <w:pPr>
        <w:spacing w:after="0" w:line="19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postretirement-related costs and funding requirements could increase as a result of volatility in the financial markets, changes in interest rates and actuarial assumptions.</w:t>
      </w:r>
    </w:p>
    <w:p>
      <w:pPr>
        <w:spacing w:after="0" w:line="3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sponsor a number of defined benefit pension plans associated with our U.S. and international businesses, as well as a postretirement medical plan in the U.S. for certain retired associates and their dependents. The performance of the financial markets and changes in interest rates impact the funded status of these plans and cause volatility in our postretirement-related costs and future funding requirements. If the financial markets do not provide the expected long-term returns on invested assets, we could be required to make significant pension contributions. Additionally, changes in interest rates and legislation enacted by governmental authorities can impact the timing and amounts of contribution requirements.</w:t>
      </w:r>
    </w:p>
    <w:p>
      <w:pPr>
        <w:spacing w:after="0" w:line="11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utilize third-party actuaries to evaluate assumptions used in determining projected benefit obligations and the fair value of plan assets for our pension and other postretirement benefit plans. In the event we determine that our assumptions should be revised, such as the discount rate, the expected long-term rate or expected return on assets, our future pension and postretirement benefit expenses could increase or decrease. The assumptions we use may differ from actual results, which could have a significant impact on our pension and postretirement liabilities and related costs and funding requirements.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international operations make us susceptible to the costs and risks associated with operating internationally.</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currently operate manufacturing, sales and service facilities outside of the United States, particularly in Canada, France, the United Kingdom and Germany. In fiscal 2013, sales outside of the United States accounted for 17.2% of our total net sales. Accordingly, we are subject to risks associated with operating in foreign countries, including:</w:t>
      </w:r>
    </w:p>
    <w:p>
      <w:pPr>
        <w:spacing w:after="0" w:line="127" w:lineRule="exact"/>
        <w:rPr>
          <w:sz w:val="20"/>
          <w:szCs w:val="20"/>
          <w:color w:val="auto"/>
        </w:rPr>
      </w:pPr>
    </w:p>
    <w:p>
      <w:pPr>
        <w:ind w:left="1140" w:hanging="646"/>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limitations on the remittance of dividends and other payments by foreign subsidiaries;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additional costs of compliance with local regulations;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historically, in certain countries, higher rates of inflation than in the United States;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economic conditions or consumer preferences or demand for our products in these markets;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restrictive actions by multi-national governing bodies, foreign governments or subdivisions thereof;</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foreign labor laws and regulations affecting our ability to hire and retain employees;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U.S. and foreign laws regarding trade and investment;</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less robust protection of our intellectual property under foreign laws; and</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difficulty in obtaining distribution and support for our products.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associated with operating our international business could adversely affect our results of operations, financial condition or cash flows in the future.</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Failure of our key information technology systems could adversely impact our ability to conduct business.</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rely on information technology systems in order to conduct business, including communicating with employees and our key retail customers, ordering and managing materials from suppliers, shipping products to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retail customers could be significantly impaired, which may adversely impact our business.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and other proprietary rights that are material to our business.</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ability to compete effectively depends in part on our rights to service marks, trademarks, tradenames and other intellectual property rights we own or license, particularly our registered brand names and issued patents. We have not sought to register every one of our marks either in the United States or in every country in which they are used. Furthermore, because of the differences in foreign trademark, patent and other intellectual property or proprietary rights laws, we may not receive the same protection in other countries as we would in the United States with respect to the registered brand names and issued patents we hold. If we are unable to protect our intellectual property, proprietary information and/or brand names, we could suffer a material adverse effect on our business, financial condition or results of operations.</w:t>
      </w:r>
    </w:p>
    <w:p>
      <w:pPr>
        <w:spacing w:after="0" w:line="13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Litigation may be necessary to enforce our intellectual property rights and protect our proprietary information, or to defend against claims by third parties that our products or services infringe their intellectual property rights. Any litigation or claims brought by or against us could result in substantial costs and diversion of our resources. A successful claim of trademark, patent or other intellectual property infringement against us, or any other successful challenge to the use of our intellectual property, could subject us to damages or prevent us from providing certain products or services under our recognized brand names, which could have a material adverse effect on our business, financial condition or results of operations.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ind w:firstLine="216"/>
        <w:spacing w:after="0" w:line="216" w:lineRule="auto"/>
        <w:rPr>
          <w:sz w:val="20"/>
          <w:szCs w:val="20"/>
          <w:color w:val="auto"/>
        </w:rPr>
      </w:pPr>
      <w:r>
        <w:rPr>
          <w:rFonts w:ascii="Arial" w:cs="Arial" w:eastAsia="Arial" w:hAnsi="Arial"/>
          <w:sz w:val="18"/>
          <w:szCs w:val="18"/>
          <w:b w:val="1"/>
          <w:bCs w:val="1"/>
          <w:i w:val="1"/>
          <w:iCs w:val="1"/>
          <w:color w:val="auto"/>
        </w:rPr>
        <w:t>If Monsanto were to terminate the Marketing Agreement for consumer Roundup</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products, we would lose a substantial source of future earnings and overhead expense absorption.</w:t>
      </w:r>
    </w:p>
    <w:p>
      <w:pPr>
        <w:spacing w:after="0" w:line="68"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6"/>
          <w:szCs w:val="16"/>
          <w:color w:val="auto"/>
        </w:rPr>
        <w:t>If we were to commit a serious default under the Marketing Agreement with Monsanto for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Monsanto may have the right to terminate the Marketing Agreement. If Monsanto were to terminate the Marketing Agreement for cause, we would not be entitled to any termination fee. Monsanto may also be able to terminate the Marketing Agreement within a given region, including North America, without paying us a termination fee if unit volume sales to consumers in that region decline: (i) over a cumulative three-fiscal-year period; or (ii) by more than 5% for each of two consecutive years. If the Marketing Agreement was terminated for any reason, we would also lose all, or a substantial portion, of the significant source of earnings and overhead expense absorption the Marketing Agreement provides. For additional information regarding the Marketing Agreement, see “NOTE 6. MARKETING AGREEMENT” of the Notes to Consolidated Financial Statements included in this Annual Report on Form 10-K.</w:t>
      </w:r>
    </w:p>
    <w:p>
      <w:pPr>
        <w:spacing w:after="0" w:line="20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Hagedorn Partnership, L.P. beneficially owns approximately 27% of our common shares and can significantly influence decisions that require the approval of shareholders.</w:t>
      </w:r>
    </w:p>
    <w:p>
      <w:pPr>
        <w:spacing w:after="0" w:line="3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Hagedorn Partnership, L.P. beneficially owned approximately 27% of our outstanding common shares on a fully diluted basis as of November 13, 2013. As a result, it has sufficient voting power to significantly influence the election of directors and the approval of other actions requiring the approval of our shareholders, including the entering into of certain business combination transactions. In addition, because of the percentage of ownership and voting concentration in Hagedorn Partnership, L.P., elections of our board of directors will generally be within the control of Hagedorn Partnership, L.P. While all of our shareholders are entitled to vote on matters submitted to our shareholders for approval, the concentration of shares and voting control presently lies with Hagedorn Partnership, L.P. As such, it would be difficult for shareholders to propose and have approved proposals not supported by Hagedorn Partnership, L.P. Hagedorn Partnership, L.P. may have an interest in our pursuing transactions that it believes may enhance the value of its equity investment in us, even though such transactions may involve certain risks.</w:t>
      </w:r>
    </w:p>
    <w:p>
      <w:pPr>
        <w:spacing w:after="0" w:line="206"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We may pursue acquisitions, dispositions, investments, dividends, share repurchases and/or other corporate transactions that we believe will maximize equity returns of our shareholders but may involve risks.</w:t>
      </w:r>
    </w:p>
    <w:p>
      <w:pPr>
        <w:spacing w:after="0" w:line="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From time to time, we consider opportunities for acquisitions of businesses, product lines or other assets, potential dispositions and other strategic transactions. These types of transactions may involve risks, such as risks of integration of acquired businesses and loss of cash flows and market positions of disposed businesses, the possibility that anticipated synergies from strategic acquisitions may not materialize, and the risk that sales of acquired products may not meet expectations.</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addition, if our business performs according to our financial plan, subject to the discretion of our Board of Directors and to market and other conditions we may, over time, significantly increase the rate of dividends on, and the amount of repurchases of, our common shares. For example, in the fourth quarter of fiscal 2010 we doubled the amount of our quarterly cash dividend, and our Board of Directors authorized the repurchase of up to $500 million of Scotts Miracle-Gro common shares. In fiscal 2011 we increased the amount of our dividend by an additional 20% and our Board of Directors authorized the repurchase of up to an additional $200 million of our common shares. We increased the amount of our dividend again in fiscal 2012. In the fourth quarter of fiscal 2013 we increased the amount of our dividend by an additional 35%. We may further increase the rate of dividends on, and the amount of repurchases of, our common shares in the future.</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There can be no assurance that we will effect any of these transactions or activities, but, if we do, certain risks may be increased, possibly materially.</w:t>
      </w:r>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1B.</w:t>
      </w:r>
      <w:r>
        <w:rPr>
          <w:sz w:val="20"/>
          <w:szCs w:val="20"/>
          <w:color w:val="auto"/>
        </w:rPr>
        <w:tab/>
      </w:r>
      <w:r>
        <w:rPr>
          <w:rFonts w:ascii="Arial" w:cs="Arial" w:eastAsia="Arial" w:hAnsi="Arial"/>
          <w:sz w:val="17"/>
          <w:szCs w:val="17"/>
          <w:b w:val="1"/>
          <w:bCs w:val="1"/>
          <w:i w:val="1"/>
          <w:iCs w:val="1"/>
          <w:u w:val="single" w:color="auto"/>
          <w:color w:val="auto"/>
        </w:rPr>
        <w:t>UNRESOLVED STAFF COMMENTS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7"/>
          <w:szCs w:val="17"/>
          <w:b w:val="1"/>
          <w:bCs w:val="1"/>
          <w:i w:val="1"/>
          <w:iCs w:val="1"/>
          <w:u w:val="single" w:color="auto"/>
          <w:color w:val="auto"/>
        </w:rPr>
        <w:t>PROPERTIES</w:t>
      </w:r>
    </w:p>
    <w:p>
      <w:pPr>
        <w:spacing w:after="0" w:line="22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Our corporate headquarters are located in Marysville, Ohio, where we own or lease approximately 730 acres. We also lease office space for sales, marketing and general operating activities as well as warehouse, distribution, and research and development throughout North America, Europe, Australia, and Asia. We believe that our facilities are adequate to serve their intended purposes and that our property leasing arrangements are satisfactory.</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own or lease numerous facilities throughout the world to support our business operations.</w:t>
      </w:r>
    </w:p>
    <w:p>
      <w:pPr>
        <w:spacing w:after="0" w:line="185" w:lineRule="exact"/>
        <w:rPr>
          <w:sz w:val="20"/>
          <w:szCs w:val="20"/>
          <w:color w:val="auto"/>
        </w:rPr>
      </w:pPr>
    </w:p>
    <w:p>
      <w:pPr>
        <w:ind w:left="1140" w:hanging="646"/>
        <w:spacing w:after="0" w:line="277"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i w:val="1"/>
          <w:iCs w:val="1"/>
          <w:u w:val="single" w:color="auto"/>
          <w:color w:val="auto"/>
        </w:rPr>
        <w:t>Global 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 We own or lease eight properties to support manufacturing, distribution, and research and development in North</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In addition, we operate 31 stand-alone growing media facilities in North America,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75" w:lineRule="exact"/>
        <w:rPr>
          <w:sz w:val="20"/>
          <w:szCs w:val="20"/>
          <w:color w:val="auto"/>
        </w:rPr>
      </w:pPr>
    </w:p>
    <w:p>
      <w:pPr>
        <w:ind w:left="1140"/>
        <w:spacing w:after="0" w:line="357" w:lineRule="auto"/>
        <w:rPr>
          <w:sz w:val="20"/>
          <w:szCs w:val="20"/>
          <w:color w:val="auto"/>
        </w:rPr>
      </w:pPr>
      <w:r>
        <w:rPr>
          <w:rFonts w:ascii="Arial" w:cs="Arial" w:eastAsia="Arial" w:hAnsi="Arial"/>
          <w:sz w:val="17"/>
          <w:szCs w:val="17"/>
          <w:color w:val="auto"/>
        </w:rPr>
        <w:t>25 of which are owned by the Company and six of which are leased. Most of these facilities include production lines, warehouses, offices and field processing areas. We own three production facilities for our wild bird food operations in Indiana, South Dakota, and Texas.</w:t>
      </w:r>
    </w:p>
    <w:p>
      <w:pPr>
        <w:spacing w:after="0" w:line="121" w:lineRule="exact"/>
        <w:rPr>
          <w:sz w:val="20"/>
          <w:szCs w:val="20"/>
          <w:color w:val="auto"/>
        </w:rPr>
      </w:pPr>
    </w:p>
    <w:p>
      <w:pPr>
        <w:ind w:left="1140"/>
        <w:spacing w:after="0" w:line="342" w:lineRule="auto"/>
        <w:rPr>
          <w:sz w:val="20"/>
          <w:szCs w:val="20"/>
          <w:color w:val="auto"/>
        </w:rPr>
      </w:pPr>
      <w:r>
        <w:rPr>
          <w:rFonts w:ascii="Arial" w:cs="Arial" w:eastAsia="Arial" w:hAnsi="Arial"/>
          <w:sz w:val="16"/>
          <w:szCs w:val="16"/>
          <w:color w:val="auto"/>
        </w:rPr>
        <w:t>We lease facilities for the headquarters of our international business in Ecully (Lyon), France. We own two manufacturing facilities in France and four manufacturing facilities in the United Kingdom. We own or lease four peat extraction facilities in Scotland and the United Kingdom.</w:t>
      </w:r>
    </w:p>
    <w:p>
      <w:pPr>
        <w:spacing w:after="0" w:line="83" w:lineRule="exact"/>
        <w:rPr>
          <w:sz w:val="20"/>
          <w:szCs w:val="20"/>
          <w:color w:val="auto"/>
        </w:rPr>
      </w:pPr>
    </w:p>
    <w:p>
      <w:pPr>
        <w:ind w:left="1140" w:hanging="64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i w:val="1"/>
          <w:iCs w:val="1"/>
          <w:u w:val="single" w:color="auto"/>
          <w:color w:val="auto"/>
        </w:rPr>
        <w:t>Scotts LawnService</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We lease facilities for each of our 86 Company-operated Scotts LawnService</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locations.</w:t>
      </w:r>
    </w:p>
    <w:p>
      <w:pPr>
        <w:spacing w:after="0" w:line="14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7"/>
          <w:szCs w:val="17"/>
          <w:b w:val="1"/>
          <w:bCs w:val="1"/>
          <w:i w:val="1"/>
          <w:iCs w:val="1"/>
          <w:u w:val="single" w:color="auto"/>
          <w:color w:val="auto"/>
        </w:rPr>
        <w:t>LEGAL PROCEEDINGS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noted in the discussion in “ITEM 1. BUSINESS — Regulatory Considerations” of this Annual Report on Form 10-K, we are involved in several pending environmental and regulatory matters. We believe that our assessment of contingencies is reasonable and that related reserves, in the aggregate, are adequate; however, there can be no assurance that the final resolution of these matters will not have a material effect on our financial condition, results of operations or cash flows.</w:t>
      </w:r>
    </w:p>
    <w:p>
      <w:pPr>
        <w:spacing w:after="0" w:line="5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We have been named as a defendant in a number of cases alleging injuries that the lawsuits claim resulted from exposure to asbestos-containing products, apparently based on our historic use of vermiculite in certain of our products. In many of these cases, the complaints are not specific about the plaintiffs’ contacts with us or our products. We believe that the claims against us are without merit and are vigorously defending against them. It is not currently possible to reasonably estimate a probable loss, if any, associated with the cases and, accordingly, no reserves have been recorded in our consolidated financial statements. We are reviewing agreements and policies that may provide insurance coverage or indemnity as to these claims and are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effect on our financial condition, results of operations or cash flows.</w:t>
      </w:r>
    </w:p>
    <w:p>
      <w:pPr>
        <w:spacing w:after="0" w:line="57"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 xml:space="preserve">In connection with the sale of wild bird food products that were the subject of a voluntary recall in 2008, we have been named as a defendant in four putative class actions filed on and after June 27, 2012, which have now been consolidated in the United States District Court for the Southern District of California as </w:t>
      </w:r>
      <w:r>
        <w:rPr>
          <w:rFonts w:ascii="Arial" w:cs="Arial" w:eastAsia="Arial" w:hAnsi="Arial"/>
          <w:sz w:val="18"/>
          <w:szCs w:val="18"/>
          <w:i w:val="1"/>
          <w:iCs w:val="1"/>
          <w:color w:val="auto"/>
        </w:rPr>
        <w:t>In re Morning Song Bird Food Litigation</w:t>
      </w:r>
      <w:r>
        <w:rPr>
          <w:rFonts w:ascii="Arial" w:cs="Arial" w:eastAsia="Arial" w:hAnsi="Arial"/>
          <w:sz w:val="18"/>
          <w:szCs w:val="18"/>
          <w:color w:val="auto"/>
        </w:rPr>
        <w:t>, Lead Case No. 3:12-cv-01592-JAH-RBB. The plaintiffs allege various statutory and common law claims associated with the Company's sale of wild bird food products and a plea agreement entered into in previously pending government proceedings associated with such sales. The plaintiffs allege, among other things, a purported class action on behalf of all persons and entities in the United States who purchased certain bird food products. The plaintiffs seek monetary damages (actual, compensatory, consequential, punitive, and treble); reimbursement, restitution, and disgorgement for benefits unjustly conferred; injunctive and declaratory relief; pre-judgment and post-judgment interest; and costs and attorneys' fees. The Company intends to vigorously defend the consolidated action. Given the early stages of the action, we cannot make a determination as to whether it could have a material effect on the Company's financial condition, results of operations or cash flows and have not recorded any accruals with respect thereto.</w:t>
      </w:r>
    </w:p>
    <w:p>
      <w:pPr>
        <w:spacing w:after="0" w:line="6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are involved in other lawsuits and claims which arise in the normal course of our business. In our opinion, these claims individually and in the aggregate are not expected to result in a material effect on our financial condition, results of operations or cash flows.</w:t>
      </w:r>
    </w:p>
    <w:p>
      <w:pPr>
        <w:spacing w:after="0" w:line="24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7"/>
          <w:szCs w:val="17"/>
          <w:b w:val="1"/>
          <w:bCs w:val="1"/>
          <w:i w:val="1"/>
          <w:iCs w:val="1"/>
          <w:u w:val="single" w:color="auto"/>
          <w:color w:val="auto"/>
        </w:rPr>
        <w:t>MINE SAFETY DISCLOSURE</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325"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b w:val="1"/>
          <w:bCs w:val="1"/>
          <w:u w:val="single" w:color="auto"/>
          <w:color w:val="auto"/>
        </w:rPr>
        <w:t>SUPPLEMENTAL ITEM.</w:t>
      </w:r>
      <w:r>
        <w:rPr>
          <w:sz w:val="20"/>
          <w:szCs w:val="20"/>
          <w:color w:val="auto"/>
        </w:rPr>
        <w:tab/>
      </w:r>
      <w:r>
        <w:rPr>
          <w:rFonts w:ascii="Arial" w:cs="Arial" w:eastAsia="Arial" w:hAnsi="Arial"/>
          <w:sz w:val="17"/>
          <w:szCs w:val="17"/>
          <w:b w:val="1"/>
          <w:bCs w:val="1"/>
          <w:i w:val="1"/>
          <w:iCs w:val="1"/>
          <w:u w:val="single" w:color="auto"/>
          <w:color w:val="auto"/>
        </w:rPr>
        <w:t>EXECUTIVE OFFICERS OF THE REGISTRANT</w:t>
      </w:r>
    </w:p>
    <w:p>
      <w:pPr>
        <w:spacing w:after="0" w:line="9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executive officers of Scotts Miracle-Gro, their positions and, as of November 13, 2013, their ages and years with Scotts Miracle-Gro (and its predecessors) are set forth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4"/>
                <w:szCs w:val="14"/>
                <w:color w:val="auto"/>
              </w:rPr>
            </w:pPr>
          </w:p>
        </w:tc>
        <w:tc>
          <w:tcPr>
            <w:tcW w:w="5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Age</w:t>
            </w:r>
          </w:p>
        </w:tc>
        <w:tc>
          <w:tcPr>
            <w:tcW w:w="100" w:type="dxa"/>
            <w:vAlign w:val="bottom"/>
            <w:vMerge w:val="restart"/>
          </w:tcPr>
          <w:p>
            <w:pPr>
              <w:spacing w:after="0"/>
              <w:rPr>
                <w:sz w:val="14"/>
                <w:szCs w:val="14"/>
                <w:color w:val="auto"/>
              </w:rPr>
            </w:pPr>
          </w:p>
        </w:tc>
        <w:tc>
          <w:tcPr>
            <w:tcW w:w="6620" w:type="dxa"/>
            <w:vAlign w:val="bottom"/>
            <w:vMerge w:val="restart"/>
          </w:tcPr>
          <w:p>
            <w:pPr>
              <w:ind w:left="2820"/>
              <w:spacing w:after="0"/>
              <w:rPr>
                <w:sz w:val="20"/>
                <w:szCs w:val="20"/>
                <w:color w:val="auto"/>
              </w:rPr>
            </w:pPr>
            <w:r>
              <w:rPr>
                <w:rFonts w:ascii="Arial" w:cs="Arial" w:eastAsia="Arial" w:hAnsi="Arial"/>
                <w:sz w:val="14"/>
                <w:szCs w:val="14"/>
                <w:b w:val="1"/>
                <w:bCs w:val="1"/>
                <w:color w:val="auto"/>
              </w:rPr>
              <w:t>Position(s) Held</w:t>
            </w:r>
          </w:p>
        </w:tc>
        <w:tc>
          <w:tcPr>
            <w:tcW w:w="100" w:type="dxa"/>
            <w:vAlign w:val="bottom"/>
            <w:vMerge w:val="restart"/>
          </w:tcPr>
          <w:p>
            <w:pPr>
              <w:spacing w:after="0"/>
              <w:rPr>
                <w:sz w:val="14"/>
                <w:szCs w:val="14"/>
                <w:color w:val="auto"/>
              </w:rPr>
            </w:pPr>
          </w:p>
        </w:tc>
        <w:tc>
          <w:tcPr>
            <w:tcW w:w="1020" w:type="dxa"/>
            <w:vAlign w:val="bottom"/>
          </w:tcPr>
          <w:p>
            <w:pPr>
              <w:jc w:val="right"/>
              <w:ind w:right="94"/>
              <w:spacing w:after="0"/>
              <w:rPr>
                <w:sz w:val="20"/>
                <w:szCs w:val="20"/>
                <w:color w:val="auto"/>
              </w:rPr>
            </w:pPr>
            <w:r>
              <w:rPr>
                <w:rFonts w:ascii="Arial" w:cs="Arial" w:eastAsia="Arial" w:hAnsi="Arial"/>
                <w:sz w:val="14"/>
                <w:szCs w:val="14"/>
                <w:b w:val="1"/>
                <w:bCs w:val="1"/>
                <w:color w:val="auto"/>
              </w:rPr>
              <w:t>Years with</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James Hagedorn</w:t>
            </w:r>
          </w:p>
        </w:tc>
        <w:tc>
          <w:tcPr>
            <w:tcW w:w="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Chief Executive Officer and Chairman of the Board</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Barry W. Sanders</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President and Chief Operating Officer</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Lawrence A. Hilsheimer</w:t>
            </w:r>
          </w:p>
        </w:tc>
        <w:tc>
          <w:tcPr>
            <w:tcW w:w="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Denise S. Stump</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Global Human Resources and Chief Ethics Officer</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Ivan C. Smith</w:t>
            </w: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Executive Vice President, General Counsel, Corporate Secretary and Chief Compliance</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Officer</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James R. Lyski</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Chief Marketing Officer</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Michael C. Lukemire</w:t>
            </w: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1"/>
                <w:szCs w:val="21"/>
                <w:color w:val="auto"/>
              </w:rPr>
            </w:pPr>
          </w:p>
        </w:tc>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Executive Vice President, Business Execution</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Executive officers serve at the discretion of the Board of Directors of Scotts Miracle-Gro and pursuant to employment agreements or other arrangements.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business experience of each of the individuals listed above during at least the past five years is as follows:</w:t>
      </w:r>
    </w:p>
    <w:p>
      <w:pPr>
        <w:spacing w:after="0" w:line="225" w:lineRule="exact"/>
        <w:rPr>
          <w:sz w:val="20"/>
          <w:szCs w:val="20"/>
          <w:color w:val="auto"/>
        </w:rPr>
      </w:pPr>
    </w:p>
    <w:p>
      <w:pPr>
        <w:jc w:val="both"/>
        <w:ind w:firstLine="878"/>
        <w:spacing w:after="0" w:line="279" w:lineRule="auto"/>
        <w:rPr>
          <w:sz w:val="20"/>
          <w:szCs w:val="20"/>
          <w:color w:val="auto"/>
        </w:rPr>
      </w:pPr>
      <w:r>
        <w:rPr>
          <w:rFonts w:ascii="Arial" w:cs="Arial" w:eastAsia="Arial" w:hAnsi="Arial"/>
          <w:sz w:val="17"/>
          <w:szCs w:val="17"/>
          <w:i w:val="1"/>
          <w:iCs w:val="1"/>
          <w:color w:val="auto"/>
        </w:rPr>
        <w:t xml:space="preserve">Mr. Hagedorn </w:t>
      </w:r>
      <w:r>
        <w:rPr>
          <w:rFonts w:ascii="Arial" w:cs="Arial" w:eastAsia="Arial" w:hAnsi="Arial"/>
          <w:sz w:val="17"/>
          <w:szCs w:val="17"/>
          <w:color w:val="auto"/>
        </w:rPr>
        <w:t>was named Chairman of the Board of Scotts Miracle-Gro’s predecessor in January 2003 and named Chief Executive Officer of</w:t>
      </w:r>
      <w:r>
        <w:rPr>
          <w:rFonts w:ascii="Arial" w:cs="Arial" w:eastAsia="Arial" w:hAnsi="Arial"/>
          <w:sz w:val="17"/>
          <w:szCs w:val="17"/>
          <w:i w:val="1"/>
          <w:iCs w:val="1"/>
          <w:color w:val="auto"/>
        </w:rPr>
        <w:t xml:space="preserve"> </w:t>
      </w:r>
      <w:r>
        <w:rPr>
          <w:rFonts w:ascii="Arial" w:cs="Arial" w:eastAsia="Arial" w:hAnsi="Arial"/>
          <w:sz w:val="17"/>
          <w:szCs w:val="17"/>
          <w:color w:val="auto"/>
        </w:rPr>
        <w:t>Scotts Miracle-Gro’s predecessor in May 2001. He also served as President of Scotts Miracle-Gro (or its predecessor) from November 2006 until October 2008 and from April 2000 until December 2005. Mr. Hagedorn serves on Scotts Miracle-Gro’s Board of Directors, a position he has held with Scotts Miracle-Gro (or its predecessor) since 1995. Mr. Hagedorn is the brother of Katherine Hagedorn Littlefield, a director of Scotts Miracle-Gro.</w:t>
      </w:r>
    </w:p>
    <w:p>
      <w:pPr>
        <w:spacing w:after="0" w:line="171" w:lineRule="exact"/>
        <w:rPr>
          <w:sz w:val="20"/>
          <w:szCs w:val="20"/>
          <w:color w:val="auto"/>
        </w:rPr>
      </w:pPr>
    </w:p>
    <w:p>
      <w:pPr>
        <w:jc w:val="both"/>
        <w:ind w:firstLine="878"/>
        <w:spacing w:after="0" w:line="255" w:lineRule="auto"/>
        <w:rPr>
          <w:sz w:val="20"/>
          <w:szCs w:val="20"/>
          <w:color w:val="auto"/>
        </w:rPr>
      </w:pPr>
      <w:r>
        <w:rPr>
          <w:rFonts w:ascii="Arial" w:cs="Arial" w:eastAsia="Arial" w:hAnsi="Arial"/>
          <w:sz w:val="18"/>
          <w:szCs w:val="18"/>
          <w:i w:val="1"/>
          <w:iCs w:val="1"/>
          <w:color w:val="auto"/>
        </w:rPr>
        <w:t xml:space="preserve">Mr. Sanders </w:t>
      </w:r>
      <w:r>
        <w:rPr>
          <w:rFonts w:ascii="Arial" w:cs="Arial" w:eastAsia="Arial" w:hAnsi="Arial"/>
          <w:sz w:val="18"/>
          <w:szCs w:val="18"/>
          <w:color w:val="auto"/>
        </w:rPr>
        <w:t>was named President of Scotts Miracle-Gro in October 2010 and named Chief Operating Officer of Scotts Miracle-Gro in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2012. In this position, Mr. Sanders oversees all business unit and operating functions at the Company. Prior to his appointment as President and Chief Operating Officer, Mr. Sanders had served as the Company’s Executive Vice President, Global Consumer since June 2010. Previously, he served as Executive Vice President, North America of Scotts Miracle-Gro from October 2007 until June 2010. He served as Executive Vice President of Global Technology and Operations of Scotts Miracle-Gro from January to October 2007, where he was responsible for the Company’s supply chain and information systems, as well as research and development efforts. Before January 2007, he led the North American and global supply chain organizations as well as the North American sales force.</w:t>
      </w:r>
    </w:p>
    <w:p>
      <w:pPr>
        <w:spacing w:after="0" w:line="189" w:lineRule="exact"/>
        <w:rPr>
          <w:sz w:val="20"/>
          <w:szCs w:val="20"/>
          <w:color w:val="auto"/>
        </w:rPr>
      </w:pPr>
    </w:p>
    <w:p>
      <w:pPr>
        <w:jc w:val="both"/>
        <w:ind w:firstLine="878"/>
        <w:spacing w:after="0" w:line="257" w:lineRule="auto"/>
        <w:rPr>
          <w:sz w:val="20"/>
          <w:szCs w:val="20"/>
          <w:color w:val="auto"/>
        </w:rPr>
      </w:pPr>
      <w:r>
        <w:rPr>
          <w:rFonts w:ascii="Arial" w:cs="Arial" w:eastAsia="Arial" w:hAnsi="Arial"/>
          <w:sz w:val="18"/>
          <w:szCs w:val="18"/>
          <w:i w:val="1"/>
          <w:iCs w:val="1"/>
          <w:color w:val="auto"/>
        </w:rPr>
        <w:t xml:space="preserve">Mr. Hilsheimer </w:t>
      </w:r>
      <w:r>
        <w:rPr>
          <w:rFonts w:ascii="Arial" w:cs="Arial" w:eastAsia="Arial" w:hAnsi="Arial"/>
          <w:sz w:val="18"/>
          <w:szCs w:val="18"/>
          <w:color w:val="auto"/>
        </w:rPr>
        <w:t>was named Executive Vice President and Chief Financial Officer of Scotts Miracle-Gro in April 2013. Prior to joining Scotts</w:t>
      </w:r>
      <w:r>
        <w:rPr>
          <w:rFonts w:ascii="Arial" w:cs="Arial" w:eastAsia="Arial" w:hAnsi="Arial"/>
          <w:sz w:val="18"/>
          <w:szCs w:val="18"/>
          <w:i w:val="1"/>
          <w:iCs w:val="1"/>
          <w:color w:val="auto"/>
        </w:rPr>
        <w:t xml:space="preserve"> </w:t>
      </w:r>
      <w:r>
        <w:rPr>
          <w:rFonts w:ascii="Arial" w:cs="Arial" w:eastAsia="Arial" w:hAnsi="Arial"/>
          <w:sz w:val="18"/>
          <w:szCs w:val="18"/>
          <w:color w:val="auto"/>
        </w:rPr>
        <w:t>Miracle-Gro, Mr. Hilsheimer served as the President and Chief Operating Officer of Nationwide Retirement Plans for Nationwide Mutual Insurance Company from August 2012 to March 2013. Prior to that, Mr. Hilsheimer served as the President and Chief Operating Officer of Nationwide Direct and Customer Solutions, a post he had held since November 2009. Before November 2009, he served as the Chief Financial Officer and Executive Vice President of Nationwide Mutual Insurance Company.</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 xml:space="preserve">Ms. Stump </w:t>
      </w:r>
      <w:r>
        <w:rPr>
          <w:rFonts w:ascii="Arial" w:cs="Arial" w:eastAsia="Arial" w:hAnsi="Arial"/>
          <w:sz w:val="16"/>
          <w:szCs w:val="16"/>
          <w:color w:val="auto"/>
        </w:rPr>
        <w:t>has served as Executive Vice President, Global Human Resources of Scotts Miracle-Gro (or its predecessor) since February 2003.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Effective October 31, 2013, Ms. Stump also was named Chief Ethics Officer.</w:t>
      </w:r>
    </w:p>
    <w:p>
      <w:pPr>
        <w:spacing w:after="0" w:line="211" w:lineRule="exact"/>
        <w:rPr>
          <w:sz w:val="20"/>
          <w:szCs w:val="20"/>
          <w:color w:val="auto"/>
        </w:rPr>
      </w:pPr>
    </w:p>
    <w:p>
      <w:pPr>
        <w:jc w:val="both"/>
        <w:ind w:firstLine="891"/>
        <w:spacing w:after="0" w:line="302" w:lineRule="auto"/>
        <w:rPr>
          <w:sz w:val="20"/>
          <w:szCs w:val="20"/>
          <w:color w:val="auto"/>
        </w:rPr>
      </w:pPr>
      <w:r>
        <w:rPr>
          <w:rFonts w:ascii="Arial" w:cs="Arial" w:eastAsia="Arial" w:hAnsi="Arial"/>
          <w:sz w:val="16"/>
          <w:szCs w:val="16"/>
          <w:i w:val="1"/>
          <w:iCs w:val="1"/>
          <w:color w:val="auto"/>
        </w:rPr>
        <w:t xml:space="preserve">Mr. Smith </w:t>
      </w:r>
      <w:r>
        <w:rPr>
          <w:rFonts w:ascii="Arial" w:cs="Arial" w:eastAsia="Arial" w:hAnsi="Arial"/>
          <w:sz w:val="16"/>
          <w:szCs w:val="16"/>
          <w:color w:val="auto"/>
        </w:rPr>
        <w:t>was named Executive Vice President, General Counsel and Corporate Secretary of Scotts Miracle-Gro in July 2013. Effective October</w:t>
      </w:r>
      <w:r>
        <w:rPr>
          <w:rFonts w:ascii="Arial" w:cs="Arial" w:eastAsia="Arial" w:hAnsi="Arial"/>
          <w:sz w:val="16"/>
          <w:szCs w:val="16"/>
          <w:i w:val="1"/>
          <w:iCs w:val="1"/>
          <w:color w:val="auto"/>
        </w:rPr>
        <w:t xml:space="preserve"> </w:t>
      </w:r>
      <w:r>
        <w:rPr>
          <w:rFonts w:ascii="Arial" w:cs="Arial" w:eastAsia="Arial" w:hAnsi="Arial"/>
          <w:sz w:val="16"/>
          <w:szCs w:val="16"/>
          <w:color w:val="auto"/>
        </w:rPr>
        <w:t>31, 2013, Mr. Smith also was named Chief Compliance Officer. Prior to becoming Executive Vice President, General Counsel and Corporate Secretary, Mr. Smith served as Vice President, Global Consumer Legal and Assistant General Counsel since October 2011. From April 2009 to September 2011, he served as Vice President, North America Legal and Assistant General Counsel. From October 2007 to March 2009, he served as Vice President, Litigation.</w:t>
      </w:r>
    </w:p>
    <w:p>
      <w:pPr>
        <w:spacing w:after="0" w:line="154" w:lineRule="exact"/>
        <w:rPr>
          <w:sz w:val="20"/>
          <w:szCs w:val="20"/>
          <w:color w:val="auto"/>
        </w:rPr>
      </w:pPr>
    </w:p>
    <w:p>
      <w:pPr>
        <w:jc w:val="both"/>
        <w:ind w:firstLine="878"/>
        <w:spacing w:after="0" w:line="302" w:lineRule="auto"/>
        <w:rPr>
          <w:sz w:val="20"/>
          <w:szCs w:val="20"/>
          <w:color w:val="auto"/>
        </w:rPr>
      </w:pPr>
      <w:r>
        <w:rPr>
          <w:rFonts w:ascii="Arial" w:cs="Arial" w:eastAsia="Arial" w:hAnsi="Arial"/>
          <w:sz w:val="16"/>
          <w:szCs w:val="16"/>
          <w:i w:val="1"/>
          <w:iCs w:val="1"/>
          <w:color w:val="auto"/>
        </w:rPr>
        <w:t xml:space="preserve">Mr. Lyski </w:t>
      </w:r>
      <w:r>
        <w:rPr>
          <w:rFonts w:ascii="Arial" w:cs="Arial" w:eastAsia="Arial" w:hAnsi="Arial"/>
          <w:sz w:val="16"/>
          <w:szCs w:val="16"/>
          <w:color w:val="auto"/>
        </w:rPr>
        <w:t>was named Executive Vice President, Chief Marketing Officer of Scotts Miracle-Gro in April 2011. He had previously served as interim</w:t>
      </w:r>
      <w:r>
        <w:rPr>
          <w:rFonts w:ascii="Arial" w:cs="Arial" w:eastAsia="Arial" w:hAnsi="Arial"/>
          <w:sz w:val="16"/>
          <w:szCs w:val="16"/>
          <w:i w:val="1"/>
          <w:iCs w:val="1"/>
          <w:color w:val="auto"/>
        </w:rPr>
        <w:t xml:space="preserve"> </w:t>
      </w:r>
      <w:r>
        <w:rPr>
          <w:rFonts w:ascii="Arial" w:cs="Arial" w:eastAsia="Arial" w:hAnsi="Arial"/>
          <w:sz w:val="16"/>
          <w:szCs w:val="16"/>
          <w:color w:val="auto"/>
        </w:rPr>
        <w:t>Chief Marketing Officer since February 2011. Prior to joining Scotts Miracle-Gro, Mr. Lyski served as Executive Vice President, Chief Marketing Officer for Nationwide Mutual Insurance Company from October 2006 until January 2011, where he was responsible for corporate strategy, corporate marketing, brand management, advertising and communications. Mr. Lyski serves as President of the Board of Trustees for the Wexner Center Foundation.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878"/>
        <w:spacing w:after="0" w:line="273" w:lineRule="auto"/>
        <w:rPr>
          <w:sz w:val="20"/>
          <w:szCs w:val="20"/>
          <w:color w:val="auto"/>
        </w:rPr>
      </w:pPr>
      <w:r>
        <w:rPr>
          <w:rFonts w:ascii="Arial" w:cs="Arial" w:eastAsia="Arial" w:hAnsi="Arial"/>
          <w:sz w:val="17"/>
          <w:szCs w:val="17"/>
          <w:i w:val="1"/>
          <w:iCs w:val="1"/>
          <w:color w:val="auto"/>
        </w:rPr>
        <w:t xml:space="preserve">Mr. Lukemire </w:t>
      </w:r>
      <w:r>
        <w:rPr>
          <w:rFonts w:ascii="Arial" w:cs="Arial" w:eastAsia="Arial" w:hAnsi="Arial"/>
          <w:sz w:val="17"/>
          <w:szCs w:val="17"/>
          <w:color w:val="auto"/>
        </w:rPr>
        <w:t>was named Executive Vice President, Business Execution of Scotts Miracle-Gro in July 2013. In that position, Mr. Lukemire is</w:t>
      </w:r>
      <w:r>
        <w:rPr>
          <w:rFonts w:ascii="Arial" w:cs="Arial" w:eastAsia="Arial" w:hAnsi="Arial"/>
          <w:sz w:val="17"/>
          <w:szCs w:val="17"/>
          <w:i w:val="1"/>
          <w:iCs w:val="1"/>
          <w:color w:val="auto"/>
        </w:rPr>
        <w:t xml:space="preserve"> </w:t>
      </w:r>
      <w:r>
        <w:rPr>
          <w:rFonts w:ascii="Arial" w:cs="Arial" w:eastAsia="Arial" w:hAnsi="Arial"/>
          <w:sz w:val="17"/>
          <w:szCs w:val="17"/>
          <w:color w:val="auto"/>
        </w:rPr>
        <w:t>responsible for leading the Company’s global supply chain, research and development, business transformation, operational strategy and environmental health and safety efforts. Prior to this appointment, Mr. Lukemire served as President, U.S. Consumer Regions since October 2011. Previously, he served as Regional President from May 2009 to September 2011, where he was responsible for leading the Company's business development, marketing and sales efforts in the Southeastern United States. Before May 2009, Mr. Lukemire served as Executive Vice President, Global Technologies and Operations, responsible for global supply chain, global research and development and global business information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both"/>
        <w:ind w:left="980" w:hanging="971"/>
        <w:spacing w:after="0" w:line="261" w:lineRule="auto"/>
        <w:tabs>
          <w:tab w:leader="none" w:pos="960" w:val="left"/>
        </w:tabs>
        <w:rPr>
          <w:sz w:val="20"/>
          <w:szCs w:val="20"/>
          <w:color w:val="auto"/>
        </w:rPr>
      </w:pPr>
      <w:r>
        <w:rPr>
          <w:rFonts w:ascii="Arial" w:cs="Arial" w:eastAsia="Arial" w:hAnsi="Arial"/>
          <w:sz w:val="18"/>
          <w:szCs w:val="18"/>
          <w:b w:val="1"/>
          <w:bCs w:val="1"/>
          <w:u w:val="single" w:color="auto"/>
          <w:color w:val="auto"/>
        </w:rPr>
        <w:t>ITEM 5.</w:t>
      </w:r>
      <w:r>
        <w:rPr>
          <w:sz w:val="20"/>
          <w:szCs w:val="20"/>
          <w:color w:val="auto"/>
        </w:rPr>
        <w:tab/>
      </w:r>
      <w:r>
        <w:rPr>
          <w:rFonts w:ascii="Arial" w:cs="Arial" w:eastAsia="Arial" w:hAnsi="Arial"/>
          <w:sz w:val="18"/>
          <w:szCs w:val="18"/>
          <w:b w:val="1"/>
          <w:bCs w:val="1"/>
          <w:i w:val="1"/>
          <w:iCs w:val="1"/>
          <w:u w:val="single" w:color="auto"/>
          <w:color w:val="auto"/>
        </w:rPr>
        <w:t>MARKET FOR REGISTRANT’S COMMON EQUITY, RELATED STOCKHOLDER MATTERS AND ISSUER PURCHASES OF EQUITY SECURITIES</w:t>
      </w:r>
    </w:p>
    <w:p>
      <w:pPr>
        <w:spacing w:after="0" w:line="4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common shares of Scotts Miracle-Gro (the “Common Shares”) trade on the New York Stock Exchange under the symbol “SMG.” The quarterly high and low sale prices for the fiscal years ended September 30, 2013 and September 30, 2012 were as follows:</w:t>
      </w:r>
    </w:p>
    <w:p>
      <w:pPr>
        <w:spacing w:after="0" w:line="297"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Sale Prices</w:t>
            </w:r>
          </w:p>
        </w:tc>
        <w:tc>
          <w:tcPr>
            <w:tcW w:w="1360" w:type="dxa"/>
            <w:vAlign w:val="bottom"/>
            <w:tcBorders>
              <w:bottom w:val="single" w:sz="8" w:color="auto"/>
            </w:tcBorders>
          </w:tcPr>
          <w:p>
            <w:pPr>
              <w:spacing w:after="0"/>
              <w:rPr>
                <w:sz w:val="16"/>
                <w:szCs w:val="16"/>
                <w:color w:val="auto"/>
              </w:rPr>
            </w:pPr>
          </w:p>
        </w:tc>
      </w:tr>
      <w:tr>
        <w:trPr>
          <w:trHeight w:val="264"/>
        </w:trPr>
        <w:tc>
          <w:tcPr>
            <w:tcW w:w="7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60" w:type="dxa"/>
            <w:vAlign w:val="bottom"/>
            <w:gridSpan w:val="2"/>
          </w:tcPr>
          <w:p>
            <w:pPr>
              <w:ind w:left="340"/>
              <w:spacing w:after="0"/>
              <w:rPr>
                <w:sz w:val="20"/>
                <w:szCs w:val="20"/>
                <w:color w:val="auto"/>
              </w:rPr>
            </w:pPr>
            <w:r>
              <w:rPr>
                <w:rFonts w:ascii="Arial" w:cs="Arial" w:eastAsia="Arial" w:hAnsi="Arial"/>
                <w:sz w:val="14"/>
                <w:szCs w:val="14"/>
                <w:b w:val="1"/>
                <w:bCs w:val="1"/>
                <w:color w:val="auto"/>
              </w:rPr>
              <w:t>High</w:t>
            </w:r>
          </w:p>
        </w:tc>
        <w:tc>
          <w:tcPr>
            <w:tcW w:w="560" w:type="dxa"/>
            <w:vAlign w:val="bottom"/>
          </w:tcPr>
          <w:p>
            <w:pPr>
              <w:spacing w:after="0"/>
              <w:rPr>
                <w:sz w:val="22"/>
                <w:szCs w:val="22"/>
                <w:color w:val="auto"/>
              </w:rPr>
            </w:pPr>
          </w:p>
        </w:tc>
        <w:tc>
          <w:tcPr>
            <w:tcW w:w="1360" w:type="dxa"/>
            <w:vAlign w:val="bottom"/>
          </w:tcPr>
          <w:p>
            <w:pPr>
              <w:jc w:val="right"/>
              <w:ind w:right="752"/>
              <w:spacing w:after="0"/>
              <w:rPr>
                <w:sz w:val="20"/>
                <w:szCs w:val="20"/>
                <w:color w:val="auto"/>
              </w:rPr>
            </w:pPr>
            <w:r>
              <w:rPr>
                <w:rFonts w:ascii="Arial" w:cs="Arial" w:eastAsia="Arial" w:hAnsi="Arial"/>
                <w:sz w:val="14"/>
                <w:szCs w:val="14"/>
                <w:b w:val="1"/>
                <w:bCs w:val="1"/>
                <w:color w:val="auto"/>
              </w:rPr>
              <w:t>Low</w:t>
            </w:r>
          </w:p>
        </w:tc>
      </w:tr>
      <w:tr>
        <w:trPr>
          <w:trHeight w:val="250"/>
        </w:trPr>
        <w:tc>
          <w:tcPr>
            <w:tcW w:w="7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FISCAL 2013</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44.60</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39.64</w:t>
            </w:r>
          </w:p>
        </w:tc>
      </w:tr>
      <w:tr>
        <w:trPr>
          <w:trHeight w:val="27"/>
        </w:trPr>
        <w:tc>
          <w:tcPr>
            <w:tcW w:w="7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Second quarter</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47.60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42.64</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50.46</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42.01</w:t>
            </w:r>
          </w:p>
        </w:tc>
      </w:tr>
      <w:tr>
        <w:trPr>
          <w:trHeight w:val="27"/>
        </w:trPr>
        <w:tc>
          <w:tcPr>
            <w:tcW w:w="7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55.99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47.87</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FISCAL 2012</w:t>
            </w: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50.85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40.57</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55.58</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46.17</w:t>
            </w:r>
          </w:p>
        </w:tc>
      </w:tr>
      <w:tr>
        <w:trPr>
          <w:trHeight w:val="27"/>
        </w:trPr>
        <w:tc>
          <w:tcPr>
            <w:tcW w:w="7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55.95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35.49</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37.97</w:t>
            </w:r>
          </w:p>
        </w:tc>
      </w:tr>
    </w:tbl>
    <w:p>
      <w:pPr>
        <w:spacing w:after="0" w:line="229"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A quarterly dividend of $0.25 per Common Share was paid in December, March and June of fiscal 2011. On August 8, 2011, Scotts Miracle-Gro announced that its Board of Directors had increased the quarterly cash dividend to $0.30 per Common Share, which was paid in September of fiscal 2011 and December, March and June of fiscal 2012. On August 9, 2012, Scotts Miracle-Gro announced that its Board of Directors had further increased the quarterly cash dividend to $0.325 per Common Share, which was paid in September of fiscal 2012 and December, March and June of fiscal 2013. On August 6, 2013, Scotts Miracle-Gro announced that its Board of Directors had further increased the quarterly cash dividend to $0.4375 per Common Share, which was paid in September of fiscal 2013. 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Company’s credit facility restricts future dividend payments to an aggregate of $125 million annually through fiscal 2013 and $150 million annually beginning in fiscal 2014 if our leverage ratio, after giving effect to any such annual dividend payment, exceeds 2.50. Our leverage ratio was 2.05 at September 30, 2013. See “NOTE 10. DEBT” of the Notes to Consolidated Financial Statements included in this Annual Report on Form 10-K for further discussion regarding the restrictions on dividend payments.</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November 7, 2013, there were approximately 23,700 shareholders, including holders of record and our estimate of beneficial holders.</w:t>
      </w:r>
    </w:p>
    <w:p>
      <w:pPr>
        <w:spacing w:after="0" w:line="18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of the three fiscal months in the quarter ended September 30, 2013:</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center"/>
              <w:ind w:right="143"/>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center"/>
              <w:ind w:right="143"/>
              <w:spacing w:after="0"/>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143"/>
              <w:spacing w:after="0" w:line="145" w:lineRule="exact"/>
              <w:rPr>
                <w:sz w:val="20"/>
                <w:szCs w:val="20"/>
                <w:color w:val="auto"/>
              </w:rPr>
            </w:pPr>
            <w:r>
              <w:rPr>
                <w:rFonts w:ascii="Arial" w:cs="Arial" w:eastAsia="Arial" w:hAnsi="Arial"/>
                <w:sz w:val="14"/>
                <w:szCs w:val="14"/>
                <w:b w:val="1"/>
                <w:bCs w:val="1"/>
                <w:color w:val="auto"/>
                <w:w w:val="91"/>
              </w:rPr>
              <w:t>Common Shares</w:t>
            </w:r>
          </w:p>
        </w:tc>
        <w:tc>
          <w:tcPr>
            <w:tcW w:w="0" w:type="dxa"/>
            <w:vAlign w:val="bottom"/>
          </w:tcPr>
          <w:p>
            <w:pPr>
              <w:spacing w:after="0"/>
              <w:rPr>
                <w:sz w:val="1"/>
                <w:szCs w:val="1"/>
                <w:color w:val="auto"/>
              </w:rPr>
            </w:pPr>
          </w:p>
        </w:tc>
      </w:tr>
      <w:tr>
        <w:trPr>
          <w:trHeight w:val="112"/>
        </w:trPr>
        <w:tc>
          <w:tcPr>
            <w:tcW w:w="14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Total Number</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Average Price</w:t>
            </w:r>
          </w:p>
        </w:tc>
        <w:tc>
          <w:tcPr>
            <w:tcW w:w="166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9"/>
              </w:rPr>
              <w:t>of Common</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w w:val="99"/>
              </w:rPr>
              <w:t>That May Yet</w:t>
            </w:r>
          </w:p>
        </w:tc>
        <w:tc>
          <w:tcPr>
            <w:tcW w:w="0" w:type="dxa"/>
            <w:vAlign w:val="bottom"/>
          </w:tcPr>
          <w:p>
            <w:pPr>
              <w:spacing w:after="0"/>
              <w:rPr>
                <w:sz w:val="1"/>
                <w:szCs w:val="1"/>
                <w:color w:val="auto"/>
              </w:rPr>
            </w:pPr>
          </w:p>
        </w:tc>
      </w:tr>
      <w:tr>
        <w:trPr>
          <w:trHeight w:val="95"/>
        </w:trPr>
        <w:tc>
          <w:tcPr>
            <w:tcW w:w="14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40" w:type="dxa"/>
            <w:vAlign w:val="bottom"/>
          </w:tcPr>
          <w:p>
            <w:pPr>
              <w:spacing w:after="0"/>
              <w:rPr>
                <w:sz w:val="4"/>
                <w:szCs w:val="4"/>
                <w:color w:val="auto"/>
              </w:rPr>
            </w:pPr>
          </w:p>
        </w:tc>
        <w:tc>
          <w:tcPr>
            <w:tcW w:w="4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of Common</w:t>
            </w: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Paid per</w:t>
            </w:r>
          </w:p>
        </w:tc>
        <w:tc>
          <w:tcPr>
            <w:tcW w:w="16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4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22"/>
        </w:trPr>
        <w:tc>
          <w:tcPr>
            <w:tcW w:w="14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7"/>
              </w:rPr>
              <w:t>as Part of Publicly</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Common</w:t>
            </w:r>
          </w:p>
        </w:tc>
        <w:tc>
          <w:tcPr>
            <w:tcW w:w="16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line="20" w:lineRule="exact"/>
              <w:rPr>
                <w:sz w:val="1"/>
                <w:szCs w:val="1"/>
                <w:color w:val="auto"/>
              </w:rPr>
            </w:pPr>
          </w:p>
        </w:tc>
      </w:tr>
      <w:tr>
        <w:trPr>
          <w:trHeight w:val="149"/>
        </w:trPr>
        <w:tc>
          <w:tcPr>
            <w:tcW w:w="140" w:type="dxa"/>
            <w:vAlign w:val="bottom"/>
          </w:tcPr>
          <w:p>
            <w:pPr>
              <w:spacing w:after="0"/>
              <w:rPr>
                <w:sz w:val="12"/>
                <w:szCs w:val="12"/>
                <w:color w:val="auto"/>
              </w:rPr>
            </w:pPr>
          </w:p>
        </w:tc>
        <w:tc>
          <w:tcPr>
            <w:tcW w:w="40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Announced Plans or</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4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w:t>
            </w:r>
            <w:r>
              <w:rPr>
                <w:rFonts w:ascii="Arial" w:cs="Arial" w:eastAsia="Arial" w:hAnsi="Arial"/>
                <w:sz w:val="12"/>
                <w:szCs w:val="12"/>
                <w:b w:val="1"/>
                <w:bCs w:val="1"/>
                <w:color w:val="auto"/>
                <w:w w:val="92"/>
              </w:rPr>
              <w:t>(1)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2"/>
                <w:szCs w:val="12"/>
                <w:b w:val="1"/>
                <w:bCs w:val="1"/>
                <w:color w:val="auto"/>
                <w:w w:val="93"/>
              </w:rPr>
              <w:t>(2)</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w:t>
            </w:r>
            <w:r>
              <w:rPr>
                <w:rFonts w:ascii="Arial" w:cs="Arial" w:eastAsia="Arial" w:hAnsi="Arial"/>
                <w:sz w:val="12"/>
                <w:szCs w:val="12"/>
                <w:b w:val="1"/>
                <w:bCs w:val="1"/>
                <w:color w:val="auto"/>
                <w:w w:val="92"/>
              </w:rPr>
              <w:t>(3)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3"/>
              </w:rPr>
              <w:t>or Programs</w:t>
            </w:r>
            <w:r>
              <w:rPr>
                <w:rFonts w:ascii="Arial" w:cs="Arial" w:eastAsia="Arial" w:hAnsi="Arial"/>
                <w:sz w:val="12"/>
                <w:szCs w:val="12"/>
                <w:b w:val="1"/>
                <w:bCs w:val="1"/>
                <w:color w:val="auto"/>
                <w:w w:val="93"/>
              </w:rPr>
              <w:t>(3)</w:t>
            </w: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through July 27, 2013</w:t>
            </w:r>
          </w:p>
        </w:tc>
        <w:tc>
          <w:tcPr>
            <w:tcW w:w="16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184</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49.34</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298,816,796</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4140" w:type="dxa"/>
            <w:vAlign w:val="bottom"/>
            <w:gridSpan w:val="2"/>
          </w:tcPr>
          <w:p>
            <w:pPr>
              <w:ind w:left="40"/>
              <w:spacing w:after="0"/>
              <w:rPr>
                <w:sz w:val="20"/>
                <w:szCs w:val="20"/>
                <w:color w:val="auto"/>
              </w:rPr>
            </w:pPr>
            <w:r>
              <w:rPr>
                <w:rFonts w:ascii="Arial" w:cs="Arial" w:eastAsia="Arial" w:hAnsi="Arial"/>
                <w:sz w:val="18"/>
                <w:szCs w:val="18"/>
                <w:color w:val="auto"/>
              </w:rPr>
              <w:t>July 28 through August 24, 2013</w:t>
            </w:r>
          </w:p>
        </w:tc>
        <w:tc>
          <w:tcPr>
            <w:tcW w:w="16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tcPr>
          <w:p>
            <w:pPr>
              <w:ind w:left="13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3"/>
              <w:spacing w:after="0"/>
              <w:rPr>
                <w:sz w:val="20"/>
                <w:szCs w:val="20"/>
                <w:color w:val="auto"/>
              </w:rPr>
            </w:pPr>
            <w:r>
              <w:rPr>
                <w:rFonts w:ascii="Arial" w:cs="Arial" w:eastAsia="Arial" w:hAnsi="Arial"/>
                <w:sz w:val="18"/>
                <w:szCs w:val="18"/>
                <w:color w:val="auto"/>
              </w:rPr>
              <w:t>298,816,796</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0" w:type="dxa"/>
            <w:vAlign w:val="bottom"/>
          </w:tcPr>
          <w:p>
            <w:pPr>
              <w:spacing w:after="0"/>
              <w:rPr>
                <w:sz w:val="23"/>
                <w:szCs w:val="23"/>
                <w:color w:val="auto"/>
              </w:rPr>
            </w:pPr>
          </w:p>
        </w:tc>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25 through September 30, 2013</w:t>
            </w:r>
          </w:p>
        </w:tc>
        <w:tc>
          <w:tcPr>
            <w:tcW w:w="16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1,508</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54.95</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298,816,796</w:t>
            </w: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41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1,692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9"/>
              <w:spacing w:after="0"/>
              <w:rPr>
                <w:sz w:val="20"/>
                <w:szCs w:val="20"/>
                <w:color w:val="auto"/>
              </w:rPr>
            </w:pPr>
            <w:r>
              <w:rPr>
                <w:rFonts w:ascii="Arial" w:cs="Arial" w:eastAsia="Arial" w:hAnsi="Arial"/>
                <w:sz w:val="18"/>
                <w:szCs w:val="18"/>
                <w:color w:val="auto"/>
              </w:rPr>
              <w:t>54.32</w:t>
            </w:r>
          </w:p>
        </w:tc>
        <w:tc>
          <w:tcPr>
            <w:tcW w:w="100" w:type="dxa"/>
            <w:vAlign w:val="bottom"/>
          </w:tcPr>
          <w:p>
            <w:pPr>
              <w:spacing w:after="0"/>
              <w:rPr>
                <w:sz w:val="22"/>
                <w:szCs w:val="22"/>
                <w:color w:val="auto"/>
              </w:rPr>
            </w:pPr>
          </w:p>
        </w:tc>
        <w:tc>
          <w:tcPr>
            <w:tcW w:w="1660" w:type="dxa"/>
            <w:vAlign w:val="bottom"/>
            <w:tcBorders>
              <w:top w:val="single" w:sz="8" w:color="auto"/>
              <w:bottom w:val="single" w:sz="8" w:color="auto"/>
            </w:tcBorders>
          </w:tcPr>
          <w:p>
            <w:pPr>
              <w:ind w:left="1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jc w:val="right"/>
              <w:ind w:right="2894"/>
              <w:spacing w:after="0"/>
              <w:rPr>
                <w:sz w:val="20"/>
                <w:szCs w:val="20"/>
                <w:color w:val="auto"/>
              </w:rPr>
            </w:pPr>
            <w:r>
              <w:rPr>
                <w:rFonts w:ascii="Arial" w:cs="Arial" w:eastAsia="Arial" w:hAnsi="Arial"/>
                <w:sz w:val="18"/>
                <w:szCs w:val="18"/>
                <w:color w:val="auto"/>
                <w:w w:val="89"/>
              </w:rPr>
              <w:t>_____________</w:t>
            </w:r>
          </w:p>
        </w:tc>
        <w:tc>
          <w:tcPr>
            <w:tcW w:w="120" w:type="dxa"/>
            <w:vAlign w:val="bottom"/>
            <w:vMerge w:val="restart"/>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80" w:type="dxa"/>
            <w:vAlign w:val="bottom"/>
            <w:vMerge w:val="restart"/>
          </w:tcPr>
          <w:p>
            <w:pPr>
              <w:jc w:val="right"/>
              <w:ind w:right="78"/>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1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left="660" w:hanging="652"/>
        <w:spacing w:after="0" w:line="286"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Amounts in this column represent Common Shares purchased by the trustee of the rabbi 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 specified statutory limits applicable to The Scotts Company LLC Retirement Savings Plan and with respect to any Executive Management Incentive Pay (as defined in the ERP), Performance Award (as defined in the ERP) or other bonus awarded to such eligible employees. Pursuant to the terms of the ERP, each eligible employee has the right to elect an investment fund, including a fund consisting of Common Shares (the “Scotts Miracle-Gro Common Stock Fund”), against which amounts allocated to such employee’s account under the ERP, including employer contributions,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114" w:lineRule="exact"/>
        <w:rPr>
          <w:rFonts w:ascii="Arial" w:cs="Arial" w:eastAsia="Arial" w:hAnsi="Arial"/>
          <w:sz w:val="16"/>
          <w:szCs w:val="16"/>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171"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August 2010, the Scotts Miracle-Gro Board of Directors authorized the repurchase of up to $500 million of Common Shares over a four-year period (through September 30, 2014). On May 4, 2011, the Scotts Miracle-Gro Board of Directors authorized the repurchase of up to an additional $200 million of Common Shares, resulting in authority to repurchase up to a total of $700 million of Common Shares through September 30, 2014. The dollar amounts in the “Approximate Dollar Value” column reflect the remaining amount available to repurchase under the $700 million authorized repurchase program.</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3960" w:type="dxa"/>
            <w:vAlign w:val="bottom"/>
            <w:gridSpan w:val="3"/>
          </w:tcPr>
          <w:p>
            <w:pPr>
              <w:ind w:left="300"/>
              <w:spacing w:after="0"/>
              <w:rPr>
                <w:sz w:val="20"/>
                <w:szCs w:val="20"/>
                <w:color w:val="auto"/>
              </w:rPr>
            </w:pPr>
            <w:r>
              <w:rPr>
                <w:rFonts w:ascii="Arial" w:cs="Arial" w:eastAsia="Arial" w:hAnsi="Arial"/>
                <w:sz w:val="18"/>
                <w:szCs w:val="18"/>
                <w:b w:val="1"/>
                <w:bCs w:val="1"/>
                <w:i w:val="1"/>
                <w:iCs w:val="1"/>
                <w:color w:val="auto"/>
              </w:rPr>
              <w:t>SELECTED FINANCIAL DATA</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97"/>
        </w:trPr>
        <w:tc>
          <w:tcPr>
            <w:tcW w:w="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tcBorders>
              <w:top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200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9"/>
              </w:rPr>
              <w:t>Five-Year Summary</w:t>
            </w:r>
            <w:r>
              <w:rPr>
                <w:rFonts w:ascii="Arial" w:cs="Arial" w:eastAsia="Arial" w:hAnsi="Arial"/>
                <w:sz w:val="25"/>
                <w:szCs w:val="25"/>
                <w:b w:val="1"/>
                <w:bCs w:val="1"/>
                <w:color w:val="auto"/>
                <w:w w:val="99"/>
                <w:vertAlign w:val="superscript"/>
              </w:rPr>
              <w:t>(1)</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17"/>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w w:val="91"/>
              </w:rPr>
              <w:t>Year Ended September 30,</w:t>
            </w: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64"/>
        </w:trPr>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2010</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2009</w:t>
            </w:r>
          </w:p>
        </w:tc>
      </w:tr>
      <w:tr>
        <w:trPr>
          <w:trHeight w:val="250"/>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520" w:type="dxa"/>
            <w:vAlign w:val="bottom"/>
            <w:gridSpan w:val="5"/>
          </w:tcPr>
          <w:p>
            <w:pPr>
              <w:jc w:val="right"/>
              <w:ind w:right="651"/>
              <w:spacing w:after="0"/>
              <w:rPr>
                <w:sz w:val="20"/>
                <w:szCs w:val="20"/>
                <w:color w:val="auto"/>
              </w:rPr>
            </w:pPr>
            <w:r>
              <w:rPr>
                <w:rFonts w:ascii="Arial" w:cs="Arial" w:eastAsia="Arial" w:hAnsi="Arial"/>
                <w:sz w:val="14"/>
                <w:szCs w:val="14"/>
                <w:b w:val="1"/>
                <w:bCs w:val="1"/>
                <w:color w:val="auto"/>
              </w:rPr>
              <w:t>(In millions, except per share amounts)</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4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RESULTS:</w:t>
            </w: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4640" w:type="dxa"/>
            <w:vAlign w:val="bottom"/>
            <w:gridSpan w:val="5"/>
          </w:tcPr>
          <w:p>
            <w:pPr>
              <w:ind w:left="380"/>
              <w:spacing w:after="0"/>
              <w:rPr>
                <w:sz w:val="20"/>
                <w:szCs w:val="20"/>
                <w:color w:val="auto"/>
              </w:rPr>
            </w:pPr>
            <w:r>
              <w:rPr>
                <w:rFonts w:ascii="Arial" w:cs="Arial" w:eastAsia="Arial" w:hAnsi="Arial"/>
                <w:sz w:val="18"/>
                <w:szCs w:val="18"/>
                <w:color w:val="auto"/>
              </w:rPr>
              <w:t>Net sales</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2,816.5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2,826.1</w:t>
            </w: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2,799.7</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2,873.0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2,715.3</w:t>
            </w: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982.4</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961.3</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1,009.2</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1,085.6</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986.7</w:t>
            </w:r>
          </w:p>
        </w:tc>
      </w:tr>
      <w:tr>
        <w:trPr>
          <w:trHeight w:val="243"/>
        </w:trPr>
        <w:tc>
          <w:tcPr>
            <w:tcW w:w="4640" w:type="dxa"/>
            <w:vAlign w:val="bottom"/>
            <w:gridSpan w:val="5"/>
          </w:tcPr>
          <w:p>
            <w:pPr>
              <w:ind w:left="380"/>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313.2</w:t>
            </w: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243.6</w:t>
            </w:r>
          </w:p>
        </w:tc>
        <w:tc>
          <w:tcPr>
            <w:tcW w:w="50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274.8</w:t>
            </w:r>
          </w:p>
        </w:tc>
        <w:tc>
          <w:tcPr>
            <w:tcW w:w="360" w:type="dxa"/>
            <w:vAlign w:val="bottom"/>
          </w:tcPr>
          <w:p>
            <w:pPr>
              <w:spacing w:after="0"/>
              <w:rPr>
                <w:sz w:val="21"/>
                <w:szCs w:val="21"/>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374.4</w:t>
            </w:r>
          </w:p>
        </w:tc>
        <w:tc>
          <w:tcPr>
            <w:tcW w:w="3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273.4</w:t>
            </w: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161.2</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139.9</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207.7</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140.9</w:t>
            </w:r>
          </w:p>
        </w:tc>
      </w:tr>
      <w:tr>
        <w:trPr>
          <w:trHeight w:val="243"/>
        </w:trPr>
        <w:tc>
          <w:tcPr>
            <w:tcW w:w="4640" w:type="dxa"/>
            <w:vAlign w:val="bottom"/>
            <w:gridSpan w:val="5"/>
          </w:tcPr>
          <w:p>
            <w:pPr>
              <w:ind w:left="380"/>
              <w:spacing w:after="0"/>
              <w:rPr>
                <w:sz w:val="20"/>
                <w:szCs w:val="20"/>
                <w:color w:val="auto"/>
              </w:rPr>
            </w:pPr>
            <w:r>
              <w:rPr>
                <w:rFonts w:ascii="Arial" w:cs="Arial" w:eastAsia="Arial" w:hAnsi="Arial"/>
                <w:sz w:val="18"/>
                <w:szCs w:val="18"/>
                <w:color w:val="auto"/>
                <w:w w:val="99"/>
              </w:rPr>
              <w:t>Income (loss) from discontinued operations, net of tax</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w:t>
            </w:r>
          </w:p>
        </w:tc>
        <w:tc>
          <w:tcPr>
            <w:tcW w:w="50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28.0</w:t>
            </w:r>
          </w:p>
        </w:tc>
        <w:tc>
          <w:tcPr>
            <w:tcW w:w="36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12.4</w:t>
            </w: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161.1</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167.9</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204.1</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153.3</w:t>
            </w:r>
          </w:p>
        </w:tc>
      </w:tr>
      <w:tr>
        <w:trPr>
          <w:trHeight w:val="270"/>
        </w:trPr>
        <w:tc>
          <w:tcPr>
            <w:tcW w:w="4640" w:type="dxa"/>
            <w:vAlign w:val="bottom"/>
            <w:gridSpan w:val="5"/>
          </w:tcPr>
          <w:p>
            <w:pPr>
              <w:ind w:left="40"/>
              <w:spacing w:after="0" w:line="270" w:lineRule="exact"/>
              <w:rPr>
                <w:sz w:val="20"/>
                <w:szCs w:val="20"/>
                <w:color w:val="auto"/>
              </w:rPr>
            </w:pPr>
            <w:r>
              <w:rPr>
                <w:rFonts w:ascii="Arial" w:cs="Arial" w:eastAsia="Arial" w:hAnsi="Arial"/>
                <w:sz w:val="18"/>
                <w:szCs w:val="18"/>
                <w:b w:val="1"/>
                <w:bCs w:val="1"/>
                <w:color w:val="auto"/>
              </w:rPr>
              <w:t>ADJUSTED OPERATING RESULTS</w:t>
            </w:r>
            <w:r>
              <w:rPr>
                <w:rFonts w:ascii="Arial" w:cs="Arial" w:eastAsia="Arial" w:hAnsi="Arial"/>
                <w:sz w:val="25"/>
                <w:szCs w:val="25"/>
                <w:b w:val="1"/>
                <w:bCs w:val="1"/>
                <w:color w:val="auto"/>
                <w:vertAlign w:val="superscript"/>
              </w:rPr>
              <w:t>(2)</w:t>
            </w: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0"/>
        </w:trPr>
        <w:tc>
          <w:tcPr>
            <w:tcW w:w="464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Adjusted income from operations</w:t>
            </w: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333.5</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345.3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401.6</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302.0</w:t>
            </w:r>
          </w:p>
        </w:tc>
      </w:tr>
      <w:tr>
        <w:trPr>
          <w:trHeight w:val="243"/>
        </w:trPr>
        <w:tc>
          <w:tcPr>
            <w:tcW w:w="4640" w:type="dxa"/>
            <w:vAlign w:val="bottom"/>
            <w:gridSpan w:val="5"/>
          </w:tcPr>
          <w:p>
            <w:pPr>
              <w:ind w:left="380"/>
              <w:spacing w:after="0"/>
              <w:rPr>
                <w:sz w:val="20"/>
                <w:szCs w:val="20"/>
                <w:color w:val="auto"/>
              </w:rPr>
            </w:pPr>
            <w:r>
              <w:rPr>
                <w:rFonts w:ascii="Arial" w:cs="Arial" w:eastAsia="Arial" w:hAnsi="Arial"/>
                <w:sz w:val="18"/>
                <w:szCs w:val="18"/>
                <w:color w:val="auto"/>
              </w:rPr>
              <w:t>Adjusted income from continuing operations</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174.4</w:t>
            </w: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124.9</w:t>
            </w:r>
          </w:p>
        </w:tc>
        <w:tc>
          <w:tcPr>
            <w:tcW w:w="50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187.2</w:t>
            </w:r>
          </w:p>
        </w:tc>
        <w:tc>
          <w:tcPr>
            <w:tcW w:w="360" w:type="dxa"/>
            <w:vAlign w:val="bottom"/>
          </w:tcPr>
          <w:p>
            <w:pPr>
              <w:spacing w:after="0"/>
              <w:rPr>
                <w:sz w:val="21"/>
                <w:szCs w:val="21"/>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226.0</w:t>
            </w:r>
          </w:p>
        </w:tc>
        <w:tc>
          <w:tcPr>
            <w:tcW w:w="3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159.0</w:t>
            </w: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FINANCIAL POSITION:</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70"/>
        </w:trPr>
        <w:tc>
          <w:tcPr>
            <w:tcW w:w="4640" w:type="dxa"/>
            <w:vAlign w:val="bottom"/>
            <w:gridSpan w:val="5"/>
          </w:tcPr>
          <w:p>
            <w:pPr>
              <w:ind w:left="380"/>
              <w:spacing w:after="0" w:line="270" w:lineRule="exact"/>
              <w:rPr>
                <w:sz w:val="20"/>
                <w:szCs w:val="20"/>
                <w:color w:val="auto"/>
              </w:rPr>
            </w:pPr>
            <w:r>
              <w:rPr>
                <w:rFonts w:ascii="Arial" w:cs="Arial" w:eastAsia="Arial" w:hAnsi="Arial"/>
                <w:sz w:val="18"/>
                <w:szCs w:val="18"/>
                <w:color w:val="auto"/>
              </w:rPr>
              <w:t>Working capital</w:t>
            </w:r>
            <w:r>
              <w:rPr>
                <w:rFonts w:ascii="Arial" w:cs="Arial" w:eastAsia="Arial" w:hAnsi="Arial"/>
                <w:sz w:val="25"/>
                <w:szCs w:val="25"/>
                <w:color w:val="auto"/>
                <w:vertAlign w:val="superscript"/>
              </w:rPr>
              <w:t>(3)</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371.2</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566.4</w:t>
            </w: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523.9</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381.3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382.7</w:t>
            </w:r>
          </w:p>
        </w:tc>
      </w:tr>
      <w:tr>
        <w:trPr>
          <w:trHeight w:val="270"/>
        </w:trPr>
        <w:tc>
          <w:tcPr>
            <w:tcW w:w="4640" w:type="dxa"/>
            <w:vAlign w:val="bottom"/>
            <w:gridSpan w:val="5"/>
            <w:shd w:val="clear" w:color="auto" w:fill="CCEEFF"/>
          </w:tcPr>
          <w:p>
            <w:pPr>
              <w:ind w:left="380"/>
              <w:spacing w:after="0" w:line="270" w:lineRule="exact"/>
              <w:rPr>
                <w:sz w:val="20"/>
                <w:szCs w:val="20"/>
                <w:color w:val="auto"/>
              </w:rPr>
            </w:pPr>
            <w:r>
              <w:rPr>
                <w:rFonts w:ascii="Arial" w:cs="Arial" w:eastAsia="Arial" w:hAnsi="Arial"/>
                <w:sz w:val="18"/>
                <w:szCs w:val="18"/>
                <w:color w:val="auto"/>
              </w:rPr>
              <w:t>Current ratio</w:t>
            </w:r>
            <w:r>
              <w:rPr>
                <w:rFonts w:ascii="Arial" w:cs="Arial" w:eastAsia="Arial" w:hAnsi="Arial"/>
                <w:sz w:val="25"/>
                <w:szCs w:val="25"/>
                <w:color w:val="auto"/>
                <w:vertAlign w:val="superscript"/>
              </w:rPr>
              <w:t>(3)</w:t>
            </w:r>
          </w:p>
        </w:tc>
        <w:tc>
          <w:tcPr>
            <w:tcW w:w="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w:t>
            </w:r>
          </w:p>
        </w:tc>
        <w:tc>
          <w:tcPr>
            <w:tcW w:w="4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w:t>
            </w:r>
          </w:p>
        </w:tc>
      </w:tr>
      <w:tr>
        <w:trPr>
          <w:trHeight w:val="243"/>
        </w:trPr>
        <w:tc>
          <w:tcPr>
            <w:tcW w:w="4640" w:type="dxa"/>
            <w:vAlign w:val="bottom"/>
            <w:gridSpan w:val="5"/>
          </w:tcPr>
          <w:p>
            <w:pPr>
              <w:ind w:left="380"/>
              <w:spacing w:after="0"/>
              <w:rPr>
                <w:sz w:val="20"/>
                <w:szCs w:val="20"/>
                <w:color w:val="auto"/>
              </w:rPr>
            </w:pPr>
            <w:r>
              <w:rPr>
                <w:rFonts w:ascii="Arial" w:cs="Arial" w:eastAsia="Arial" w:hAnsi="Arial"/>
                <w:sz w:val="18"/>
                <w:szCs w:val="18"/>
                <w:color w:val="auto"/>
              </w:rPr>
              <w:t>Property, plant and equipment, net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422.3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427.4</w:t>
            </w: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394.7</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381.3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356.6</w:t>
            </w: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1,937.2</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2,074.4</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2,052.2</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2,164.0</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2,220.1</w:t>
            </w:r>
          </w:p>
        </w:tc>
      </w:tr>
      <w:tr>
        <w:trPr>
          <w:trHeight w:val="270"/>
        </w:trPr>
        <w:tc>
          <w:tcPr>
            <w:tcW w:w="4640" w:type="dxa"/>
            <w:vAlign w:val="bottom"/>
            <w:gridSpan w:val="5"/>
          </w:tcPr>
          <w:p>
            <w:pPr>
              <w:ind w:left="380"/>
              <w:spacing w:after="0" w:line="270" w:lineRule="exact"/>
              <w:rPr>
                <w:sz w:val="20"/>
                <w:szCs w:val="20"/>
                <w:color w:val="auto"/>
              </w:rPr>
            </w:pPr>
            <w:r>
              <w:rPr>
                <w:rFonts w:ascii="Arial" w:cs="Arial" w:eastAsia="Arial" w:hAnsi="Arial"/>
                <w:sz w:val="18"/>
                <w:szCs w:val="18"/>
                <w:color w:val="auto"/>
              </w:rPr>
              <w:t>Total debt to total book capitalization</w:t>
            </w:r>
            <w:r>
              <w:rPr>
                <w:rFonts w:ascii="Arial" w:cs="Arial" w:eastAsia="Arial" w:hAnsi="Arial"/>
                <w:sz w:val="25"/>
                <w:szCs w:val="25"/>
                <w:color w:val="auto"/>
                <w:vertAlign w:val="superscript"/>
              </w:rPr>
              <w:t>(4)</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44.5%</w:t>
            </w:r>
          </w:p>
        </w:tc>
        <w:tc>
          <w:tcPr>
            <w:tcW w:w="420" w:type="dxa"/>
            <w:vAlign w:val="bottom"/>
          </w:tcPr>
          <w:p>
            <w:pPr>
              <w:spacing w:after="0"/>
              <w:rPr>
                <w:sz w:val="23"/>
                <w:szCs w:val="23"/>
                <w:color w:val="auto"/>
              </w:rPr>
            </w:pPr>
          </w:p>
        </w:tc>
        <w:tc>
          <w:tcPr>
            <w:tcW w:w="1240" w:type="dxa"/>
            <w:vAlign w:val="bottom"/>
            <w:gridSpan w:val="2"/>
          </w:tcPr>
          <w:p>
            <w:pPr>
              <w:jc w:val="right"/>
              <w:ind w:right="332"/>
              <w:spacing w:after="0"/>
              <w:rPr>
                <w:sz w:val="20"/>
                <w:szCs w:val="20"/>
                <w:color w:val="auto"/>
              </w:rPr>
            </w:pPr>
            <w:r>
              <w:rPr>
                <w:rFonts w:ascii="Arial" w:cs="Arial" w:eastAsia="Arial" w:hAnsi="Arial"/>
                <w:sz w:val="18"/>
                <w:szCs w:val="18"/>
                <w:color w:val="auto"/>
              </w:rPr>
              <w:t>56.5%</w:t>
            </w:r>
          </w:p>
        </w:tc>
        <w:tc>
          <w:tcPr>
            <w:tcW w:w="960" w:type="dxa"/>
            <w:vAlign w:val="bottom"/>
          </w:tcPr>
          <w:p>
            <w:pPr>
              <w:jc w:val="right"/>
              <w:spacing w:after="0"/>
              <w:rPr>
                <w:sz w:val="20"/>
                <w:szCs w:val="20"/>
                <w:color w:val="auto"/>
              </w:rPr>
            </w:pPr>
            <w:r>
              <w:rPr>
                <w:rFonts w:ascii="Arial" w:cs="Arial" w:eastAsia="Arial" w:hAnsi="Arial"/>
                <w:sz w:val="18"/>
                <w:szCs w:val="18"/>
                <w:color w:val="auto"/>
              </w:rPr>
              <w:t>58.7%</w:t>
            </w: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45.2%</w:t>
            </w:r>
          </w:p>
        </w:tc>
        <w:tc>
          <w:tcPr>
            <w:tcW w:w="3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58.1%</w:t>
            </w:r>
          </w:p>
        </w:tc>
      </w:tr>
      <w:tr>
        <w:trPr>
          <w:trHeight w:val="250"/>
        </w:trPr>
        <w:tc>
          <w:tcPr>
            <w:tcW w:w="464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Total debt</w:t>
            </w: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570.5</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782.6</w:t>
            </w:r>
          </w:p>
        </w:tc>
        <w:tc>
          <w:tcPr>
            <w:tcW w:w="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795.0</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631.7</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810.1</w:t>
            </w:r>
          </w:p>
        </w:tc>
      </w:tr>
      <w:tr>
        <w:trPr>
          <w:trHeight w:val="243"/>
        </w:trPr>
        <w:tc>
          <w:tcPr>
            <w:tcW w:w="4640" w:type="dxa"/>
            <w:vAlign w:val="bottom"/>
            <w:gridSpan w:val="5"/>
          </w:tcPr>
          <w:p>
            <w:pPr>
              <w:ind w:left="380"/>
              <w:spacing w:after="0"/>
              <w:rPr>
                <w:sz w:val="20"/>
                <w:szCs w:val="20"/>
                <w:color w:val="auto"/>
              </w:rPr>
            </w:pPr>
            <w:r>
              <w:rPr>
                <w:rFonts w:ascii="Arial" w:cs="Arial" w:eastAsia="Arial" w:hAnsi="Arial"/>
                <w:sz w:val="18"/>
                <w:szCs w:val="18"/>
                <w:color w:val="auto"/>
              </w:rPr>
              <w:t>Total shareholders’ equity</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710.5</w:t>
            </w: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601.9</w:t>
            </w:r>
          </w:p>
        </w:tc>
        <w:tc>
          <w:tcPr>
            <w:tcW w:w="50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559.8</w:t>
            </w:r>
          </w:p>
        </w:tc>
        <w:tc>
          <w:tcPr>
            <w:tcW w:w="360" w:type="dxa"/>
            <w:vAlign w:val="bottom"/>
          </w:tcPr>
          <w:p>
            <w:pPr>
              <w:spacing w:after="0"/>
              <w:rPr>
                <w:sz w:val="21"/>
                <w:szCs w:val="21"/>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764.5</w:t>
            </w:r>
          </w:p>
        </w:tc>
        <w:tc>
          <w:tcPr>
            <w:tcW w:w="3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584.5</w:t>
            </w: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CASH FLOWS:</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gridSpan w:val="5"/>
          </w:tcPr>
          <w:p>
            <w:pPr>
              <w:ind w:left="380"/>
              <w:spacing w:after="0"/>
              <w:rPr>
                <w:sz w:val="20"/>
                <w:szCs w:val="20"/>
                <w:color w:val="auto"/>
              </w:rPr>
            </w:pPr>
            <w:r>
              <w:rPr>
                <w:rFonts w:ascii="Arial" w:cs="Arial" w:eastAsia="Arial" w:hAnsi="Arial"/>
                <w:sz w:val="18"/>
                <w:szCs w:val="18"/>
                <w:color w:val="auto"/>
              </w:rPr>
              <w:t>Cash flows from operating activities</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342.0</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153.4</w:t>
            </w: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122.1</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295.9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264.6</w:t>
            </w: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60.1</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72.7</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83.4</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72.0</w:t>
            </w:r>
          </w:p>
        </w:tc>
      </w:tr>
      <w:tr>
        <w:trPr>
          <w:trHeight w:val="243"/>
        </w:trPr>
        <w:tc>
          <w:tcPr>
            <w:tcW w:w="4640" w:type="dxa"/>
            <w:vAlign w:val="bottom"/>
            <w:gridSpan w:val="5"/>
          </w:tcPr>
          <w:p>
            <w:pPr>
              <w:ind w:left="380"/>
              <w:spacing w:after="0"/>
              <w:rPr>
                <w:sz w:val="20"/>
                <w:szCs w:val="20"/>
                <w:color w:val="auto"/>
              </w:rPr>
            </w:pPr>
            <w:r>
              <w:rPr>
                <w:rFonts w:ascii="Arial" w:cs="Arial" w:eastAsia="Arial" w:hAnsi="Arial"/>
                <w:sz w:val="18"/>
                <w:szCs w:val="18"/>
                <w:color w:val="auto"/>
              </w:rPr>
              <w:t>Investments in intellectual property</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3.4</w:t>
            </w: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Investments in acquisitions, net of cash acquired</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4.0</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7.9</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0.6</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10.7</w:t>
            </w:r>
          </w:p>
        </w:tc>
      </w:tr>
      <w:tr>
        <w:trPr>
          <w:trHeight w:val="243"/>
        </w:trPr>
        <w:tc>
          <w:tcPr>
            <w:tcW w:w="4640" w:type="dxa"/>
            <w:vAlign w:val="bottom"/>
            <w:gridSpan w:val="5"/>
          </w:tcPr>
          <w:p>
            <w:pPr>
              <w:ind w:left="380"/>
              <w:spacing w:after="0"/>
              <w:rPr>
                <w:sz w:val="20"/>
                <w:szCs w:val="20"/>
                <w:color w:val="auto"/>
              </w:rPr>
            </w:pPr>
            <w:r>
              <w:rPr>
                <w:rFonts w:ascii="Arial" w:cs="Arial" w:eastAsia="Arial" w:hAnsi="Arial"/>
                <w:sz w:val="18"/>
                <w:szCs w:val="18"/>
                <w:color w:val="auto"/>
              </w:rPr>
              <w:t>Total cash dividends paid</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87.8</w:t>
            </w: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75.4</w:t>
            </w:r>
          </w:p>
        </w:tc>
        <w:tc>
          <w:tcPr>
            <w:tcW w:w="50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67.9</w:t>
            </w:r>
          </w:p>
        </w:tc>
        <w:tc>
          <w:tcPr>
            <w:tcW w:w="360" w:type="dxa"/>
            <w:vAlign w:val="bottom"/>
          </w:tcPr>
          <w:p>
            <w:pPr>
              <w:spacing w:after="0"/>
              <w:rPr>
                <w:sz w:val="21"/>
                <w:szCs w:val="21"/>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42.6</w:t>
            </w:r>
          </w:p>
        </w:tc>
        <w:tc>
          <w:tcPr>
            <w:tcW w:w="3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33.4</w:t>
            </w: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Total purchases of common shares</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358.7</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25.0</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4640" w:type="dxa"/>
            <w:vAlign w:val="bottom"/>
            <w:gridSpan w:val="5"/>
          </w:tcPr>
          <w:p>
            <w:pPr>
              <w:ind w:left="40"/>
              <w:spacing w:after="0"/>
              <w:rPr>
                <w:sz w:val="20"/>
                <w:szCs w:val="20"/>
                <w:color w:val="auto"/>
              </w:rPr>
            </w:pPr>
            <w:r>
              <w:rPr>
                <w:rFonts w:ascii="Arial" w:cs="Arial" w:eastAsia="Arial" w:hAnsi="Arial"/>
                <w:sz w:val="18"/>
                <w:szCs w:val="18"/>
                <w:b w:val="1"/>
                <w:bCs w:val="1"/>
                <w:color w:val="auto"/>
              </w:rPr>
              <w:t>PER SHARE DATA:</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w w:val="94"/>
              </w:rPr>
              <w:t>Earnings per common share from continuing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60" w:type="dxa"/>
            <w:vAlign w:val="bottom"/>
            <w:gridSpan w:val="3"/>
          </w:tcPr>
          <w:p>
            <w:pPr>
              <w:ind w:left="40"/>
              <w:spacing w:after="0"/>
              <w:rPr>
                <w:sz w:val="20"/>
                <w:szCs w:val="20"/>
                <w:color w:val="auto"/>
              </w:rPr>
            </w:pPr>
            <w:r>
              <w:rPr>
                <w:rFonts w:ascii="Arial" w:cs="Arial" w:eastAsia="Arial" w:hAnsi="Arial"/>
                <w:sz w:val="18"/>
                <w:szCs w:val="18"/>
                <w:color w:val="auto"/>
              </w:rPr>
              <w:t>Basic</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2.61</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1.86</w:t>
            </w: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2.16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3.13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2.17</w:t>
            </w:r>
          </w:p>
        </w:tc>
      </w:tr>
      <w:tr>
        <w:trPr>
          <w:trHeight w:val="27"/>
        </w:trPr>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2.58</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2.11</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3.07</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2.13</w:t>
            </w:r>
          </w:p>
        </w:tc>
      </w:tr>
      <w:tr>
        <w:trPr>
          <w:trHeight w:val="270"/>
        </w:trPr>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960" w:type="dxa"/>
            <w:vAlign w:val="bottom"/>
            <w:gridSpan w:val="3"/>
          </w:tcPr>
          <w:p>
            <w:pPr>
              <w:ind w:left="80"/>
              <w:spacing w:after="0" w:line="270" w:lineRule="exact"/>
              <w:rPr>
                <w:sz w:val="20"/>
                <w:szCs w:val="20"/>
                <w:color w:val="auto"/>
              </w:rPr>
            </w:pPr>
            <w:r>
              <w:rPr>
                <w:rFonts w:ascii="Arial" w:cs="Arial" w:eastAsia="Arial" w:hAnsi="Arial"/>
                <w:sz w:val="18"/>
                <w:szCs w:val="18"/>
                <w:color w:val="auto"/>
              </w:rPr>
              <w:t>Adjusted diluted</w:t>
            </w:r>
            <w:r>
              <w:rPr>
                <w:rFonts w:ascii="Arial" w:cs="Arial" w:eastAsia="Arial" w:hAnsi="Arial"/>
                <w:sz w:val="25"/>
                <w:szCs w:val="25"/>
                <w:color w:val="auto"/>
                <w:vertAlign w:val="superscript"/>
              </w:rPr>
              <w:t>(2)</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2.79</w:t>
            </w:r>
          </w:p>
        </w:tc>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w:t>
            </w:r>
          </w:p>
        </w:tc>
        <w:tc>
          <w:tcPr>
            <w:tcW w:w="500" w:type="dxa"/>
            <w:vAlign w:val="bottom"/>
          </w:tcPr>
          <w:p>
            <w:pPr>
              <w:spacing w:after="0"/>
              <w:rPr>
                <w:sz w:val="23"/>
                <w:szCs w:val="23"/>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2.83</w:t>
            </w:r>
          </w:p>
        </w:tc>
        <w:tc>
          <w:tcPr>
            <w:tcW w:w="360" w:type="dxa"/>
            <w:vAlign w:val="bottom"/>
          </w:tcPr>
          <w:p>
            <w:pPr>
              <w:spacing w:after="0"/>
              <w:rPr>
                <w:sz w:val="23"/>
                <w:szCs w:val="23"/>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3.34</w:t>
            </w:r>
          </w:p>
        </w:tc>
        <w:tc>
          <w:tcPr>
            <w:tcW w:w="340" w:type="dxa"/>
            <w:vAlign w:val="bottom"/>
          </w:tcPr>
          <w:p>
            <w:pPr>
              <w:spacing w:after="0"/>
              <w:rPr>
                <w:sz w:val="23"/>
                <w:szCs w:val="23"/>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2.40</w:t>
            </w:r>
          </w:p>
        </w:tc>
      </w:tr>
      <w:tr>
        <w:trPr>
          <w:trHeight w:val="270"/>
        </w:trPr>
        <w:tc>
          <w:tcPr>
            <w:tcW w:w="4640" w:type="dxa"/>
            <w:vAlign w:val="bottom"/>
            <w:gridSpan w:val="5"/>
            <w:shd w:val="clear" w:color="auto" w:fill="CCEEFF"/>
          </w:tcPr>
          <w:p>
            <w:pPr>
              <w:ind w:left="380"/>
              <w:spacing w:after="0" w:line="270" w:lineRule="exact"/>
              <w:rPr>
                <w:sz w:val="20"/>
                <w:szCs w:val="20"/>
                <w:color w:val="auto"/>
              </w:rPr>
            </w:pPr>
            <w:r>
              <w:rPr>
                <w:rFonts w:ascii="Arial" w:cs="Arial" w:eastAsia="Arial" w:hAnsi="Arial"/>
                <w:sz w:val="18"/>
                <w:szCs w:val="18"/>
                <w:color w:val="auto"/>
              </w:rPr>
              <w:t>Dividends per common share</w:t>
            </w:r>
            <w:r>
              <w:rPr>
                <w:rFonts w:ascii="Arial" w:cs="Arial" w:eastAsia="Arial" w:hAnsi="Arial"/>
                <w:sz w:val="25"/>
                <w:szCs w:val="25"/>
                <w:color w:val="auto"/>
                <w:vertAlign w:val="superscript"/>
              </w:rPr>
              <w:t>(5)</w:t>
            </w:r>
          </w:p>
        </w:tc>
        <w:tc>
          <w:tcPr>
            <w:tcW w:w="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1.4125</w:t>
            </w:r>
          </w:p>
        </w:tc>
        <w:tc>
          <w:tcPr>
            <w:tcW w:w="4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1.05</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0.625</w:t>
            </w: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0.50</w:t>
            </w:r>
          </w:p>
        </w:tc>
      </w:tr>
      <w:tr>
        <w:trPr>
          <w:trHeight w:val="243"/>
        </w:trPr>
        <w:tc>
          <w:tcPr>
            <w:tcW w:w="4640" w:type="dxa"/>
            <w:vAlign w:val="bottom"/>
            <w:gridSpan w:val="5"/>
          </w:tcPr>
          <w:p>
            <w:pPr>
              <w:ind w:left="380"/>
              <w:spacing w:after="0"/>
              <w:rPr>
                <w:sz w:val="20"/>
                <w:szCs w:val="20"/>
                <w:color w:val="auto"/>
              </w:rPr>
            </w:pPr>
            <w:r>
              <w:rPr>
                <w:rFonts w:ascii="Arial" w:cs="Arial" w:eastAsia="Arial" w:hAnsi="Arial"/>
                <w:sz w:val="18"/>
                <w:szCs w:val="18"/>
                <w:color w:val="auto"/>
              </w:rPr>
              <w:t>Stock price at year-end</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55.03</w:t>
            </w: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43.47</w:t>
            </w:r>
          </w:p>
        </w:tc>
        <w:tc>
          <w:tcPr>
            <w:tcW w:w="50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44.60</w:t>
            </w:r>
          </w:p>
        </w:tc>
        <w:tc>
          <w:tcPr>
            <w:tcW w:w="360" w:type="dxa"/>
            <w:vAlign w:val="bottom"/>
          </w:tcPr>
          <w:p>
            <w:pPr>
              <w:spacing w:after="0"/>
              <w:rPr>
                <w:sz w:val="21"/>
                <w:szCs w:val="21"/>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51.73</w:t>
            </w:r>
          </w:p>
        </w:tc>
        <w:tc>
          <w:tcPr>
            <w:tcW w:w="3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42.95</w:t>
            </w: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Stock price range—High</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55.99</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55.95</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60.62</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52.56</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44.25</w:t>
            </w:r>
          </w:p>
        </w:tc>
      </w:tr>
      <w:tr>
        <w:trPr>
          <w:trHeight w:val="243"/>
        </w:trPr>
        <w:tc>
          <w:tcPr>
            <w:tcW w:w="4640" w:type="dxa"/>
            <w:vAlign w:val="bottom"/>
            <w:gridSpan w:val="5"/>
          </w:tcPr>
          <w:p>
            <w:pPr>
              <w:ind w:left="380"/>
              <w:spacing w:after="0"/>
              <w:rPr>
                <w:sz w:val="20"/>
                <w:szCs w:val="20"/>
                <w:color w:val="auto"/>
              </w:rPr>
            </w:pPr>
            <w:r>
              <w:rPr>
                <w:rFonts w:ascii="Arial" w:cs="Arial" w:eastAsia="Arial" w:hAnsi="Arial"/>
                <w:sz w:val="18"/>
                <w:szCs w:val="18"/>
                <w:color w:val="auto"/>
              </w:rPr>
              <w:t>Stock price range—Low</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39.64</w:t>
            </w: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35.49</w:t>
            </w:r>
          </w:p>
        </w:tc>
        <w:tc>
          <w:tcPr>
            <w:tcW w:w="50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39.99</w:t>
            </w:r>
          </w:p>
        </w:tc>
        <w:tc>
          <w:tcPr>
            <w:tcW w:w="360" w:type="dxa"/>
            <w:vAlign w:val="bottom"/>
          </w:tcPr>
          <w:p>
            <w:pPr>
              <w:spacing w:after="0"/>
              <w:rPr>
                <w:sz w:val="21"/>
                <w:szCs w:val="21"/>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37.50</w:t>
            </w:r>
          </w:p>
        </w:tc>
        <w:tc>
          <w:tcPr>
            <w:tcW w:w="3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18.27</w:t>
            </w: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70"/>
        </w:trPr>
        <w:tc>
          <w:tcPr>
            <w:tcW w:w="4640" w:type="dxa"/>
            <w:vAlign w:val="bottom"/>
            <w:gridSpan w:val="5"/>
          </w:tcPr>
          <w:p>
            <w:pPr>
              <w:ind w:left="380"/>
              <w:spacing w:after="0" w:line="270" w:lineRule="exact"/>
              <w:rPr>
                <w:sz w:val="20"/>
                <w:szCs w:val="20"/>
                <w:color w:val="auto"/>
              </w:rPr>
            </w:pPr>
            <w:r>
              <w:rPr>
                <w:rFonts w:ascii="Arial" w:cs="Arial" w:eastAsia="Arial" w:hAnsi="Arial"/>
                <w:sz w:val="18"/>
                <w:szCs w:val="18"/>
                <w:color w:val="auto"/>
              </w:rPr>
              <w:t>Adjusted EBITDA</w:t>
            </w:r>
            <w:r>
              <w:rPr>
                <w:rFonts w:ascii="Arial" w:cs="Arial" w:eastAsia="Arial" w:hAnsi="Arial"/>
                <w:sz w:val="25"/>
                <w:szCs w:val="25"/>
                <w:color w:val="auto"/>
                <w:vertAlign w:val="superscript"/>
              </w:rPr>
              <w:t>(6)</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390.5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302.9</w:t>
            </w: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393.0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440.1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350.5</w:t>
            </w:r>
          </w:p>
        </w:tc>
      </w:tr>
      <w:tr>
        <w:trPr>
          <w:trHeight w:val="270"/>
        </w:trPr>
        <w:tc>
          <w:tcPr>
            <w:tcW w:w="4640" w:type="dxa"/>
            <w:vAlign w:val="bottom"/>
            <w:gridSpan w:val="5"/>
            <w:shd w:val="clear" w:color="auto" w:fill="CCEEFF"/>
          </w:tcPr>
          <w:p>
            <w:pPr>
              <w:ind w:left="380"/>
              <w:spacing w:after="0" w:line="270" w:lineRule="exact"/>
              <w:rPr>
                <w:sz w:val="20"/>
                <w:szCs w:val="20"/>
                <w:color w:val="auto"/>
              </w:rPr>
            </w:pPr>
            <w:r>
              <w:rPr>
                <w:rFonts w:ascii="Arial" w:cs="Arial" w:eastAsia="Arial" w:hAnsi="Arial"/>
                <w:sz w:val="18"/>
                <w:szCs w:val="18"/>
                <w:color w:val="auto"/>
              </w:rPr>
              <w:t>Leverage ratio</w:t>
            </w:r>
            <w:r>
              <w:rPr>
                <w:rFonts w:ascii="Arial" w:cs="Arial" w:eastAsia="Arial" w:hAnsi="Arial"/>
                <w:sz w:val="25"/>
                <w:szCs w:val="25"/>
                <w:color w:val="auto"/>
                <w:vertAlign w:val="superscript"/>
              </w:rPr>
              <w:t>(6)</w:t>
            </w:r>
          </w:p>
        </w:tc>
        <w:tc>
          <w:tcPr>
            <w:tcW w:w="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2.05</w:t>
            </w:r>
          </w:p>
        </w:tc>
        <w:tc>
          <w:tcPr>
            <w:tcW w:w="4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1.98</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3.20</w:t>
            </w:r>
          </w:p>
        </w:tc>
      </w:tr>
      <w:tr>
        <w:trPr>
          <w:trHeight w:val="270"/>
        </w:trPr>
        <w:tc>
          <w:tcPr>
            <w:tcW w:w="4640" w:type="dxa"/>
            <w:vAlign w:val="bottom"/>
            <w:gridSpan w:val="5"/>
          </w:tcPr>
          <w:p>
            <w:pPr>
              <w:ind w:left="380"/>
              <w:spacing w:after="0" w:line="270" w:lineRule="exact"/>
              <w:rPr>
                <w:sz w:val="20"/>
                <w:szCs w:val="20"/>
                <w:color w:val="auto"/>
              </w:rPr>
            </w:pPr>
            <w:r>
              <w:rPr>
                <w:rFonts w:ascii="Arial" w:cs="Arial" w:eastAsia="Arial" w:hAnsi="Arial"/>
                <w:sz w:val="18"/>
                <w:szCs w:val="18"/>
                <w:color w:val="auto"/>
              </w:rPr>
              <w:t>Interest coverage ratio</w:t>
            </w:r>
            <w:r>
              <w:rPr>
                <w:rFonts w:ascii="Arial" w:cs="Arial" w:eastAsia="Arial" w:hAnsi="Arial"/>
                <w:sz w:val="25"/>
                <w:szCs w:val="25"/>
                <w:color w:val="auto"/>
                <w:vertAlign w:val="superscript"/>
              </w:rPr>
              <w:t>(6)</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6.59</w:t>
            </w:r>
          </w:p>
        </w:tc>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4.90</w:t>
            </w:r>
          </w:p>
        </w:tc>
        <w:tc>
          <w:tcPr>
            <w:tcW w:w="500" w:type="dxa"/>
            <w:vAlign w:val="bottom"/>
          </w:tcPr>
          <w:p>
            <w:pPr>
              <w:spacing w:after="0"/>
              <w:rPr>
                <w:sz w:val="23"/>
                <w:szCs w:val="23"/>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7.47</w:t>
            </w:r>
          </w:p>
        </w:tc>
        <w:tc>
          <w:tcPr>
            <w:tcW w:w="360" w:type="dxa"/>
            <w:vAlign w:val="bottom"/>
          </w:tcPr>
          <w:p>
            <w:pPr>
              <w:spacing w:after="0"/>
              <w:rPr>
                <w:sz w:val="23"/>
                <w:szCs w:val="23"/>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9.40</w:t>
            </w:r>
          </w:p>
        </w:tc>
        <w:tc>
          <w:tcPr>
            <w:tcW w:w="340" w:type="dxa"/>
            <w:vAlign w:val="bottom"/>
          </w:tcPr>
          <w:p>
            <w:pPr>
              <w:spacing w:after="0"/>
              <w:rPr>
                <w:sz w:val="23"/>
                <w:szCs w:val="23"/>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6.21</w:t>
            </w:r>
          </w:p>
        </w:tc>
      </w:tr>
      <w:tr>
        <w:trPr>
          <w:trHeight w:val="250"/>
        </w:trPr>
        <w:tc>
          <w:tcPr>
            <w:tcW w:w="464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61.7</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64.7</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66.3</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65.0</w:t>
            </w:r>
          </w:p>
        </w:tc>
      </w:tr>
      <w:tr>
        <w:trPr>
          <w:trHeight w:val="229"/>
        </w:trPr>
        <w:tc>
          <w:tcPr>
            <w:tcW w:w="4640" w:type="dxa"/>
            <w:vAlign w:val="bottom"/>
            <w:gridSpan w:val="5"/>
          </w:tcPr>
          <w:p>
            <w:pPr>
              <w:ind w:left="380"/>
              <w:spacing w:after="0"/>
              <w:rPr>
                <w:sz w:val="20"/>
                <w:szCs w:val="20"/>
                <w:color w:val="auto"/>
              </w:rPr>
            </w:pPr>
            <w:r>
              <w:rPr>
                <w:rFonts w:ascii="Arial" w:cs="Arial" w:eastAsia="Arial" w:hAnsi="Arial"/>
                <w:sz w:val="18"/>
                <w:szCs w:val="18"/>
                <w:color w:val="auto"/>
              </w:rPr>
              <w:t>Common shares and dilutive potential common</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640" w:type="dxa"/>
            <w:vAlign w:val="bottom"/>
            <w:gridSpan w:val="5"/>
          </w:tcPr>
          <w:p>
            <w:pPr>
              <w:ind w:left="380"/>
              <w:spacing w:after="0"/>
              <w:rPr>
                <w:sz w:val="20"/>
                <w:szCs w:val="20"/>
                <w:color w:val="auto"/>
              </w:rPr>
            </w:pPr>
            <w:r>
              <w:rPr>
                <w:rFonts w:ascii="Arial" w:cs="Arial" w:eastAsia="Arial" w:hAnsi="Arial"/>
                <w:sz w:val="18"/>
                <w:szCs w:val="18"/>
                <w:color w:val="auto"/>
              </w:rPr>
              <w:t>shares used in diluted EPS calculation</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62.6</w:t>
            </w: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62.1</w:t>
            </w:r>
          </w:p>
        </w:tc>
        <w:tc>
          <w:tcPr>
            <w:tcW w:w="500" w:type="dxa"/>
            <w:vAlign w:val="bottom"/>
          </w:tcPr>
          <w:p>
            <w:pPr>
              <w:spacing w:after="0"/>
              <w:rPr>
                <w:sz w:val="20"/>
                <w:szCs w:val="20"/>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66.2</w:t>
            </w:r>
          </w:p>
        </w:tc>
        <w:tc>
          <w:tcPr>
            <w:tcW w:w="360" w:type="dxa"/>
            <w:vAlign w:val="bottom"/>
          </w:tcPr>
          <w:p>
            <w:pPr>
              <w:spacing w:after="0"/>
              <w:rPr>
                <w:sz w:val="20"/>
                <w:szCs w:val="20"/>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67.6</w:t>
            </w:r>
          </w:p>
        </w:tc>
        <w:tc>
          <w:tcPr>
            <w:tcW w:w="340" w:type="dxa"/>
            <w:vAlign w:val="bottom"/>
          </w:tcPr>
          <w:p>
            <w:pPr>
              <w:spacing w:after="0"/>
              <w:rPr>
                <w:sz w:val="20"/>
                <w:szCs w:val="20"/>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66.1</w:t>
            </w: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2" w:right="2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left="660" w:hanging="652"/>
        <w:spacing w:after="0" w:line="29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July 8, 2009, Scotts Miracle-Gro announced that its wholly-owned subsidiary, Smith &amp; Hawken, Ltd., had adopted a plan to close the Smith &amp; Hawken business. During our first quarter of fiscal 2010, all Smith &amp; Hawken stores were closed and substantially all operational activities of Smith &amp; Hawken were discontinued. As a result, effective in our first quarter of fiscal 2010, we classified Smith &amp; Hawken as discontinued operations in accordance with accounting principles generally accepted in the United States of America (“GAAP”). Smith &amp; Hawken</w:t>
      </w:r>
      <w:r>
        <w:rPr>
          <w:rFonts w:ascii="Arial" w:cs="Arial" w:eastAsia="Arial" w:hAnsi="Arial"/>
          <w:sz w:val="16"/>
          <w:szCs w:val="16"/>
          <w:color w:val="auto"/>
          <w:vertAlign w:val="superscript"/>
        </w:rPr>
        <w:t>®</w:t>
      </w:r>
      <w:r>
        <w:rPr>
          <w:rFonts w:ascii="Arial" w:cs="Arial" w:eastAsia="Arial" w:hAnsi="Arial"/>
          <w:sz w:val="16"/>
          <w:szCs w:val="16"/>
          <w:color w:val="auto"/>
        </w:rPr>
        <w:t xml:space="preserve"> is a registered trademark of Target Brands, Inc. The Company sold the Smith &amp; Hawken brand and certain intellectual property rights related thereto to Target Brands, Inc. on December 30, 2009, and subsequently changed the name of the subsidiary entity formerly known as Smith &amp; Hawken, Ltd. to Teak 2, Ltd. References in this Annual Report on Form 10-K to Smith &amp; Hawken refer to the subsidiary entity, not the brand itself.</w:t>
      </w:r>
    </w:p>
    <w:p>
      <w:pPr>
        <w:spacing w:after="0" w:line="113" w:lineRule="exact"/>
        <w:rPr>
          <w:rFonts w:ascii="Arial" w:cs="Arial" w:eastAsia="Arial" w:hAnsi="Arial"/>
          <w:sz w:val="16"/>
          <w:szCs w:val="16"/>
          <w:color w:val="auto"/>
        </w:rPr>
      </w:pPr>
    </w:p>
    <w:p>
      <w:pPr>
        <w:jc w:val="both"/>
        <w:ind w:left="660"/>
        <w:spacing w:after="0" w:line="273" w:lineRule="auto"/>
        <w:rPr>
          <w:rFonts w:ascii="Arial" w:cs="Arial" w:eastAsia="Arial" w:hAnsi="Arial"/>
          <w:sz w:val="16"/>
          <w:szCs w:val="16"/>
          <w:color w:val="auto"/>
        </w:rPr>
      </w:pPr>
      <w:r>
        <w:rPr>
          <w:rFonts w:ascii="Arial" w:cs="Arial" w:eastAsia="Arial" w:hAnsi="Arial"/>
          <w:sz w:val="17"/>
          <w:szCs w:val="17"/>
          <w:color w:val="auto"/>
        </w:rPr>
        <w:t>On February 28, 2011, we completed the sale of Global Pro to ICL. In conjunction with the transaction, Scotts LLC and ICL entered into several product supply agreements which are generally up to five years in duration, as well as various trademark and technology licensing agreements with varying durations. Our continuing cash inflows and outflows related to these agreements are not considered to be significant in relation to the overall cash flows of Global Pro. Furthermore, none of these agreements permit us to influence the operating or financial policies of Global Pro under the ownership of ICL. Therefore, Global Pro met the criteria for presentation as discontinued operations. As such, effective in the first quarter of fiscal 2011, we classified Global Pro as discontinued operations in accordance with GAAP.</w:t>
      </w:r>
    </w:p>
    <w:p>
      <w:pPr>
        <w:spacing w:after="0" w:line="124" w:lineRule="exact"/>
        <w:rPr>
          <w:rFonts w:ascii="Arial" w:cs="Arial" w:eastAsia="Arial" w:hAnsi="Arial"/>
          <w:sz w:val="16"/>
          <w:szCs w:val="16"/>
          <w:color w:val="auto"/>
        </w:rPr>
      </w:pPr>
    </w:p>
    <w:p>
      <w:pPr>
        <w:ind w:left="660"/>
        <w:spacing w:after="0" w:line="277" w:lineRule="auto"/>
        <w:rPr>
          <w:rFonts w:ascii="Arial" w:cs="Arial" w:eastAsia="Arial" w:hAnsi="Arial"/>
          <w:sz w:val="16"/>
          <w:szCs w:val="16"/>
          <w:color w:val="auto"/>
        </w:rPr>
      </w:pPr>
      <w:r>
        <w:rPr>
          <w:rFonts w:ascii="Arial" w:cs="Arial" w:eastAsia="Arial" w:hAnsi="Arial"/>
          <w:sz w:val="18"/>
          <w:szCs w:val="18"/>
          <w:color w:val="auto"/>
        </w:rPr>
        <w:t>In the fourth quarter of fiscal 2012, the Company completed the wind down of the Company's professional seed business (“Pro Seed”). As a result, effective in its fourth quarter of fiscal 2012, we classified Pro Seed as discontinued operations in accordance with GAAP.</w:t>
      </w:r>
    </w:p>
    <w:p>
      <w:pPr>
        <w:spacing w:after="0" w:line="116" w:lineRule="exact"/>
        <w:rPr>
          <w:rFonts w:ascii="Arial" w:cs="Arial" w:eastAsia="Arial" w:hAnsi="Arial"/>
          <w:sz w:val="16"/>
          <w:szCs w:val="16"/>
          <w:color w:val="auto"/>
        </w:rPr>
      </w:pPr>
    </w:p>
    <w:p>
      <w:pPr>
        <w:ind w:left="660" w:right="20"/>
        <w:spacing w:after="0" w:line="277" w:lineRule="auto"/>
        <w:rPr>
          <w:rFonts w:ascii="Arial" w:cs="Arial" w:eastAsia="Arial" w:hAnsi="Arial"/>
          <w:sz w:val="16"/>
          <w:szCs w:val="16"/>
          <w:color w:val="auto"/>
        </w:rPr>
      </w:pPr>
      <w:r>
        <w:rPr>
          <w:rFonts w:ascii="Arial" w:cs="Arial" w:eastAsia="Arial" w:hAnsi="Arial"/>
          <w:sz w:val="18"/>
          <w:szCs w:val="18"/>
          <w:color w:val="auto"/>
        </w:rPr>
        <w:t>The Selected Financial Data has been retrospectively updated to recast Smith &amp; Hawken, Global Pro and Pro Seed as discontinued operations for each period presented.</w:t>
      </w:r>
    </w:p>
    <w:p>
      <w:pPr>
        <w:spacing w:after="0" w:line="116" w:lineRule="exact"/>
        <w:rPr>
          <w:rFonts w:ascii="Arial" w:cs="Arial" w:eastAsia="Arial" w:hAnsi="Arial"/>
          <w:sz w:val="16"/>
          <w:szCs w:val="16"/>
          <w:color w:val="auto"/>
        </w:rPr>
      </w:pPr>
    </w:p>
    <w:p>
      <w:pPr>
        <w:jc w:val="both"/>
        <w:ind w:left="660" w:hanging="652"/>
        <w:spacing w:after="0" w:line="289"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Five-Year Summary includes non-GAAP financial measures, as defined in Item 10(e) of SEC Regulation S-K, of adjusted operating income, adjusted income from continuing operations and adjusted diluted earnings per share from continuing operations, which exclude costs or gains related to discrete projects or transactions. Items excluded during the five-year period ended September 30, 2013 consisted of charges or credits relating to refinancings, impairments, restructurings, product registration and recall matters, discontinued operations, and other unusual items such as costs or gains related to discrete projects or transactions that are apart from and not indicative of the results of the operations of the business. The comparable GAAP measures are reported operating income, reported income from continuing operations and reported diluted earnings per share from continuing operations. Our management believes that these non-GAAP measures are the most indicative of our earnings capabilities and that disclosure of these non-GAAP financial measures therefore provides useful information to investors or other users of the financial statements, such as lenders. A reconciliation of the non-GAAP to the most directly comparable GAAP measures is presented in the following tables: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Year Ended September 30,</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5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2009</w:t>
            </w:r>
          </w:p>
        </w:tc>
      </w:tr>
      <w:tr>
        <w:trPr>
          <w:trHeight w:val="196"/>
        </w:trPr>
        <w:tc>
          <w:tcPr>
            <w:tcW w:w="5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2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273.4</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Impairment, restructuring and other charges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registration and recall matters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Adjusted income from operations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333.5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258.9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345.3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401.6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302.0</w:t>
            </w:r>
          </w:p>
        </w:tc>
      </w:tr>
      <w:tr>
        <w:trPr>
          <w:trHeight w:val="67"/>
        </w:trPr>
        <w:tc>
          <w:tcPr>
            <w:tcW w:w="52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31"/>
        </w:trPr>
        <w:tc>
          <w:tcPr>
            <w:tcW w:w="52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140.9</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Impairment, restructuring and other charges, net of tax</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registration and recall matters,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Adjusted income from continuing operations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174.4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226.0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159.0</w:t>
            </w:r>
          </w:p>
        </w:tc>
      </w:tr>
      <w:tr>
        <w:trPr>
          <w:trHeight w:val="67"/>
        </w:trPr>
        <w:tc>
          <w:tcPr>
            <w:tcW w:w="52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31"/>
        </w:trPr>
        <w:tc>
          <w:tcPr>
            <w:tcW w:w="52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share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Impairment, restructuring and other charges, net of tax</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registration and recall matters,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0.27</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Adjusted diluted earnings per share from continuing operations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2.40</w:t>
            </w:r>
          </w:p>
        </w:tc>
      </w:tr>
      <w:tr>
        <w:trPr>
          <w:trHeight w:val="27"/>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Working capital is calculated as current assets minus current liabilities. Current ratio is calculated as current assets divided by current liabilities.</w:t>
      </w:r>
    </w:p>
    <w:p>
      <w:pPr>
        <w:spacing w:after="0" w:line="263"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total debt to total book capitalization percentage is calculated by dividing total debt by total debt plus shareholders’ equity.</w:t>
      </w:r>
    </w:p>
    <w:p>
      <w:pPr>
        <w:spacing w:after="0" w:line="171" w:lineRule="exact"/>
        <w:rPr>
          <w:rFonts w:ascii="Arial" w:cs="Arial" w:eastAsia="Arial" w:hAnsi="Arial"/>
          <w:sz w:val="18"/>
          <w:szCs w:val="18"/>
          <w:color w:val="auto"/>
        </w:rPr>
      </w:pPr>
    </w:p>
    <w:p>
      <w:pPr>
        <w:jc w:val="both"/>
        <w:ind w:left="660" w:hanging="652"/>
        <w:spacing w:after="0" w:line="272"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Scotts Miracle-Gro began paying a quarterly dividend of $0.125 per Common Share in the fourth quarter of fiscal 2005. On August 10, 2010, Scotts Miracle-Gro announced that its Board of Directors had increased the quarterly cash dividend to $0.25 per Common Share, which was first paid in the fourth quarter of fiscal 2010. On August 8, 2011, Scotts Miracle-Gro announced that its Board of Directors had increased the quarterly cash dividend to $0.30 per Common Share, which was first paid in the fourth quarter of fiscal 2011. On August 9, 2012, Scotts Miracle-Gro announced that its Board of Directors had further increased the quarterly cash dividend to $0.325 per Common Share, which was first paid in the fourth quarter of fiscal 2012. On August 6, 2013, Scotts Miracle-Gro announced that its Board of Directors had further increased the quarterly cash dividend to $0.4375 per Common Share, which was first paid in the fourth quarter of fiscal 2013.</w:t>
      </w:r>
    </w:p>
    <w:p>
      <w:pPr>
        <w:spacing w:after="0" w:line="123" w:lineRule="exact"/>
        <w:rPr>
          <w:rFonts w:ascii="Arial" w:cs="Arial" w:eastAsia="Arial" w:hAnsi="Arial"/>
          <w:sz w:val="17"/>
          <w:szCs w:val="17"/>
          <w:color w:val="auto"/>
        </w:rPr>
      </w:pPr>
    </w:p>
    <w:p>
      <w:pPr>
        <w:jc w:val="both"/>
        <w:ind w:left="660" w:hanging="652"/>
        <w:spacing w:after="0" w:line="269"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view our credit facility as material to our ability to fund operations, particularly in light of our seasonality. Please refer to “ITEM 1A. RISK FACTORS — Our indebtedness could limit our flexibility and adversely affect our financial condition” of this Annual Report on Form 10-K for a more complete discussion of the risks associated with our debt and our credit facility and the restrictive covenants therein. Our ability to generate cash flows sufficient to cover our debt service costs is essential to our ability to maintain our borrowing capacity. We believe that Adjusted EBITDA provides additional information for determining our ability to meet debt service requirements. The presentation of Adjusted EBITDA herein is intended to be consistent with the calculation of that measure as required by our borrowing arrangements, and used to calculate a leverage ratio (maximum of 3.50 at September 30, 2013) and an interest coverage ratio (minimum of 3.50 for the year ended September 30, 2013). Leverage ratio is calculated as average total indebtedness, as described in our credit facility, relative to Adjusted EBITDA. Interest coverage ratio is calculated as Adjusted EBITDA divided by interest expense, as described in our credit facility, and excludes costs related to refinancings. Our leverage ratio was 2.05 at September 30, 2013 and our interest coverage ratio was 6.59 for the year ended September 30, 2013. Please refer to “ITEM 7. MANAGEMENT’S DISCUSSION AND ANALYSIS OF FINANCIAL CONDITION AND RESULTS OF OPERATIONS — Liquidity and Capital Resources” of this Annual Report on Form 10-K for a discussion of our credit facility.</w:t>
      </w:r>
    </w:p>
    <w:p>
      <w:pPr>
        <w:spacing w:after="0" w:line="125" w:lineRule="exact"/>
        <w:rPr>
          <w:rFonts w:ascii="Arial" w:cs="Arial" w:eastAsia="Arial" w:hAnsi="Arial"/>
          <w:sz w:val="17"/>
          <w:szCs w:val="17"/>
          <w:color w:val="auto"/>
        </w:rPr>
      </w:pPr>
    </w:p>
    <w:p>
      <w:pPr>
        <w:jc w:val="both"/>
        <w:ind w:left="660"/>
        <w:spacing w:after="0" w:line="253" w:lineRule="auto"/>
        <w:rPr>
          <w:rFonts w:ascii="Arial" w:cs="Arial" w:eastAsia="Arial" w:hAnsi="Arial"/>
          <w:sz w:val="17"/>
          <w:szCs w:val="17"/>
          <w:color w:val="auto"/>
        </w:rPr>
      </w:pPr>
      <w:r>
        <w:rPr>
          <w:rFonts w:ascii="Arial" w:cs="Arial" w:eastAsia="Arial" w:hAnsi="Arial"/>
          <w:sz w:val="18"/>
          <w:szCs w:val="18"/>
          <w:color w:val="auto"/>
        </w:rPr>
        <w:t>In accordance with the terms of our credit facility, Adjusted EBITDA is calculated as net income or loss before interest, taxes, depreciation and amortization as well as certain other items such as the impact of the cumulative effect of changes in accounting, costs associated with debt refinancing and other non-recurring, non-cash items affecting net income. In addition, non-recurring cash items affecting net income that are incurred between April 3, 2011 and June 30, 2012 in an aggregate amount not to exceed $40 million are also excluded from the determination of Adjusted EBITDA. Our calculation of Adjusted EBITDA does not represent and should not be considered as an alternative to net income or cash flows from operating activities as determined by GAAP. We make no representation or assertion that Adjusted EBITDA is indicative of our cash flows from operating activities or results of operations. We have provided a reconciliation of Adjusted EBITDA to income from continuing operations solely for the purpose of complying with SEC regulations and not as an indication that Adjusted EBITDA is a substitute measure for income from continuing operations.</w:t>
      </w:r>
    </w:p>
    <w:p>
      <w:pPr>
        <w:spacing w:after="0" w:line="143"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A numeric reconciliation of Adjusted EBITDA to income from continuing operations is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5260" w:type="dxa"/>
            <w:vAlign w:val="bottom"/>
            <w:gridSpan w:val="2"/>
          </w:tcPr>
          <w:p>
            <w:pPr>
              <w:spacing w:after="0"/>
              <w:rPr>
                <w:rFonts w:ascii="Arial" w:cs="Arial" w:eastAsia="Arial" w:hAnsi="Arial"/>
                <w:sz w:val="14"/>
                <w:szCs w:val="14"/>
                <w:color w:val="0000FF"/>
              </w:rPr>
            </w:pPr>
            <w:hyperlink w:anchor="page45">
              <w:r>
                <w:rPr>
                  <w:rFonts w:ascii="Arial" w:cs="Arial" w:eastAsia="Arial" w:hAnsi="Arial"/>
                  <w:sz w:val="14"/>
                  <w:szCs w:val="14"/>
                  <w:color w:val="0000FF"/>
                </w:rPr>
                <w:t>Table of Contents</w:t>
              </w:r>
            </w:hyperlink>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49"/>
        </w:trPr>
        <w:tc>
          <w:tcPr>
            <w:tcW w:w="1020" w:type="dxa"/>
            <w:vAlign w:val="bottom"/>
            <w:tcBorders>
              <w:top w:val="single" w:sz="8" w:color="0000FF"/>
            </w:tcBorders>
          </w:tcPr>
          <w:p>
            <w:pPr>
              <w:spacing w:after="0"/>
              <w:rPr>
                <w:sz w:val="24"/>
                <w:szCs w:val="24"/>
                <w:color w:val="auto"/>
              </w:rPr>
            </w:pPr>
          </w:p>
        </w:tc>
        <w:tc>
          <w:tcPr>
            <w:tcW w:w="4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center"/>
              <w:ind w:left="373"/>
              <w:spacing w:after="0"/>
              <w:rPr>
                <w:sz w:val="20"/>
                <w:szCs w:val="20"/>
                <w:color w:val="auto"/>
              </w:rPr>
            </w:pPr>
            <w:r>
              <w:rPr>
                <w:rFonts w:ascii="Arial" w:cs="Arial" w:eastAsia="Arial" w:hAnsi="Arial"/>
                <w:sz w:val="14"/>
                <w:szCs w:val="14"/>
                <w:b w:val="1"/>
                <w:bCs w:val="1"/>
                <w:color w:val="auto"/>
                <w:w w:val="92"/>
              </w:rPr>
              <w:t>Year Ended September 30,</w:t>
            </w: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2009</w:t>
            </w:r>
          </w:p>
        </w:tc>
      </w:tr>
      <w:tr>
        <w:trPr>
          <w:trHeight w:val="250"/>
        </w:trPr>
        <w:tc>
          <w:tcPr>
            <w:tcW w:w="102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20" w:type="dxa"/>
            <w:vAlign w:val="bottom"/>
            <w:gridSpan w:val="6"/>
          </w:tcPr>
          <w:p>
            <w:pPr>
              <w:jc w:val="center"/>
              <w:ind w:left="353"/>
              <w:spacing w:after="0"/>
              <w:rPr>
                <w:sz w:val="20"/>
                <w:szCs w:val="20"/>
                <w:color w:val="auto"/>
              </w:rPr>
            </w:pPr>
            <w:r>
              <w:rPr>
                <w:rFonts w:ascii="Arial" w:cs="Arial" w:eastAsia="Arial" w:hAnsi="Arial"/>
                <w:sz w:val="14"/>
                <w:szCs w:val="14"/>
                <w:b w:val="1"/>
                <w:bCs w:val="1"/>
                <w:color w:val="auto"/>
                <w:w w:val="92"/>
              </w:rPr>
              <w:t>(In millions, except per share data)</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6"/>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140.9</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Income tax expense from continuing operations</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80.2</w:t>
            </w:r>
          </w:p>
        </w:tc>
      </w:tr>
      <w:tr>
        <w:trPr>
          <w:trHeight w:val="27"/>
        </w:trPr>
        <w:tc>
          <w:tcPr>
            <w:tcW w:w="10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 (excluding</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Global Pro sale)</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Income tax expense (benefit) from discontinued operations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7"/>
        </w:trPr>
        <w:tc>
          <w:tcPr>
            <w:tcW w:w="10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Costs related to refinancings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52.4</w:t>
            </w:r>
          </w:p>
        </w:tc>
      </w:tr>
      <w:tr>
        <w:trPr>
          <w:trHeight w:val="27"/>
        </w:trPr>
        <w:tc>
          <w:tcPr>
            <w:tcW w:w="10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 from discontinued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47.9</w:t>
            </w:r>
          </w:p>
        </w:tc>
      </w:tr>
      <w:tr>
        <w:trPr>
          <w:trHeight w:val="27"/>
        </w:trPr>
        <w:tc>
          <w:tcPr>
            <w:tcW w:w="10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Loss on impairment and other charges</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7.4</w:t>
            </w:r>
          </w:p>
        </w:tc>
      </w:tr>
      <w:tr>
        <w:trPr>
          <w:trHeight w:val="27"/>
        </w:trPr>
        <w:tc>
          <w:tcPr>
            <w:tcW w:w="10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Product registration and recall matters, non-cash portion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Mark-to-market adjustments on derivatives</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Smith &amp; Hawken closure process, non-cash portion</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r>
      <w:tr>
        <w:trPr>
          <w:trHeight w:val="237"/>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390.5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393.0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440.1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350.5</w:t>
            </w:r>
          </w:p>
        </w:tc>
      </w:tr>
      <w:tr>
        <w:trPr>
          <w:trHeight w:val="27"/>
        </w:trPr>
        <w:tc>
          <w:tcPr>
            <w:tcW w:w="10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872"/>
        </w:trPr>
        <w:tc>
          <w:tcPr>
            <w:tcW w:w="10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7.</w:t>
      </w:r>
      <w:r>
        <w:rPr>
          <w:sz w:val="20"/>
          <w:szCs w:val="20"/>
          <w:color w:val="auto"/>
        </w:rPr>
        <w:tab/>
      </w:r>
      <w:r>
        <w:rPr>
          <w:rFonts w:ascii="Arial" w:cs="Arial" w:eastAsia="Arial" w:hAnsi="Arial"/>
          <w:sz w:val="17"/>
          <w:szCs w:val="17"/>
          <w:b w:val="1"/>
          <w:bCs w:val="1"/>
          <w:i w:val="1"/>
          <w:iCs w:val="1"/>
          <w:u w:val="single" w:color="auto"/>
          <w:color w:val="auto"/>
        </w:rPr>
        <w:t>MANAGEMENT’S DISCUSSION AND ANALYSIS OF FINANCIAL CONDITION AND RESULTS OF OPERATIONS</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purpose of this discussion is to provide an understanding of our financial condition and results of operations by focusing on changes in certain key measures from year-to-year. Management’s Discussion and Analysis (“MD&amp;A”) is divided into the following sections:</w:t>
      </w:r>
    </w:p>
    <w:p>
      <w:pPr>
        <w:spacing w:after="0" w:line="116"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jc w:val="both"/>
        <w:ind w:firstLine="432"/>
        <w:spacing w:after="0" w:line="239" w:lineRule="auto"/>
        <w:rPr>
          <w:sz w:val="20"/>
          <w:szCs w:val="20"/>
          <w:color w:val="auto"/>
        </w:rPr>
      </w:pPr>
      <w:r>
        <w:rPr>
          <w:rFonts w:ascii="Arial" w:cs="Arial" w:eastAsia="Arial" w:hAnsi="Arial"/>
          <w:sz w:val="17"/>
          <w:szCs w:val="17"/>
          <w:color w:val="auto"/>
        </w:rPr>
        <w:t>We are dedicated to delivering strong, long-term financial results and outstanding shareholder returns by providing products of superior quality and value to enhance consumers’ lawn and garden environments. We are a leading manufacturer and marketer of consumer branded products for lawn and garden care in North America and Europe. We are Monsanto’s exclusive agent for the marketing and distribution of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non-selective herbicide products within the United States and other contractually specified countries. We have a presence in similar consumer branded products in Australia, the Far East and Latin America. We also operate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the second largest U.S. lawn care service business. Our operations are divided into the following reportable segments: Global Consumer and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w:t>
      </w:r>
    </w:p>
    <w:p>
      <w:pPr>
        <w:spacing w:after="0" w:line="2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fiscal 2013, we progressed a number of key initiatives which focused on: (1) margin improvement and SG&amp;A reduction and (2) stronger balance sheet and operating cash flow with a bias towards returning cash to shareholders. After a late start to the season impacting first half results, strong consumer engagement and our initiatives came together in the second half of the year to lift full year results. We also continued our long-term focus on innovation and global expansion.</w:t>
      </w:r>
    </w:p>
    <w:p>
      <w:pPr>
        <w:spacing w:after="0" w:line="13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a leading consumer branded lawn and garden company, our product development and marketing efforts are largely focused on providing innovative and differentiated products and on continually increasing brand and product awareness to inspire consumers and create retail demand. We have successfully applied this model for a number of years by focusing on research and development and investing approximately 5 - 6% of our annual net sales in advertising to support and promote our products and brands. We continually explore new and innovative ways to communicate with consumers. We believe that we receive a significant return on these expenditures and anticipate a similar commitment to research and development, advertising and marketing investments in the future, with the continuing objective of driving category growth and profitably increasing market share.</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sales in any one year are susceptible to weather conditions in the markets in which our products are sold. For instance, periods of abnormally wet or dry weather can adversely impact sale of certain products, while increasing demand for other products. We believe that our diversified product line and our broad geographic diversification reduce this risk, although to a lesser extent in a year where unfavorable weather is geographically wide-spread and extends across a significant portion of the lawn and garden season. We also believe that weather conditions in any one year, positive or negative, do not materially alter longer-term category growth trends.</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Due to the nature of the lawn and garden business, significant portions of our products ship to our retail customers during our second and third fiscal quarters, as noted in the chart below. Our annual sales are further concentrated in the second and third fiscal quarters by retailers who rely on our ability to deliver products closer to when consumers buy our products, thereby reducing retailers’ pre-season inventories.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6260"/>
        <w:spacing w:after="0"/>
        <w:rPr>
          <w:sz w:val="20"/>
          <w:szCs w:val="20"/>
          <w:color w:val="auto"/>
        </w:rPr>
      </w:pPr>
      <w:r>
        <w:rPr>
          <w:rFonts w:ascii="Arial" w:cs="Arial" w:eastAsia="Arial" w:hAnsi="Arial"/>
          <w:sz w:val="14"/>
          <w:szCs w:val="14"/>
          <w:b w:val="1"/>
          <w:bCs w:val="1"/>
          <w:color w:val="auto"/>
        </w:rPr>
        <w:t>Percent of Net Sales from Continuing</w:t>
      </w:r>
    </w:p>
    <w:p>
      <w:pPr>
        <w:spacing w:after="0" w:line="4"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Operations by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13335</wp:posOffset>
            </wp:positionV>
            <wp:extent cx="32759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gridSpan w:val="2"/>
          </w:tcPr>
          <w:p>
            <w:pPr>
              <w:ind w:left="6940"/>
              <w:spacing w:after="0"/>
              <w:rPr>
                <w:sz w:val="20"/>
                <w:szCs w:val="20"/>
                <w:color w:val="auto"/>
              </w:rPr>
            </w:pPr>
            <w:r>
              <w:rPr>
                <w:rFonts w:ascii="Arial" w:cs="Arial" w:eastAsia="Arial" w:hAnsi="Arial"/>
                <w:sz w:val="14"/>
                <w:szCs w:val="14"/>
                <w:b w:val="1"/>
                <w:bCs w:val="1"/>
                <w:color w:val="auto"/>
              </w:rPr>
              <w:t>2013</w:t>
            </w:r>
          </w:p>
        </w:tc>
        <w:tc>
          <w:tcPr>
            <w:tcW w:w="1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2012</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ind w:right="594"/>
              <w:spacing w:after="0"/>
              <w:rPr>
                <w:sz w:val="20"/>
                <w:szCs w:val="20"/>
                <w:color w:val="auto"/>
              </w:rPr>
            </w:pPr>
            <w:r>
              <w:rPr>
                <w:rFonts w:ascii="Arial" w:cs="Arial" w:eastAsia="Arial" w:hAnsi="Arial"/>
                <w:sz w:val="14"/>
                <w:szCs w:val="14"/>
                <w:b w:val="1"/>
                <w:bCs w:val="1"/>
                <w:color w:val="auto"/>
              </w:rPr>
              <w:t>2011</w:t>
            </w:r>
          </w:p>
        </w:tc>
      </w:tr>
      <w:tr>
        <w:trPr>
          <w:trHeight w:val="250"/>
        </w:trPr>
        <w:tc>
          <w:tcPr>
            <w:tcW w:w="6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58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7"/>
        </w:trPr>
        <w:tc>
          <w:tcPr>
            <w:tcW w:w="6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58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14.4%</w:t>
            </w:r>
          </w:p>
        </w:tc>
      </w:tr>
    </w:tbl>
    <w:p>
      <w:pPr>
        <w:spacing w:after="0" w:line="22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Management focuses on a variety of key indicators and operating metrics to monitor the financial condition and performance of the continuing operations of our business. These metrics include consumer purchases (point-of-sale data), market share, category growth, net sales (including unit volume, pricing, and foreign exchange movements), gross profit margins, advertising to net sales ratios, income from operations, income from continuing operations, net income and earnings per share. To the extent applicable, these measures are evaluated with and without impairment, restructuring and other charges as well as product registration and recall matters, which management believes are not indicative of the earnings capabilities of our businesses. We also focus on measures to optimize cash flow and return on invested capital, including the management of working capital and capital expenditures.</w:t>
      </w:r>
    </w:p>
    <w:p>
      <w:pPr>
        <w:spacing w:after="0" w:line="1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August 2010, the Scotts Miracle-Gro Board of Directors authorized the repurchase of up to $500 million of Scotts Miracle-Gro’s common shares (the “Common Shares”) over a four-year period through September 30, 2014. In May 2011, the Scotts Miracle-Gro Board of Directors authorized the repurchase of up to an additional $200 million of the Common Shares, resulting in authority to repurchase up to a total of $700 million of the Common Shares through September 30, 2014. Since inception of the program in the fourth quarter of fiscal 2010 through September 30, 2013, Scotts Miracle-Gro has repurchased 7.8 million Common Shares for $401.2 million to be held in treasury, leaving $298.8 million authorized for repurchases through September 30, 2014.</w:t>
      </w:r>
    </w:p>
    <w:p>
      <w:pPr>
        <w:spacing w:after="0" w:line="13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Further, on August 6, 2013, we announced that the Scotts Miracle-Gro Board of Directors increased our quarterly dividend from $0.325 to $0.4375 per common share. The decision to increase the amount of cash we intend to return to our shareholders reflects our continued confidence in the business and our desire to maintain a consistent capital structure.</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classified our professional seed business and Global Professional business (excluding our non-European professional business, “Global Pro”) as discontinued operations, for all periods presented, beginning in our fourth quarter of fiscal 2012 and our first quarter of fiscal 2011, respectively. As a result, and unless specifically stated, all discussions regarding results for the fiscal years ended September 30, 2013, 2012 and 2011 reflect results from our continuing operations.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income and expense as a percentage of net sales:</w:t>
      </w:r>
    </w:p>
    <w:p>
      <w:pPr>
        <w:spacing w:after="0" w:line="230"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gridSpan w:val="2"/>
          </w:tcPr>
          <w:p>
            <w:pPr>
              <w:ind w:left="6880"/>
              <w:spacing w:after="0"/>
              <w:rPr>
                <w:sz w:val="20"/>
                <w:szCs w:val="20"/>
                <w:color w:val="auto"/>
              </w:rPr>
            </w:pPr>
            <w:r>
              <w:rPr>
                <w:rFonts w:ascii="Arial" w:cs="Arial" w:eastAsia="Arial" w:hAnsi="Arial"/>
                <w:sz w:val="14"/>
                <w:szCs w:val="14"/>
                <w:b w:val="1"/>
                <w:bCs w:val="1"/>
                <w:color w:val="auto"/>
                <w:w w:val="96"/>
              </w:rPr>
              <w:t>2013</w:t>
            </w:r>
          </w:p>
        </w:tc>
        <w:tc>
          <w:tcPr>
            <w:tcW w:w="17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2012</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right"/>
              <w:ind w:right="611"/>
              <w:spacing w:after="0"/>
              <w:rPr>
                <w:sz w:val="20"/>
                <w:szCs w:val="20"/>
                <w:color w:val="auto"/>
              </w:rPr>
            </w:pPr>
            <w:r>
              <w:rPr>
                <w:rFonts w:ascii="Arial" w:cs="Arial" w:eastAsia="Arial" w:hAnsi="Arial"/>
                <w:sz w:val="14"/>
                <w:szCs w:val="14"/>
                <w:b w:val="1"/>
                <w:bCs w:val="1"/>
                <w:color w:val="auto"/>
              </w:rPr>
              <w:t>2011</w:t>
            </w:r>
          </w:p>
        </w:tc>
      </w:tr>
      <w:tr>
        <w:trPr>
          <w:trHeight w:val="250"/>
        </w:trPr>
        <w:tc>
          <w:tcPr>
            <w:tcW w:w="6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1680" w:type="dxa"/>
            <w:vAlign w:val="bottom"/>
          </w:tcPr>
          <w:p>
            <w:pPr>
              <w:jc w:val="right"/>
              <w:ind w:right="131"/>
              <w:spacing w:after="0"/>
              <w:rPr>
                <w:sz w:val="20"/>
                <w:szCs w:val="20"/>
                <w:color w:val="auto"/>
              </w:rPr>
            </w:pPr>
            <w:r>
              <w:rPr>
                <w:rFonts w:ascii="Arial" w:cs="Arial" w:eastAsia="Arial" w:hAnsi="Arial"/>
                <w:sz w:val="18"/>
                <w:szCs w:val="18"/>
                <w:color w:val="auto"/>
              </w:rPr>
              <w:t>63.2</w:t>
            </w:r>
          </w:p>
        </w:tc>
      </w:tr>
      <w:tr>
        <w:trPr>
          <w:trHeight w:val="27"/>
        </w:trPr>
        <w:tc>
          <w:tcPr>
            <w:tcW w:w="6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0.7</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Cost of sales—product registration and recall matters</w:t>
            </w:r>
          </w:p>
        </w:tc>
        <w:tc>
          <w:tcPr>
            <w:tcW w:w="1780" w:type="dxa"/>
            <w:vAlign w:val="bottom"/>
            <w:gridSpan w:val="3"/>
          </w:tcPr>
          <w:p>
            <w:pPr>
              <w:jc w:val="right"/>
              <w:ind w:right="13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1"/>
              <w:spacing w:after="0"/>
              <w:rPr>
                <w:sz w:val="20"/>
                <w:szCs w:val="20"/>
                <w:color w:val="auto"/>
              </w:rPr>
            </w:pPr>
            <w:r>
              <w:rPr>
                <w:rFonts w:ascii="Arial" w:cs="Arial" w:eastAsia="Arial" w:hAnsi="Arial"/>
                <w:sz w:val="18"/>
                <w:szCs w:val="18"/>
                <w:color w:val="auto"/>
              </w:rPr>
              <w:t>0.1</w:t>
            </w:r>
          </w:p>
        </w:tc>
      </w:tr>
      <w:tr>
        <w:trPr>
          <w:trHeight w:val="27"/>
        </w:trPr>
        <w:tc>
          <w:tcPr>
            <w:tcW w:w="6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36.0</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24.4</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Impairment, restructuring and other</w:t>
            </w: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80" w:type="dxa"/>
            <w:vAlign w:val="bottom"/>
          </w:tcPr>
          <w:p>
            <w:pPr>
              <w:jc w:val="right"/>
              <w:ind w:right="131"/>
              <w:spacing w:after="0"/>
              <w:rPr>
                <w:sz w:val="20"/>
                <w:szCs w:val="20"/>
                <w:color w:val="auto"/>
              </w:rPr>
            </w:pPr>
            <w:r>
              <w:rPr>
                <w:rFonts w:ascii="Arial" w:cs="Arial" w:eastAsia="Arial" w:hAnsi="Arial"/>
                <w:sz w:val="18"/>
                <w:szCs w:val="18"/>
                <w:color w:val="auto"/>
              </w:rPr>
              <w:t>1.3</w:t>
            </w:r>
          </w:p>
        </w:tc>
      </w:tr>
      <w:tr>
        <w:trPr>
          <w:trHeight w:val="27"/>
        </w:trPr>
        <w:tc>
          <w:tcPr>
            <w:tcW w:w="6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Product registration and recall matters</w:t>
            </w:r>
          </w:p>
        </w:tc>
        <w:tc>
          <w:tcPr>
            <w:tcW w:w="1780" w:type="dxa"/>
            <w:vAlign w:val="bottom"/>
            <w:tcBorders>
              <w:bottom w:val="single" w:sz="8" w:color="CCEEFF"/>
            </w:tcBorders>
            <w:gridSpan w:val="3"/>
            <w:shd w:val="clear" w:color="auto" w:fill="CCEEFF"/>
          </w:tcPr>
          <w:p>
            <w:pPr>
              <w:jc w:val="right"/>
              <w:ind w:right="13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0.4</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Other income, net</w:t>
            </w:r>
          </w:p>
        </w:tc>
        <w:tc>
          <w:tcPr>
            <w:tcW w:w="660" w:type="dxa"/>
            <w:vAlign w:val="bottom"/>
          </w:tcPr>
          <w:p>
            <w:pPr>
              <w:jc w:val="right"/>
              <w:ind w:right="9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8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9.9</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Costs related to refinancing</w:t>
            </w:r>
          </w:p>
        </w:tc>
        <w:tc>
          <w:tcPr>
            <w:tcW w:w="1780" w:type="dxa"/>
            <w:vAlign w:val="bottom"/>
            <w:gridSpan w:val="3"/>
          </w:tcPr>
          <w:p>
            <w:pPr>
              <w:jc w:val="right"/>
              <w:ind w:right="13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1"/>
              <w:spacing w:after="0"/>
              <w:rPr>
                <w:sz w:val="20"/>
                <w:szCs w:val="20"/>
                <w:color w:val="auto"/>
              </w:rPr>
            </w:pPr>
            <w:r>
              <w:rPr>
                <w:rFonts w:ascii="Arial" w:cs="Arial" w:eastAsia="Arial" w:hAnsi="Arial"/>
                <w:sz w:val="18"/>
                <w:szCs w:val="18"/>
                <w:color w:val="auto"/>
              </w:rPr>
              <w:t>0.1</w:t>
            </w:r>
          </w:p>
        </w:tc>
      </w:tr>
      <w:tr>
        <w:trPr>
          <w:trHeight w:val="27"/>
        </w:trPr>
        <w:tc>
          <w:tcPr>
            <w:tcW w:w="6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1.8</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8.0</w:t>
            </w:r>
          </w:p>
        </w:tc>
      </w:tr>
      <w:tr>
        <w:trPr>
          <w:trHeight w:val="27"/>
        </w:trPr>
        <w:tc>
          <w:tcPr>
            <w:tcW w:w="6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 from continuing operations</w:t>
            </w: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3.0</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5.0</w:t>
            </w:r>
          </w:p>
        </w:tc>
      </w:tr>
      <w:tr>
        <w:trPr>
          <w:trHeight w:val="27"/>
        </w:trPr>
        <w:tc>
          <w:tcPr>
            <w:tcW w:w="6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1780" w:type="dxa"/>
            <w:vAlign w:val="bottom"/>
            <w:tcBorders>
              <w:bottom w:val="single" w:sz="8" w:color="CCEEFF"/>
            </w:tcBorders>
            <w:gridSpan w:val="3"/>
            <w:shd w:val="clear" w:color="auto" w:fill="CCEEFF"/>
          </w:tcPr>
          <w:p>
            <w:pPr>
              <w:jc w:val="right"/>
              <w:ind w:right="13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6.0 %</w:t>
            </w:r>
          </w:p>
        </w:tc>
      </w:tr>
      <w:tr>
        <w:trPr>
          <w:trHeight w:val="27"/>
        </w:trPr>
        <w:tc>
          <w:tcPr>
            <w:tcW w:w="61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6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Net sales for fiscal 2013 decreased 0.3% to $2.82 billion from $2.83 billion in fiscal 2012. Net sales for fiscal 2012 increased 0.9% from $2.80 billion in fiscal 2011. The change in net sales was attributable to the following:</w:t>
      </w:r>
    </w:p>
    <w:p>
      <w:pPr>
        <w:spacing w:after="0" w:line="176"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23495</wp:posOffset>
            </wp:positionV>
            <wp:extent cx="22212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00" w:type="dxa"/>
            <w:vAlign w:val="bottom"/>
            <w:gridSpan w:val="2"/>
          </w:tcPr>
          <w:p>
            <w:pPr>
              <w:ind w:left="8620"/>
              <w:spacing w:after="0"/>
              <w:rPr>
                <w:sz w:val="20"/>
                <w:szCs w:val="20"/>
                <w:color w:val="auto"/>
              </w:rPr>
            </w:pPr>
            <w:r>
              <w:rPr>
                <w:rFonts w:ascii="Arial" w:cs="Arial" w:eastAsia="Arial" w:hAnsi="Arial"/>
                <w:sz w:val="14"/>
                <w:szCs w:val="14"/>
                <w:b w:val="1"/>
                <w:bCs w:val="1"/>
                <w:color w:val="auto"/>
              </w:rPr>
              <w:t>2013</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ind w:right="613"/>
              <w:spacing w:after="0"/>
              <w:rPr>
                <w:sz w:val="20"/>
                <w:szCs w:val="20"/>
                <w:color w:val="auto"/>
              </w:rPr>
            </w:pPr>
            <w:r>
              <w:rPr>
                <w:rFonts w:ascii="Arial" w:cs="Arial" w:eastAsia="Arial" w:hAnsi="Arial"/>
                <w:sz w:val="14"/>
                <w:szCs w:val="14"/>
                <w:b w:val="1"/>
                <w:bCs w:val="1"/>
                <w:color w:val="auto"/>
              </w:rPr>
              <w:t>2012</w:t>
            </w:r>
          </w:p>
        </w:tc>
      </w:tr>
      <w:tr>
        <w:trPr>
          <w:trHeight w:val="250"/>
        </w:trPr>
        <w:tc>
          <w:tcPr>
            <w:tcW w:w="7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43"/>
        </w:trPr>
        <w:tc>
          <w:tcPr>
            <w:tcW w:w="9000" w:type="dxa"/>
            <w:vAlign w:val="bottom"/>
            <w:gridSpan w:val="2"/>
          </w:tcPr>
          <w:p>
            <w:pPr>
              <w:ind w:left="40"/>
              <w:spacing w:after="0"/>
              <w:rPr>
                <w:sz w:val="20"/>
                <w:szCs w:val="20"/>
                <w:color w:val="auto"/>
              </w:rPr>
            </w:pPr>
            <w:r>
              <w:rPr>
                <w:rFonts w:ascii="Arial" w:cs="Arial" w:eastAsia="Arial" w:hAnsi="Arial"/>
                <w:sz w:val="18"/>
                <w:szCs w:val="18"/>
                <w:color w:val="auto"/>
              </w:rPr>
              <w:t>Pricing</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80" w:type="dxa"/>
            <w:vAlign w:val="bottom"/>
          </w:tcPr>
          <w:p>
            <w:pPr>
              <w:jc w:val="right"/>
              <w:ind w:right="133"/>
              <w:spacing w:after="0"/>
              <w:rPr>
                <w:sz w:val="20"/>
                <w:szCs w:val="20"/>
                <w:color w:val="auto"/>
              </w:rPr>
            </w:pPr>
            <w:r>
              <w:rPr>
                <w:rFonts w:ascii="Arial" w:cs="Arial" w:eastAsia="Arial" w:hAnsi="Arial"/>
                <w:sz w:val="18"/>
                <w:szCs w:val="18"/>
                <w:color w:val="auto"/>
              </w:rPr>
              <w:t>0.7</w:t>
            </w:r>
          </w:p>
        </w:tc>
      </w:tr>
      <w:tr>
        <w:trPr>
          <w:trHeight w:val="27"/>
        </w:trPr>
        <w:tc>
          <w:tcPr>
            <w:tcW w:w="7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rates</w:t>
            </w: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(0.7)</w:t>
            </w:r>
          </w:p>
        </w:tc>
      </w:tr>
      <w:tr>
        <w:trPr>
          <w:trHeight w:val="243"/>
        </w:trPr>
        <w:tc>
          <w:tcPr>
            <w:tcW w:w="9000" w:type="dxa"/>
            <w:vAlign w:val="bottom"/>
            <w:gridSpan w:val="2"/>
          </w:tcPr>
          <w:p>
            <w:pPr>
              <w:ind w:left="40"/>
              <w:spacing w:after="0"/>
              <w:rPr>
                <w:sz w:val="20"/>
                <w:szCs w:val="20"/>
                <w:color w:val="auto"/>
              </w:rPr>
            </w:pPr>
            <w:r>
              <w:rPr>
                <w:rFonts w:ascii="Arial" w:cs="Arial" w:eastAsia="Arial" w:hAnsi="Arial"/>
                <w:sz w:val="18"/>
                <w:szCs w:val="18"/>
                <w:color w:val="auto"/>
              </w:rPr>
              <w:t>Acquisitions</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680" w:type="dxa"/>
            <w:vAlign w:val="bottom"/>
          </w:tcPr>
          <w:p>
            <w:pPr>
              <w:jc w:val="right"/>
              <w:ind w:right="133"/>
              <w:spacing w:after="0"/>
              <w:rPr>
                <w:sz w:val="20"/>
                <w:szCs w:val="20"/>
                <w:color w:val="auto"/>
              </w:rPr>
            </w:pPr>
            <w:r>
              <w:rPr>
                <w:rFonts w:ascii="Arial" w:cs="Arial" w:eastAsia="Arial" w:hAnsi="Arial"/>
                <w:sz w:val="18"/>
                <w:szCs w:val="18"/>
                <w:color w:val="auto"/>
              </w:rPr>
              <w:t>0.2</w:t>
            </w:r>
          </w:p>
        </w:tc>
      </w:tr>
      <w:tr>
        <w:trPr>
          <w:trHeight w:val="27"/>
        </w:trPr>
        <w:tc>
          <w:tcPr>
            <w:tcW w:w="79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9"/>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net sales</w:t>
            </w:r>
          </w:p>
        </w:tc>
        <w:tc>
          <w:tcPr>
            <w:tcW w:w="10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net sales for the year ended September 30, 2013 was primarily driven by:</w:t>
      </w:r>
    </w:p>
    <w:p>
      <w:pPr>
        <w:spacing w:after="0" w:line="117" w:lineRule="exact"/>
        <w:rPr>
          <w:sz w:val="20"/>
          <w:szCs w:val="20"/>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volume in our Global Consumer segment, driven by a decrease in sales within the U.S. of fertilizers, controls and wild bird food products, partially offset by increases within the U.S. for sales of mulch and grass seed products;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decline in net sales attributable to reimbursements associated with our Marketing Agreement with Monsanto;</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sales in Corporate &amp; Other related to ICL supply agreements, which were entered into in connection with the sale of Global Pro in February 2011;</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unfavorable impact of foreign exchange rates as a result of the strengthening of the U.S. dollar relative to other currencies;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partially offset by the favorable impact of increased pricing in the Global Consumer segment, primarily in the U.S.; and</w:t>
      </w:r>
    </w:p>
    <w:p>
      <w:pPr>
        <w:spacing w:after="0" w:line="117" w:lineRule="exact"/>
        <w:rPr>
          <w:rFonts w:ascii="Arial" w:cs="Arial" w:eastAsia="Arial" w:hAnsi="Arial"/>
          <w:sz w:val="18"/>
          <w:szCs w:val="18"/>
          <w:color w:val="auto"/>
        </w:rPr>
      </w:pPr>
    </w:p>
    <w:p>
      <w:pPr>
        <w:ind w:left="660" w:right="20" w:hanging="328"/>
        <w:spacing w:after="0" w:line="21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also partially offset by increased volume within our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 driven by higher customer count and a weather driven delay of sales from the fourth quarter of fiscal 2012 to the first quarter of fiscal 2013.</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net sales for the year ended September 30, 2012 was primarily driven by:</w:t>
      </w:r>
    </w:p>
    <w:p>
      <w:pPr>
        <w:spacing w:after="0" w:line="117" w:lineRule="exact"/>
        <w:rPr>
          <w:sz w:val="20"/>
          <w:szCs w:val="20"/>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volume in our Global Consumer segment, driven by an increase in sales within the U.S. of mulch and controls products, offset by declines within the U.S. of wild bird food, grass seed and plant food products; international sales were flat to fiscal 2011, excluding changes in foreign exchange rates;</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volume within our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 driven by higher customer count;</w:t>
      </w:r>
    </w:p>
    <w:p>
      <w:pPr>
        <w:spacing w:after="0" w:line="41" w:lineRule="exact"/>
        <w:rPr>
          <w:rFonts w:ascii="Arial" w:cs="Arial" w:eastAsia="Arial" w:hAnsi="Arial"/>
          <w:sz w:val="18"/>
          <w:szCs w:val="18"/>
          <w:color w:val="auto"/>
        </w:rPr>
      </w:pPr>
    </w:p>
    <w:p>
      <w:pPr>
        <w:ind w:left="660" w:right="20" w:hanging="328"/>
        <w:spacing w:after="0" w:line="27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sales in Corporate &amp; Other related to ICL supply agreements, which were entered into in connection with the sale of Global Pro in February 2011; and</w:t>
      </w:r>
    </w:p>
    <w:p>
      <w:pPr>
        <w:spacing w:after="0" w:line="6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partially offset by the unfavorable impact of foreign exchange rates as a result of the strengthening of the U.S. dollar relative to other currencies.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major components of cost of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2011</w:t>
            </w:r>
          </w:p>
        </w:tc>
      </w:tr>
      <w:tr>
        <w:trPr>
          <w:trHeight w:val="250"/>
        </w:trPr>
        <w:tc>
          <w:tcPr>
            <w:tcW w:w="6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1,113.1</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1,142.2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1,079.5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Manufacturing labor and overhead</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321.9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319.3</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and warehousing</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306.5</w:t>
            </w:r>
          </w:p>
        </w:tc>
      </w:tr>
      <w:tr>
        <w:trPr>
          <w:trHeight w:val="270"/>
        </w:trPr>
        <w:tc>
          <w:tcPr>
            <w:tcW w:w="64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63.7</w:t>
            </w:r>
          </w:p>
        </w:tc>
      </w:tr>
      <w:tr>
        <w:trPr>
          <w:trHeight w:val="244"/>
        </w:trPr>
        <w:tc>
          <w:tcPr>
            <w:tcW w:w="6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1,769.0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18.3</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registration and recall matters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r>
      <w:tr>
        <w:trPr>
          <w:trHeight w:val="237"/>
        </w:trPr>
        <w:tc>
          <w:tcPr>
            <w:tcW w:w="64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1,834.1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1,864.8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1,790.5</w:t>
            </w:r>
          </w:p>
        </w:tc>
      </w:tr>
      <w:tr>
        <w:trPr>
          <w:trHeight w:val="27"/>
        </w:trPr>
        <w:tc>
          <w:tcPr>
            <w:tcW w:w="64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Factors contributing to the change in cost of sales are outlined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Year Ended September 30,</w:t>
            </w:r>
          </w:p>
        </w:tc>
        <w:tc>
          <w:tcPr>
            <w:tcW w:w="1480" w:type="dxa"/>
            <w:vAlign w:val="bottom"/>
            <w:tcBorders>
              <w:bottom w:val="single" w:sz="8" w:color="auto"/>
            </w:tcBorders>
          </w:tcPr>
          <w:p>
            <w:pPr>
              <w:spacing w:after="0"/>
              <w:rPr>
                <w:sz w:val="16"/>
                <w:szCs w:val="16"/>
                <w:color w:val="auto"/>
              </w:rPr>
            </w:pPr>
          </w:p>
        </w:tc>
      </w:tr>
      <w:tr>
        <w:trPr>
          <w:trHeight w:val="264"/>
        </w:trPr>
        <w:tc>
          <w:tcPr>
            <w:tcW w:w="65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9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972"/>
              <w:spacing w:after="0"/>
              <w:rPr>
                <w:sz w:val="20"/>
                <w:szCs w:val="20"/>
                <w:color w:val="auto"/>
              </w:rPr>
            </w:pPr>
            <w:r>
              <w:rPr>
                <w:rFonts w:ascii="Arial" w:cs="Arial" w:eastAsia="Arial" w:hAnsi="Arial"/>
                <w:sz w:val="14"/>
                <w:szCs w:val="14"/>
                <w:b w:val="1"/>
                <w:bCs w:val="1"/>
                <w:color w:val="auto"/>
              </w:rPr>
              <w:t>2012</w:t>
            </w:r>
          </w:p>
        </w:tc>
      </w:tr>
      <w:tr>
        <w:trPr>
          <w:trHeight w:val="250"/>
        </w:trPr>
        <w:tc>
          <w:tcPr>
            <w:tcW w:w="6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40" w:type="dxa"/>
            <w:vAlign w:val="bottom"/>
            <w:gridSpan w:val="3"/>
          </w:tcPr>
          <w:p>
            <w:pPr>
              <w:jc w:val="right"/>
              <w:ind w:right="490"/>
              <w:spacing w:after="0"/>
              <w:rPr>
                <w:sz w:val="20"/>
                <w:szCs w:val="20"/>
                <w:color w:val="auto"/>
              </w:rPr>
            </w:pPr>
            <w:r>
              <w:rPr>
                <w:rFonts w:ascii="Arial" w:cs="Arial" w:eastAsia="Arial" w:hAnsi="Arial"/>
                <w:sz w:val="14"/>
                <w:szCs w:val="14"/>
                <w:b w:val="1"/>
                <w:bCs w:val="1"/>
                <w:color w:val="auto"/>
              </w:rPr>
              <w:t>(In millions)</w:t>
            </w:r>
          </w:p>
        </w:tc>
        <w:tc>
          <w:tcPr>
            <w:tcW w:w="148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 costs</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Volume and product mix</w:t>
            </w:r>
          </w:p>
        </w:tc>
        <w:tc>
          <w:tcPr>
            <w:tcW w:w="5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25.4</w:t>
            </w:r>
          </w:p>
        </w:tc>
      </w:tr>
      <w:tr>
        <w:trPr>
          <w:trHeight w:val="27"/>
        </w:trPr>
        <w:tc>
          <w:tcPr>
            <w:tcW w:w="6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58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Foreign exchange rates</w:t>
            </w:r>
          </w:p>
        </w:tc>
        <w:tc>
          <w:tcPr>
            <w:tcW w:w="5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65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580" w:type="dxa"/>
            <w:vAlign w:val="bottom"/>
          </w:tcPr>
          <w:p>
            <w:pPr>
              <w:spacing w:after="0"/>
              <w:rPr>
                <w:sz w:val="21"/>
                <w:szCs w:val="21"/>
                <w:color w:val="auto"/>
              </w:rPr>
            </w:pPr>
          </w:p>
        </w:tc>
        <w:tc>
          <w:tcPr>
            <w:tcW w:w="1820" w:type="dxa"/>
            <w:vAlign w:val="bottom"/>
          </w:tcPr>
          <w:p>
            <w:pPr>
              <w:jc w:val="right"/>
              <w:ind w:right="15"/>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7"/>
        </w:trPr>
        <w:tc>
          <w:tcPr>
            <w:tcW w:w="6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registration and recall matters</w:t>
            </w:r>
          </w:p>
        </w:tc>
        <w:tc>
          <w:tcPr>
            <w:tcW w:w="5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Change in cost of sales</w:t>
            </w: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74.3</w:t>
            </w:r>
          </w:p>
        </w:tc>
      </w:tr>
      <w:tr>
        <w:trPr>
          <w:trHeight w:val="27"/>
        </w:trPr>
        <w:tc>
          <w:tcPr>
            <w:tcW w:w="65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cost of sales, excluding impairment, restructuring and other charges, and product registration and recall matters for fiscal 2013 was primarily driven by:</w:t>
      </w:r>
    </w:p>
    <w:p>
      <w:pPr>
        <w:spacing w:after="0" w:line="7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lower reimbursements attributable to our Marketing Agreement with Monsanto;</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decline in our growing media material costs due to our product cost-out initiatives, partially offset by increased costs of fertilizer inputs and packaging;</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decreased volume in our Global Consumer segment, driven by a decrease in sales within the U.S. of fertilizers, controls and wild bird food products, partially offset by increases within the U.S. for sales of growing media and grass seed products;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favorable impact of foreign exchange rates as a result of the strengthening of the U.S. dollar relative to other currencies.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3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increase in cost of sales, excluding impairment, restructuring and other charges, and product registration and recall matters for fiscal 2012 was primarily driven by:</w:t>
      </w:r>
    </w:p>
    <w:p>
      <w:pPr>
        <w:spacing w:after="0" w:line="7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increase in material costs primarily related to packaging for products and fertilizer inputs;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higher sales volume, including increased distribution costs resulting from an early season surge in consumer activity and continued and unplanned surge in mulch volume;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reimbursements attributable to our Marketing Agreement with Monsanto;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partially offset by the favorable impact of foreign exchange rates as a result of the strengthening of the U.S. dollar relative to other currencies.</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Gross Profit</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a percentage of net sales, our gross profit rate was 34.9% for fiscal 2013 compared to 34.0% for fiscal 2012. As a percentage of net sales, our gross profit rate was 34.0% for fiscal 2012 compared to 36.0% for fiscal 2011. Factors contributing to the change in gross profit rate are outlined in the following table: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3500" w:type="dxa"/>
            <w:vAlign w:val="bottom"/>
            <w:tcBorders>
              <w:bottom w:val="single" w:sz="8" w:color="auto"/>
            </w:tcBorders>
            <w:gridSpan w:val="3"/>
          </w:tcPr>
          <w:p>
            <w:pPr>
              <w:ind w:left="1720"/>
              <w:spacing w:after="0"/>
              <w:rPr>
                <w:sz w:val="20"/>
                <w:szCs w:val="20"/>
                <w:color w:val="auto"/>
              </w:rPr>
            </w:pPr>
            <w:r>
              <w:rPr>
                <w:rFonts w:ascii="Arial" w:cs="Arial" w:eastAsia="Arial" w:hAnsi="Arial"/>
                <w:sz w:val="14"/>
                <w:szCs w:val="14"/>
                <w:b w:val="1"/>
                <w:bCs w:val="1"/>
                <w:color w:val="auto"/>
                <w:w w:val="99"/>
              </w:rPr>
              <w:t>Year Ended September 30,</w:t>
            </w:r>
          </w:p>
        </w:tc>
        <w:tc>
          <w:tcPr>
            <w:tcW w:w="1540" w:type="dxa"/>
            <w:vAlign w:val="bottom"/>
            <w:tcBorders>
              <w:bottom w:val="single" w:sz="8" w:color="auto"/>
            </w:tcBorders>
          </w:tcPr>
          <w:p>
            <w:pPr>
              <w:spacing w:after="0"/>
              <w:rPr>
                <w:sz w:val="16"/>
                <w:szCs w:val="16"/>
                <w:color w:val="auto"/>
              </w:rPr>
            </w:pPr>
          </w:p>
        </w:tc>
      </w:tr>
      <w:tr>
        <w:trPr>
          <w:trHeight w:val="264"/>
        </w:trPr>
        <w:tc>
          <w:tcPr>
            <w:tcW w:w="6380" w:type="dxa"/>
            <w:vAlign w:val="bottom"/>
            <w:tcBorders>
              <w:bottom w:val="single" w:sz="8" w:color="CCEEFF"/>
            </w:tcBorders>
          </w:tcPr>
          <w:p>
            <w:pPr>
              <w:spacing w:after="0"/>
              <w:rPr>
                <w:sz w:val="22"/>
                <w:szCs w:val="22"/>
                <w:color w:val="auto"/>
              </w:rPr>
            </w:pPr>
          </w:p>
        </w:tc>
        <w:tc>
          <w:tcPr>
            <w:tcW w:w="2460" w:type="dxa"/>
            <w:vAlign w:val="bottom"/>
            <w:tcBorders>
              <w:bottom w:val="single" w:sz="8" w:color="auto"/>
            </w:tcBorders>
          </w:tcPr>
          <w:p>
            <w:pPr>
              <w:jc w:val="right"/>
              <w:ind w:right="9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012"/>
              <w:spacing w:after="0"/>
              <w:rPr>
                <w:sz w:val="20"/>
                <w:szCs w:val="20"/>
                <w:color w:val="auto"/>
              </w:rPr>
            </w:pPr>
            <w:r>
              <w:rPr>
                <w:rFonts w:ascii="Arial" w:cs="Arial" w:eastAsia="Arial" w:hAnsi="Arial"/>
                <w:sz w:val="14"/>
                <w:szCs w:val="14"/>
                <w:b w:val="1"/>
                <w:bCs w:val="1"/>
                <w:color w:val="auto"/>
              </w:rPr>
              <w:t>2012</w:t>
            </w: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Pricing</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Material costs</w:t>
            </w:r>
          </w:p>
        </w:tc>
        <w:tc>
          <w:tcPr>
            <w:tcW w:w="2460" w:type="dxa"/>
            <w:vAlign w:val="bottom"/>
          </w:tcPr>
          <w:p>
            <w:pPr>
              <w:jc w:val="right"/>
              <w:ind w:right="13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40" w:type="dxa"/>
            <w:vAlign w:val="bottom"/>
          </w:tcPr>
          <w:p>
            <w:pPr>
              <w:jc w:val="right"/>
              <w:ind w:right="92"/>
              <w:spacing w:after="0"/>
              <w:rPr>
                <w:sz w:val="20"/>
                <w:szCs w:val="20"/>
                <w:color w:val="auto"/>
              </w:rPr>
            </w:pPr>
            <w:r>
              <w:rPr>
                <w:rFonts w:ascii="Arial" w:cs="Arial" w:eastAsia="Arial" w:hAnsi="Arial"/>
                <w:sz w:val="18"/>
                <w:szCs w:val="18"/>
                <w:color w:val="auto"/>
              </w:rPr>
              <w:t>(2.5)</w:t>
            </w:r>
          </w:p>
        </w:tc>
      </w:tr>
      <w:tr>
        <w:trPr>
          <w:trHeight w:val="27"/>
        </w:trPr>
        <w:tc>
          <w:tcPr>
            <w:tcW w:w="63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mix and volume:</w:t>
            </w:r>
          </w:p>
        </w:tc>
        <w:tc>
          <w:tcPr>
            <w:tcW w:w="2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70"/>
        </w:trPr>
        <w:tc>
          <w:tcPr>
            <w:tcW w:w="6380" w:type="dxa"/>
            <w:vAlign w:val="bottom"/>
          </w:tcPr>
          <w:p>
            <w:pPr>
              <w:ind w:left="38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commissions and reimbursements</w:t>
            </w:r>
          </w:p>
        </w:tc>
        <w:tc>
          <w:tcPr>
            <w:tcW w:w="2460" w:type="dxa"/>
            <w:vAlign w:val="bottom"/>
          </w:tcPr>
          <w:p>
            <w:pPr>
              <w:jc w:val="right"/>
              <w:ind w:right="13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40" w:type="dxa"/>
            <w:vAlign w:val="bottom"/>
          </w:tcPr>
          <w:p>
            <w:pPr>
              <w:jc w:val="right"/>
              <w:ind w:right="92"/>
              <w:spacing w:after="0"/>
              <w:rPr>
                <w:sz w:val="20"/>
                <w:szCs w:val="20"/>
                <w:color w:val="auto"/>
              </w:rPr>
            </w:pPr>
            <w:r>
              <w:rPr>
                <w:rFonts w:ascii="Arial" w:cs="Arial" w:eastAsia="Arial" w:hAnsi="Arial"/>
                <w:sz w:val="18"/>
                <w:szCs w:val="18"/>
                <w:color w:val="auto"/>
              </w:rPr>
              <w:t>(0.1)</w:t>
            </w:r>
          </w:p>
        </w:tc>
      </w:tr>
      <w:tr>
        <w:trPr>
          <w:trHeight w:val="250"/>
        </w:trPr>
        <w:tc>
          <w:tcPr>
            <w:tcW w:w="6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2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(0.2)</w:t>
            </w:r>
          </w:p>
        </w:tc>
      </w:tr>
      <w:tr>
        <w:trPr>
          <w:trHeight w:val="270"/>
        </w:trPr>
        <w:tc>
          <w:tcPr>
            <w:tcW w:w="6380" w:type="dxa"/>
            <w:vAlign w:val="bottom"/>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460" w:type="dxa"/>
            <w:vAlign w:val="bottom"/>
          </w:tcPr>
          <w:p>
            <w:pPr>
              <w:jc w:val="right"/>
              <w:ind w:right="13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70"/>
        </w:trPr>
        <w:tc>
          <w:tcPr>
            <w:tcW w:w="6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Global Consumer mix and volume</w:t>
            </w:r>
          </w:p>
        </w:tc>
        <w:tc>
          <w:tcPr>
            <w:tcW w:w="2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(0.5)</w:t>
            </w:r>
          </w:p>
        </w:tc>
      </w:tr>
      <w:tr>
        <w:trPr>
          <w:trHeight w:val="237"/>
        </w:trPr>
        <w:tc>
          <w:tcPr>
            <w:tcW w:w="6380" w:type="dxa"/>
            <w:vAlign w:val="bottom"/>
          </w:tcPr>
          <w:p>
            <w:pPr>
              <w:spacing w:after="0"/>
              <w:rPr>
                <w:sz w:val="20"/>
                <w:szCs w:val="20"/>
                <w:color w:val="auto"/>
              </w:rPr>
            </w:pPr>
          </w:p>
        </w:tc>
        <w:tc>
          <w:tcPr>
            <w:tcW w:w="24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(2.8)</w:t>
            </w:r>
          </w:p>
        </w:tc>
      </w:tr>
      <w:tr>
        <w:trPr>
          <w:trHeight w:val="27"/>
        </w:trPr>
        <w:tc>
          <w:tcPr>
            <w:tcW w:w="63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2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0.7</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Product registration and recall matters</w:t>
            </w:r>
          </w:p>
        </w:tc>
        <w:tc>
          <w:tcPr>
            <w:tcW w:w="3500" w:type="dxa"/>
            <w:vAlign w:val="bottom"/>
            <w:gridSpan w:val="3"/>
          </w:tcPr>
          <w:p>
            <w:pPr>
              <w:jc w:val="right"/>
              <w:ind w:right="12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0.1</w:t>
            </w:r>
          </w:p>
        </w:tc>
      </w:tr>
      <w:tr>
        <w:trPr>
          <w:trHeight w:val="27"/>
        </w:trPr>
        <w:tc>
          <w:tcPr>
            <w:tcW w:w="638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gross profit rate</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the gross profit rate, excluding impairment, restructuring and other charges and product registration and recall matters, for fiscal 2013, was primarily driven by:</w:t>
      </w:r>
    </w:p>
    <w:p>
      <w:pPr>
        <w:spacing w:after="0" w:line="7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favorable impact of increased pricing for the Global Consumer segment, primarily in the U.S.;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decreased material costs in our Global Consumer segment due to a decline in growing media material costs resulting from product cost-out initiatives, partially offset by increased material costs for fertilizer inputs;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impact of zero margin dollar reimbursements, attributable to our Marketing Agreement with Monsanto;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partially offset by decreased volume in our Global Consumer segment resulting in reduced leverage of fixed manufacturing and warehousing costs.</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decrease in the gross profit rate, excluding impairment, restructuring and other charges and product registration and recall matters, for fiscal 2012, was primarily driven by:</w:t>
      </w:r>
    </w:p>
    <w:p>
      <w:pPr>
        <w:spacing w:after="0" w:line="6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material costs attributable primarily to packaging for products and fertilizer inputs;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product mix, driven by increased sales of our mulch products within the U.S., and international;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increased costs for distribution as a result of an early season surge in consumer activity and continued and unplanned surge in mulch volume; and</w:t>
      </w:r>
    </w:p>
    <w:p>
      <w:pPr>
        <w:spacing w:after="0" w:line="140"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sales associated with our supply agreements with ICL, which commenced with the sale of Global Pro in February 2011 and do not generate profit.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major components of Selling, General and Administrative expenses (“SG&amp;A”):</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2"/>
              </w:rPr>
              <w:t>Year Ended September 30,</w:t>
            </w:r>
          </w:p>
        </w:tc>
        <w:tc>
          <w:tcPr>
            <w:tcW w:w="4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264"/>
        </w:trPr>
        <w:tc>
          <w:tcPr>
            <w:tcW w:w="5540" w:type="dxa"/>
            <w:vAlign w:val="bottom"/>
          </w:tcPr>
          <w:p>
            <w:pPr>
              <w:spacing w:after="0"/>
              <w:rPr>
                <w:sz w:val="22"/>
                <w:szCs w:val="22"/>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2011</w:t>
            </w:r>
          </w:p>
        </w:tc>
      </w:tr>
      <w:tr>
        <w:trPr>
          <w:trHeight w:val="196"/>
        </w:trPr>
        <w:tc>
          <w:tcPr>
            <w:tcW w:w="5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720" w:type="dxa"/>
            <w:vAlign w:val="bottom"/>
            <w:gridSpan w:val="6"/>
          </w:tcPr>
          <w:p>
            <w:pPr>
              <w:jc w:val="center"/>
              <w:ind w:right="210"/>
              <w:spacing w:after="0"/>
              <w:rPr>
                <w:sz w:val="20"/>
                <w:szCs w:val="20"/>
                <w:color w:val="auto"/>
              </w:rPr>
            </w:pPr>
            <w:r>
              <w:rPr>
                <w:rFonts w:ascii="Arial" w:cs="Arial" w:eastAsia="Arial" w:hAnsi="Arial"/>
                <w:sz w:val="14"/>
                <w:szCs w:val="14"/>
                <w:b w:val="1"/>
                <w:bCs w:val="1"/>
                <w:color w:val="auto"/>
                <w:w w:val="91"/>
              </w:rPr>
              <w:t>(In millions, except percentage figures)</w:t>
            </w:r>
          </w:p>
        </w:tc>
        <w:tc>
          <w:tcPr>
            <w:tcW w:w="1400" w:type="dxa"/>
            <w:vAlign w:val="bottom"/>
          </w:tcPr>
          <w:p>
            <w:pPr>
              <w:spacing w:after="0"/>
              <w:rPr>
                <w:sz w:val="17"/>
                <w:szCs w:val="17"/>
                <w:color w:val="auto"/>
              </w:rPr>
            </w:pPr>
          </w:p>
        </w:tc>
      </w:tr>
      <w:tr>
        <w:trPr>
          <w:trHeight w:val="256"/>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168.9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140.7</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Advertising as a percentage of net sales</w:t>
            </w:r>
          </w:p>
        </w:tc>
        <w:tc>
          <w:tcPr>
            <w:tcW w:w="11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5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15.9</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50.9</w:t>
            </w:r>
          </w:p>
        </w:tc>
      </w:tr>
      <w:tr>
        <w:trPr>
          <w:trHeight w:val="27"/>
        </w:trPr>
        <w:tc>
          <w:tcPr>
            <w:tcW w:w="5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9.5</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Other selling, general and administrative</w:t>
            </w:r>
          </w:p>
        </w:tc>
        <w:tc>
          <w:tcPr>
            <w:tcW w:w="1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453.7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465.3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469.3</w:t>
            </w:r>
          </w:p>
        </w:tc>
      </w:tr>
      <w:tr>
        <w:trPr>
          <w:trHeight w:val="27"/>
        </w:trPr>
        <w:tc>
          <w:tcPr>
            <w:tcW w:w="55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661.1</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705.7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686.3</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Advertising expense decreased $26.7 million or 15.8% to $142.2 million in fiscal 2013 compared to $168.9 million in fiscal 2012. This decrease was primarily attributable to our planned reduction in media investment, reduced spending due to delay in the fiscal 2013 lawn and garden season and our media purchasing efficiencies within the Global Consumer segment. Advertising expense in fiscal 2012 increased $28.2 million compared to fiscal 2011, driven by our planned increase in media and marketing initiatives, partially offset by $1.1 million of changes in foreign currency rates.</w:t>
      </w:r>
    </w:p>
    <w:p>
      <w:pPr>
        <w:spacing w:after="0" w:line="11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Share-based compensation decreased $2.2 million or 17.6% to $10.3 million in fiscal 2013 compared to $12.5 million in fiscal 2012. The decrease in share-based compensation expense in fiscal 2013 was primarily due to the forfeiture of shares associated with the departure of certain key executives. Fiscal 2012 share-based compensation expense declined $3.4 million primarily due to the acceleration of expense in fiscal 2011 for certain terminated employees. The majority of our share-based awards vest over three years, with the associated expense recognized ratably over the vesting period. In certain cases, such as individuals who are eligible for early retirement based on their age and years of service, the vesting period is shorter than three years.</w:t>
      </w:r>
    </w:p>
    <w:p>
      <w:pPr>
        <w:spacing w:after="0" w:line="10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Amortization expense was $8.2 million in fiscal 2013, compared to $8.2 million and $9.5 million in fiscal 2012 and fiscal 2011, respectively. The decline in fiscal 2012 was driven by assets that became fully amortized in fiscal 2011 and due to impairment of certain intangible assets in fiscal 2011.</w:t>
      </w:r>
    </w:p>
    <w:p>
      <w:pPr>
        <w:spacing w:after="0" w:line="9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Other SG&amp;A decreased $11.6 million or 2.5% in fiscal 2013 compared to fiscal 2012. The primary driver of the decrease was due to a decline in outside consulting expenses, selling and marketing expenditures due to cost productivity initiatives, partially offset by higher compensation expense, including incentive compensation, healthcare and severance. In fiscal 2012, Other SG&amp;A spending was roughly flat compared to fiscal 2011.</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Restructuring and Other (included in SG&amp;A)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breakdown of Impairment, Restructuring and Other Charges (included in SG&amp;A):</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Year Ended September 30,</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00" w:type="dxa"/>
            <w:vAlign w:val="bottom"/>
          </w:tcPr>
          <w:p>
            <w:pPr>
              <w:spacing w:after="0"/>
              <w:rPr>
                <w:sz w:val="22"/>
                <w:szCs w:val="22"/>
                <w:color w:val="auto"/>
              </w:rPr>
            </w:pPr>
          </w:p>
        </w:tc>
        <w:tc>
          <w:tcPr>
            <w:tcW w:w="12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2011</w:t>
            </w:r>
          </w:p>
        </w:tc>
      </w:tr>
      <w:tr>
        <w:trPr>
          <w:trHeight w:val="250"/>
        </w:trPr>
        <w:tc>
          <w:tcPr>
            <w:tcW w:w="57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(In millions)</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other</w:t>
            </w:r>
          </w:p>
        </w:tc>
        <w:tc>
          <w:tcPr>
            <w:tcW w:w="122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Property, plant and equipment impairments</w:t>
            </w:r>
          </w:p>
        </w:tc>
        <w:tc>
          <w:tcPr>
            <w:tcW w:w="122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and intangible asset impairments</w:t>
            </w:r>
          </w:p>
        </w:tc>
        <w:tc>
          <w:tcPr>
            <w:tcW w:w="1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w:t>
            </w:r>
          </w:p>
        </w:tc>
      </w:tr>
      <w:tr>
        <w:trPr>
          <w:trHeight w:val="237"/>
        </w:trPr>
        <w:tc>
          <w:tcPr>
            <w:tcW w:w="5700" w:type="dxa"/>
            <w:vAlign w:val="bottom"/>
          </w:tcPr>
          <w:p>
            <w:pPr>
              <w:spacing w:after="0"/>
              <w:rPr>
                <w:sz w:val="20"/>
                <w:szCs w:val="20"/>
                <w:color w:val="auto"/>
              </w:rPr>
            </w:pPr>
          </w:p>
        </w:tc>
        <w:tc>
          <w:tcPr>
            <w:tcW w:w="1220" w:type="dxa"/>
            <w:vAlign w:val="bottom"/>
            <w:tcBorders>
              <w:top w:val="single" w:sz="8" w:color="auto"/>
            </w:tcBorders>
          </w:tcPr>
          <w:p>
            <w:pPr>
              <w:jc w:val="right"/>
              <w:ind w:right="101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37.6</w:t>
            </w:r>
          </w:p>
        </w:tc>
      </w:tr>
      <w:tr>
        <w:trPr>
          <w:trHeight w:val="27"/>
        </w:trPr>
        <w:tc>
          <w:tcPr>
            <w:tcW w:w="57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57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fiscal 2013 we recorded restructuring charges related to an international restructuring plan to reduce headcount and streamline management decision making within the Global Consumer segment. During fiscal 2013, we incurred $6.9 million in restructuring costs related to termination benefits provided to employees who were involuntarily terminated and special termination benefits provided to certain employees upon future separation, which included $0.5 million related to curtailment gain for our international defined benefit pension plans. During the first quarter of fiscal 2013, the Company recognized income of $4.7 million related to the reimbursement by a vendor for a portion of the costs incurred for the development and commercialization of products including the active ingredient MAT 28 for the Global Consumer segment.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383" w:lineRule="exact"/>
        <w:rPr>
          <w:sz w:val="20"/>
          <w:szCs w:val="20"/>
          <w:color w:val="auto"/>
        </w:rPr>
      </w:pPr>
    </w:p>
    <w:p>
      <w:pPr>
        <w:jc w:val="both"/>
        <w:ind w:firstLine="405"/>
        <w:spacing w:after="0" w:line="239" w:lineRule="auto"/>
        <w:rPr>
          <w:sz w:val="20"/>
          <w:szCs w:val="20"/>
          <w:color w:val="auto"/>
        </w:rPr>
      </w:pPr>
      <w:r>
        <w:rPr>
          <w:rFonts w:ascii="Arial" w:cs="Arial" w:eastAsia="Arial" w:hAnsi="Arial"/>
          <w:sz w:val="18"/>
          <w:szCs w:val="18"/>
          <w:color w:val="auto"/>
        </w:rPr>
        <w:t>During the first quarter of 2013, the Company recognized a $4.3 million asset impairment charge as a result of issues with the commercialization of an insect repellent technology for the Global Consumer segment. Also, as a result of the Company's annual impairment review performed in the fourth quarter of fiscal 2013, the Company recognized an impairment charge for a non-recurring fair value adjustment of $11.6 million within the Global Consumer segment related to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and certain sub-brands of Ortho</w:t>
      </w:r>
      <w:r>
        <w:rPr>
          <w:rFonts w:ascii="Arial" w:cs="Arial" w:eastAsia="Arial" w:hAnsi="Arial"/>
          <w:sz w:val="25"/>
          <w:szCs w:val="25"/>
          <w:color w:val="auto"/>
          <w:vertAlign w:val="superscript"/>
        </w:rPr>
        <w:t>®</w:t>
      </w:r>
      <w:r>
        <w:rPr>
          <w:rFonts w:ascii="Arial" w:cs="Arial" w:eastAsia="Arial" w:hAnsi="Arial"/>
          <w:sz w:val="18"/>
          <w:szCs w:val="18"/>
          <w:color w:val="auto"/>
        </w:rPr>
        <w:t>. The fair value was calculated based upon the evaluation of the historical performance and future growth of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w:t>
      </w:r>
    </w:p>
    <w:p>
      <w:pPr>
        <w:spacing w:after="0" w:line="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fiscal 2012, in continuation of the 2011 restructuring plan, we incurred an additional $1.6 million in restructuring costs related to termination benefits provided to employees who accepted voluntary retirement and special termination benefits provided to certain employees upon future separation as well as $0.2 million related to curtailment charges for our U.S. defined benefit pension and U.S. retiree medical plans. Additionally, we recognized a $5.3 million asset impairment charge as a result of issues with commercialization of products including the active ingredient MAT 28 for the Global Consumer segment. Further, we have previously expensed product development and marketing costs associated with the previously planned launch of products containing MAT 28 and are evaluating our options for recovering those costs.</w:t>
      </w:r>
    </w:p>
    <w:p>
      <w:pPr>
        <w:spacing w:after="0" w:line="13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fiscal 2011 we recorded restructuring charges designed to streamline management decision making and continue the regionalization of our operating structure, with the objective of reinvesting the savings generated in innovation and growth initiatives. During fiscal 2011, we incurred $23.7 million in restructuring costs related to termination benefits provided to employees who were involuntarily terminated and special termination benefits provided to certain employees upon future separation, as well as $2.3 million related to curtailment charges for our U.S. defined benefit pension and U.S. retiree medical plans. In addition, we recognized charges of $2.3 million for other intangible asset impairments and $1.4 million for restructuring and other charges.</w:t>
      </w:r>
    </w:p>
    <w:p>
      <w:pPr>
        <w:spacing w:after="0" w:line="10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fourth quarter fiscal 2011 impairment analysis resulted in a non-cash charge of $17.1 million, primarily attributed to the intangible assets and goodwill associated with our wild bird food business, including Morning Song tradename. Losses generated by this business over the preceding two years combined with a revised long-term outlook had negatively impacted the value of the business.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Registration and Recall Matters (included in SG&amp;A)</w:t>
      </w:r>
    </w:p>
    <w:p>
      <w:pPr>
        <w:spacing w:after="0" w:line="9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As previously disclosed in the Company's Annual Report on Form 10-K for the fiscal year ended September 30, 2012, in fiscal year 2012, the Company resolved the previously disclosed U.S. EPA and U.S. Department of Justice (“U.S. DOJ”) investigations into pesticide product registration issues. Product registration and recall costs were $7.8 million and $11.4 million in fiscal 2012 and fiscal 2011, respectively. For fiscal 2013, there were no product registration and recall costs. Fiscal 2012 and fiscal 2011 costs include additional reserves established in connection with the fiscal 2012 settlement of previously disclosed U.S. EPA and U.S. DOJ investigations, as well as third-party compliance review, legal and consulting fees associated with these investigations. Fiscal 2011 costs primarily related to third-party compliance review, legal and consulting fees associated with these investigations. The Company does not expect to incur any additional costs related to these investigations, as they were settled in the fourth quarter of fiscal 2012.</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90" w:lineRule="exact"/>
        <w:rPr>
          <w:sz w:val="20"/>
          <w:szCs w:val="20"/>
          <w:color w:val="auto"/>
        </w:rPr>
      </w:pPr>
    </w:p>
    <w:p>
      <w:pPr>
        <w:jc w:val="both"/>
        <w:ind w:firstLine="405"/>
        <w:spacing w:after="0" w:line="237" w:lineRule="auto"/>
        <w:rPr>
          <w:sz w:val="20"/>
          <w:szCs w:val="20"/>
          <w:color w:val="auto"/>
        </w:rPr>
      </w:pPr>
      <w:r>
        <w:rPr>
          <w:rFonts w:ascii="Arial" w:cs="Arial" w:eastAsia="Arial" w:hAnsi="Arial"/>
          <w:sz w:val="18"/>
          <w:szCs w:val="18"/>
          <w:color w:val="auto"/>
        </w:rPr>
        <w:t>Other income, net, was $10.0 million, $2.9 million and $0.9 million in fiscal 2013, fiscal 2012 and fiscal 2011 respectively. The increase in other income for fiscal 2013 is primarily due to the sale of peat bog land in fiscal 2013 in the United Kingdom for a gain of $2.3 million and a non-recurring impairment charge of $4.4 million incurred in fiscal 2012 resulting from the revaluation of the Company's aircraft. Other income is comprised of activities outside our normal business operations, such as royalty income from the licensing of certain of our tradenames, franchise fee income from our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foreign exchange gains/losses and gains/losses from the sale of non-inventory assets. The fiscal 2012 changes from fiscal 2011 were not significant.</w:t>
      </w:r>
    </w:p>
    <w:p>
      <w:pPr>
        <w:spacing w:after="0" w:line="2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Income from operations in fiscal 2013 was $313.2 million compared to $243.6 million in fiscal 2012, an increase of $69.6 million, or 28.6%. Excluding impairment, restructuring and other charges and product registration and recall costs, income from operations increased by $74.6 million, or 28.8%, in fiscal 2013, primarily driven by higher gross profit and a decrease in SG&amp;A spending.</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Income from operations in fiscal 2012 was $243.6 million compared to $274.8 million in fiscal 2011, a decrease of $31.2 million, or 11.4%. Excluding impairment, restructuring and other charges and product registration and recall costs, income from operations decreased by $86.4 million, or 25.0%, in fiscal 2012, primarily driven by lower gross profit and additional SG&amp;A spending.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Interest expense in fiscal 2013 was $59.2 million compared to $61.8 million and $51.0 million in fiscal 2012 and fiscal 2011, respectively. The decline in fiscal 2013 was primarily due to a decrease in average borrowings, partially offset by an increase of 24 basis points in our weighted average interest rate. Excluding the impact of foreign exchange rates, average borrowings decreased by approximately $80.9 million during fiscal 2013. The decline in average borrowings was driven by lower working capital needs associated with lower production of inventory and fewer raw material purchases. The increase in fiscal 2012 was primarily due to an increase in our average borrowings. Excluding the impact of foreign exchange rates, average borrowings increased by approximately $118.3 million during fiscal 2012.</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 reconciliation of the federal corporate income tax rate and the effective tax rate on income from continuing operations before income taxes is summarized below:</w:t>
      </w:r>
    </w:p>
    <w:p>
      <w:pPr>
        <w:spacing w:after="0" w:line="108"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23495</wp:posOffset>
            </wp:positionV>
            <wp:extent cx="37134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13480"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40" w:type="dxa"/>
            <w:vAlign w:val="bottom"/>
            <w:gridSpan w:val="2"/>
          </w:tcPr>
          <w:p>
            <w:pPr>
              <w:ind w:left="6340"/>
              <w:spacing w:after="0"/>
              <w:rPr>
                <w:sz w:val="20"/>
                <w:szCs w:val="20"/>
                <w:color w:val="auto"/>
              </w:rPr>
            </w:pPr>
            <w:r>
              <w:rPr>
                <w:rFonts w:ascii="Arial" w:cs="Arial" w:eastAsia="Arial" w:hAnsi="Arial"/>
                <w:sz w:val="14"/>
                <w:szCs w:val="14"/>
                <w:b w:val="1"/>
                <w:bCs w:val="1"/>
                <w:color w:val="auto"/>
              </w:rPr>
              <w:t>2013</w:t>
            </w:r>
          </w:p>
        </w:tc>
        <w:tc>
          <w:tcPr>
            <w:tcW w:w="20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2012</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right"/>
              <w:ind w:right="712"/>
              <w:spacing w:after="0"/>
              <w:rPr>
                <w:sz w:val="20"/>
                <w:szCs w:val="20"/>
                <w:color w:val="auto"/>
              </w:rPr>
            </w:pPr>
            <w:r>
              <w:rPr>
                <w:rFonts w:ascii="Arial" w:cs="Arial" w:eastAsia="Arial" w:hAnsi="Arial"/>
                <w:sz w:val="14"/>
                <w:szCs w:val="14"/>
                <w:b w:val="1"/>
                <w:bCs w:val="1"/>
                <w:color w:val="auto"/>
              </w:rPr>
              <w:t>2011</w:t>
            </w:r>
          </w:p>
        </w:tc>
      </w:tr>
      <w:tr>
        <w:trPr>
          <w:trHeight w:val="250"/>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income tax rate</w:t>
            </w: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Effect of foreign operations</w:t>
            </w: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(0.3)</w:t>
            </w:r>
          </w:p>
        </w:tc>
      </w:tr>
      <w:tr>
        <w:trPr>
          <w:trHeight w:val="27"/>
        </w:trPr>
        <w:tc>
          <w:tcPr>
            <w:tcW w:w="5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State taxes, net of federal benefit</w:t>
            </w:r>
          </w:p>
        </w:tc>
        <w:tc>
          <w:tcPr>
            <w:tcW w:w="6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2.8</w:t>
            </w:r>
          </w:p>
        </w:tc>
      </w:tr>
      <w:tr>
        <w:trPr>
          <w:trHeight w:val="243"/>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Domestic production activities deduction permanent difference</w:t>
            </w: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(2.3)</w:t>
            </w:r>
          </w:p>
        </w:tc>
      </w:tr>
      <w:tr>
        <w:trPr>
          <w:trHeight w:val="27"/>
        </w:trPr>
        <w:tc>
          <w:tcPr>
            <w:tcW w:w="5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Effect of other permanent differences</w:t>
            </w:r>
          </w:p>
        </w:tc>
        <w:tc>
          <w:tcPr>
            <w:tcW w:w="6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1.9</w:t>
            </w:r>
          </w:p>
        </w:tc>
      </w:tr>
      <w:tr>
        <w:trPr>
          <w:trHeight w:val="243"/>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Research and experimentation and other federal tax credits</w:t>
            </w: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(0.2)</w:t>
            </w:r>
          </w:p>
        </w:tc>
      </w:tr>
      <w:tr>
        <w:trPr>
          <w:trHeight w:val="27"/>
        </w:trPr>
        <w:tc>
          <w:tcPr>
            <w:tcW w:w="5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Resolution of prior tax contingencies</w:t>
            </w:r>
          </w:p>
        </w:tc>
        <w:tc>
          <w:tcPr>
            <w:tcW w:w="6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0.7</w:t>
            </w:r>
          </w:p>
        </w:tc>
      </w:tr>
      <w:tr>
        <w:trPr>
          <w:trHeight w:val="243"/>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(0.4)</w:t>
            </w:r>
          </w:p>
        </w:tc>
      </w:tr>
      <w:tr>
        <w:trPr>
          <w:trHeight w:val="27"/>
        </w:trPr>
        <w:tc>
          <w:tcPr>
            <w:tcW w:w="55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36.5 %</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37.7 %</w:t>
            </w:r>
          </w:p>
        </w:tc>
        <w:tc>
          <w:tcPr>
            <w:tcW w:w="1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37.2 %</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effective tax rate for continuing operations was 36.5% for fiscal 2013, compared to 37.7% for fiscal 2012 and 37.2% for fiscal 2011. Excluding reserves established for product registrations and recall matters, the effective tax rate for continuing operations was 36.5%, 36.5% and 36.0% for fiscal 2013, fiscal 2012 and fiscal 2011, respectively.</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and Earnings per Share from Continuing Operations</w:t>
      </w:r>
    </w:p>
    <w:p>
      <w:pPr>
        <w:spacing w:after="0" w:line="9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reported income from continuing operations of $161.2 million, or $2.58 per diluted share, in fiscal 2013 compared to income from continuing operations of $113.2 million, or $1.82 per diluted share, in fiscal 2012. In fiscal 2013, we incurred costs of $20.3 million relating to impairment, restructuring and other charges. In fiscal 2012, we incurred $7.1 million of impairment, restructuring and other charges, as well as $8.2 million in costs associated with product registration and recall matters. Excluding these items, adjusted income from continuing operations was $174.4 million in fiscal 2013 compared to $124.9 million in fiscal 2012, an increase of $49.5 million, primarily driven by higher gross profit and lower SG&amp;A spending and interest expense. Diluted weighted-average common shares outstanding increased from 62.1 million in fiscal 2012 to 62.6 million in fiscal 2013. The increase was primarily driven by the exercise of stock options and the issuance of stock for vested restricted share based awards partially offset by a decrease in the number of dilutive equivalent shares. Dilutive equivalent shares for fiscal 2013 and fiscal 2012 were 0.9 million and 1.1 million, respectively. The decrease in equivalent shares was primarily driven by the exercise of stock options, partially offset by an increase in our average share price.</w:t>
      </w:r>
    </w:p>
    <w:p>
      <w:pPr>
        <w:spacing w:after="0" w:line="11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reported income from continuing operations of $113.2 million, or $1.82 per diluted share, in fiscal 2012 compared to income from continuing operations of $139.9 million, or $2.11 per diluted share, in fiscal 2011. In fiscal 2012, we incurred costs of $7.1 million relating to impairment, restructuring and other charges, as well as $8.2 million in costs associated with product registration and recall matters. In fiscal 2011, we incurred $55.9 million of impairment charges, as well as $14.6 million in costs associated with product registration and recall matters. Excluding these items, adjusted income from continuing operations was $124.9 million in fiscal 2012 compared to $187.2 million in fiscal 2011, a decrease of $62.3 million, primarily driven by lower gross profit, higher SG&amp;A spending and interest expense. Diluted weighted-average common shares outstanding decreased from 66.2 million in fiscal 2011 to 62.1 million in fiscal 2012. The decrease was primarily driven by repurchases of our common shares and a decrease in the number of dilutive equivalent shares, partially offset by the exercise of stock options. Dilutive equivalent shares for fiscal 2012 and fiscal 2011 were 1.1 million and 1.5 million, respectively. The decrease in equivalent shares was due to a decrease in our average share price.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(loss) from Discontinued Operations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our fourth quarter of fiscal 2012, we completed the wind down of the professional seed business. As a result, we began presenting this business within discontinued operations. In our second quarter of fiscal 2011 we completed the sale of Global Pro to ICL. As a result of the then-pending sale, effective in the first quarter of fiscal 2011, we began presenting Global Pro as discontinued operations.</w:t>
      </w:r>
    </w:p>
    <w:p>
      <w:pPr>
        <w:spacing w:after="0" w:line="12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Loss from discontinued operations, net of tax, was $0.1 million in fiscal 2013, while a loss of $6.7 million and income of $28.0 million were recognized in fiscal 2012 and fiscal 2011, respectively. Fiscal 2013 and fiscal 2012 included activity associated with the wind down and disposal of the non-European professional seed business. Fiscal 2011 included a net after-tax gain of $39.5 million on the sale of Global Pro to ICL.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4"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7"/>
          <w:szCs w:val="17"/>
          <w:color w:val="auto"/>
        </w:rPr>
        <w:t>Our continuing operations are divided into the following reportable segments: Global Consumer and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This division of reportable segments is consistent with how the segments report to and are managed by the chief operating decision maker of the Company. We have made reclassifications to prior period segment amounts as a result of the change in our internal organization structure associated with the sale of a significant majority of our previously reported Global Professional segment, which is now reported in discontinued operations. Corporate &amp; Other includes revenues and expenses associated with the Company’s supply agreements with ICL and the amortization related to the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Marketing Agreement, as well as corporate general and administrative expenses and certain other income/expense items not allocated to the business segments.</w:t>
      </w:r>
    </w:p>
    <w:p>
      <w:pPr>
        <w:spacing w:after="0" w:line="15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evaluate segment performance based on several factors, including income from continuing operations before amortization, product registration and recall costs, and impairment, restructuring and other charges. Management uses this measure of operating profit to evaluate segment performance because we believe this measure is the most indicative of performance trends and the overall earnings potential of each segment.</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segment information:</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Sales by Segment</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Year Ended September 30,</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2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00" w:type="dxa"/>
            <w:vAlign w:val="bottom"/>
          </w:tcPr>
          <w:p>
            <w:pPr>
              <w:jc w:val="center"/>
              <w:ind w:right="25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67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5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6"/>
              </w:rPr>
              <w:t>(In millions)</w:t>
            </w:r>
          </w:p>
        </w:tc>
        <w:tc>
          <w:tcPr>
            <w:tcW w:w="4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Global Consumer</w:t>
            </w:r>
          </w:p>
        </w:tc>
        <w:tc>
          <w:tcPr>
            <w:tcW w:w="1300" w:type="dxa"/>
            <w:vAlign w:val="bottom"/>
            <w:tcBorders>
              <w:bottom w:val="single" w:sz="8" w:color="CCEEFF"/>
            </w:tcBorders>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2,527.5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2,539.2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2,533.2</w:t>
            </w:r>
          </w:p>
        </w:tc>
        <w:tc>
          <w:tcPr>
            <w:tcW w:w="0" w:type="dxa"/>
            <w:vAlign w:val="bottom"/>
          </w:tcPr>
          <w:p>
            <w:pPr>
              <w:spacing w:after="0"/>
              <w:rPr>
                <w:sz w:val="1"/>
                <w:szCs w:val="1"/>
                <w:color w:val="auto"/>
              </w:rPr>
            </w:pPr>
          </w:p>
        </w:tc>
      </w:tr>
      <w:tr>
        <w:trPr>
          <w:trHeight w:val="270"/>
        </w:trPr>
        <w:tc>
          <w:tcPr>
            <w:tcW w:w="552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18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257.8</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245.8</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total</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2,785.3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2,785.0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2,768.8</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Corporate &amp; Other</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w:t>
            </w:r>
          </w:p>
        </w:tc>
        <w:tc>
          <w:tcPr>
            <w:tcW w:w="1300" w:type="dxa"/>
            <w:vAlign w:val="bottom"/>
            <w:tcBorders>
              <w:bottom w:val="single" w:sz="8" w:color="CCEEFF"/>
            </w:tcBorders>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2,816.5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2,826.1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2,799.7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8"/>
                <w:szCs w:val="18"/>
                <w:b w:val="1"/>
                <w:bCs w:val="1"/>
                <w:i w:val="1"/>
                <w:iCs w:val="1"/>
                <w:color w:val="auto"/>
                <w:w w:val="88"/>
              </w:rPr>
              <w:t>Income from Continuing Operations before Income Taxes by Segment</w:t>
            </w: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5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Year Ended September 30,</w:t>
            </w: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2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00" w:type="dxa"/>
            <w:vAlign w:val="bottom"/>
          </w:tcPr>
          <w:p>
            <w:pPr>
              <w:jc w:val="center"/>
              <w:ind w:right="25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67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5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6"/>
              </w:rPr>
              <w:t>(In millions)</w:t>
            </w:r>
          </w:p>
        </w:tc>
        <w:tc>
          <w:tcPr>
            <w:tcW w:w="4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Global Consumer</w:t>
            </w:r>
          </w:p>
        </w:tc>
        <w:tc>
          <w:tcPr>
            <w:tcW w:w="1300" w:type="dxa"/>
            <w:vAlign w:val="bottom"/>
            <w:tcBorders>
              <w:bottom w:val="single" w:sz="8" w:color="CCEEFF"/>
            </w:tcBorders>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338.3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425.0</w:t>
            </w:r>
          </w:p>
        </w:tc>
        <w:tc>
          <w:tcPr>
            <w:tcW w:w="0" w:type="dxa"/>
            <w:vAlign w:val="bottom"/>
          </w:tcPr>
          <w:p>
            <w:pPr>
              <w:spacing w:after="0"/>
              <w:rPr>
                <w:sz w:val="1"/>
                <w:szCs w:val="1"/>
                <w:color w:val="auto"/>
              </w:rPr>
            </w:pPr>
          </w:p>
        </w:tc>
      </w:tr>
      <w:tr>
        <w:trPr>
          <w:trHeight w:val="270"/>
        </w:trPr>
        <w:tc>
          <w:tcPr>
            <w:tcW w:w="552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18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total</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450.9</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Corporate &amp; Other</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Product registration and recall matters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Costs related to refinancing</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20"/>
                <w:szCs w:val="20"/>
                <w:color w:val="auto"/>
              </w:rPr>
            </w:pP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254.0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520" w:type="dxa"/>
            <w:vAlign w:val="bottom"/>
          </w:tcPr>
          <w:p>
            <w:pPr>
              <w:spacing w:after="0"/>
              <w:rPr>
                <w:sz w:val="24"/>
                <w:szCs w:val="24"/>
                <w:color w:val="auto"/>
              </w:rPr>
            </w:pPr>
          </w:p>
        </w:tc>
        <w:tc>
          <w:tcPr>
            <w:tcW w:w="1300" w:type="dxa"/>
            <w:vAlign w:val="bottom"/>
            <w:gridSpan w:val="2"/>
          </w:tcPr>
          <w:p>
            <w:pPr>
              <w:jc w:val="right"/>
              <w:ind w:right="950"/>
              <w:spacing w:after="0"/>
              <w:rPr>
                <w:sz w:val="20"/>
                <w:szCs w:val="20"/>
                <w:color w:val="auto"/>
              </w:rPr>
            </w:pPr>
            <w:r>
              <w:rPr>
                <w:rFonts w:ascii="Arial" w:cs="Arial" w:eastAsia="Arial" w:hAnsi="Arial"/>
                <w:sz w:val="18"/>
                <w:szCs w:val="18"/>
                <w:color w:val="auto"/>
              </w:rPr>
              <w:t>30</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Global Consumer</w:t>
      </w:r>
    </w:p>
    <w:p>
      <w:pPr>
        <w:spacing w:after="0" w:line="90"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Global Consumer segment net sales decreased 0.5% from $2.54 billion in fiscal 2012 to $2.53 billion in fiscal 2013. The change in fiscal 2013 net sales was unfavorably impacted by volume and foreign exchange rates of 2.2% and 0.3%, respectively, partially offset by favorable pricing of 1.9% and acquisitions of 0.1%. Net sales in the U.S. decreased by 0.5%, driven by declines in reimbursements attributable to our Marketing Agreement with Monsanto, sales of our controls, wild bird food and plant food products, partially offset by an increase in pricing, and increases in sales of mulch and grass seed products. Net sales outside of the U.S. decreased 0.2% in fiscal 2013, primarily attributable to volume declines in Europe and unfavorable effects of foreign currency changes as a result of the strengthening of the U.S. dollar relative to other currencies, partially offset by volume increases in Asia Pacific. Excluding the impact of foreign currency rates, net sales outside of the U.S. increased 1.1% compared to fiscal 2012.</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Global Consumer segment income for fiscal 2013 was $406.4 million, an increase of $68.1 million, or 20.1%, compared to fiscal 2012. Excluding the impact of foreign exchange movements, segment income increased by $67.3 million, or 20.0%, from fiscal 2012. The increase in segment income for fiscal 2013 was primarily driven by the favorable impact of pricing, decreased material costs and a decrease in SG&amp;A expenses resulting from our product cost-out initiatives.</w:t>
      </w:r>
    </w:p>
    <w:p>
      <w:pPr>
        <w:spacing w:after="0" w:line="13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6"/>
          <w:szCs w:val="16"/>
          <w:color w:val="auto"/>
        </w:rPr>
        <w:t>Global Consumer segment net sales increased 0.2% from $2.53 billion in fiscal 2011 to $2.54 billion in fiscal 2012. The increase in fiscal 2012 net sales was favorably impacted by volume and pricing of 0.4% and 0.6%, respectively, offset by unfavorable foreign exchange rates of 0.8%. Net sales in the U.S. increased by 1.3%, driven by an increase in pricing, higher sales of our controls and mulch products, and the national launch of our new Scotts Snap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spreader system, partially offset by declines in sales of grass seed, wild bird food and plant food products. Net sales outside of the U.S. decreased 4.0% in fiscal 2012, primarily attributable to the unfavorable effect of foreign currency changes as a result of the strengthening of the U.S. dollar relative to other currencies. Excluding the impact of foreign currency rates, net sales outside of the U.S. were roughly flat compared to fiscal 2011.</w:t>
      </w:r>
    </w:p>
    <w:p>
      <w:pPr>
        <w:spacing w:after="0" w:line="12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Global Consumer segment income for fiscal 2012 was $338.3 million, a decrease of $86.7 million, or 20.4%, compared to fiscal 2011. Excluding the impact of foreign exchange movements, segment income decreased by $85.6 million, or 20.1%, for fiscal 2011. The decrease in segment income for fiscal 2012 was primarily driven by gross profit decline and an increase in SG&amp;A expenses. The decreased gross profit rate was primarily the result of increased material costs primarily due to packaging and fertilizer inputs, negative product mix within the U.S. driven by increased sales of mulch products, and increased distribution and warehousing as a result of an early season surge in consumer activity and continued and unplanned surge in mulch volume. The increase in SG&amp;A spending primarily related to costs associated with our planned increase in media and marketing initiatives.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Scotts LawnService</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p>
    <w:p>
      <w:pPr>
        <w:jc w:val="both"/>
        <w:ind w:firstLine="432"/>
        <w:spacing w:after="0" w:line="221" w:lineRule="auto"/>
        <w:rPr>
          <w:sz w:val="20"/>
          <w:szCs w:val="20"/>
          <w:color w:val="auto"/>
        </w:rPr>
      </w:pPr>
      <w:r>
        <w:rPr>
          <w:rFonts w:ascii="Arial" w:cs="Arial" w:eastAsia="Arial" w:hAnsi="Arial"/>
          <w:sz w:val="17"/>
          <w:szCs w:val="17"/>
          <w:color w:val="auto"/>
        </w:rPr>
        <w:t>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net sales increased by $12.0 million, or 4.9%, to $257.8 million in fiscal 2013, primarily due to increased customer count, acquisitions in fiscal 2013, and a weather driven delay of sales from the fourth quarter of fiscal 2012 into the first quarter of fiscal 2013.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segment income increased $1.7 million to $28.7 million in fiscal 2013. The improved operating results were driven by higher net sales and lower product costs, partially offset by higher SG&amp;A, which was primarily the outcome of higher marketing and selling expenses.</w:t>
      </w:r>
    </w:p>
    <w:p>
      <w:pPr>
        <w:spacing w:after="0" w:line="148" w:lineRule="exact"/>
        <w:rPr>
          <w:sz w:val="20"/>
          <w:szCs w:val="20"/>
          <w:color w:val="auto"/>
        </w:rPr>
      </w:pPr>
    </w:p>
    <w:p>
      <w:pPr>
        <w:jc w:val="both"/>
        <w:ind w:firstLine="432"/>
        <w:spacing w:after="0" w:line="213" w:lineRule="auto"/>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sales increased by $10.2 million, or 4.3%, to $245.8 million in fiscal 2012, primarily due to increased customer retention, the full year impact of acquisitions and new customer sales.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 income increased $1.1 million to $27.0 million in fiscal 2012. The improved operating results were driven by higher net sales and improved labor productivity, partially offset by higher product costs and SG&amp;A, which was primarily the outcome of higher performance based variable compensation.</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Net sales for Corporate &amp; Other decreased $9.9 million to $31.2 million in fiscal 2013, primarily due to our ICL supply agreements, which commenced shortly after the sale of Global Pro in our second quarter of fiscal 2011. The net expense for Corporate &amp; Other decrease of $5.1 million in fiscal 2013 was driven by reduced spending on outside consulting expenses and marketing related expenditures as part of our cost productivity initiatives, partially offset by higher employee related costs, including incentive compensation, health care and severance.</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sales for Corporate &amp; Other increased $10.2 million to $41.1 million in fiscal 2012, primarily due to our ICL supply agreements, which commenced shortly after the sale of Global Pro in our second quarter of fiscal 2011. Net expense for Corporate &amp; Other increased by $1.3 million in fiscal 2012, driven by increased variable compensation of $1.3 million.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Cash provided by operating activities increased by $188.6 million to $342.0 million in fiscal 2013. The change in our operating activities was primarily due to an increase in net income of $54.6 million and a reduction in inventory levels over the prior year of $89.0 million as a result of improved inventory management. In addition, income taxes paid declined in fiscal 2013 due to the receipt of an overpayment of taxes related to fiscal 2012 of $37.8 million.</w:t>
      </w:r>
    </w:p>
    <w:p>
      <w:pPr>
        <w:spacing w:after="0" w:line="9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Cash provided by operating activities increased by $31.3 million to $153.4 million in fiscal 2012 from $122.1 million in fiscal 2011. Excluding the impact of discontinued operations, cash provided by operating activities decreased by $48.2 million to $143.1 million in fiscal 2012 compared to a decrease of $118.1 million in fiscal 2011. Excluding discontinued operations and non-cash operating expenses, income from continuing operations decreased by approximately $24.7 million primarily due to lower gross profit rates and higher advertising expenses.</w:t>
      </w:r>
    </w:p>
    <w:p>
      <w:pPr>
        <w:spacing w:after="0" w:line="133"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8"/>
          <w:szCs w:val="18"/>
          <w:color w:val="auto"/>
        </w:rPr>
        <w:t>The seasonal nature of our operations generally requires cash to fund significant increases in inventories during the first half of the fiscal year. Receivables and payables also build substantially in the second quarter of the fiscal year in line with the timing of sales to support our retailers’ spring selling season. These balances liquidate during the June through September period as the lawn and garden season unwinds. Unlike our core Global Consumer segment,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typically has its highest receivables balance in the fourth quarter because of the seasonal timing of customer applications and service revenues.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ind w:firstLine="432"/>
        <w:spacing w:after="0" w:line="239" w:lineRule="auto"/>
        <w:rPr>
          <w:sz w:val="20"/>
          <w:szCs w:val="20"/>
          <w:color w:val="auto"/>
        </w:rPr>
      </w:pPr>
      <w:r>
        <w:rPr>
          <w:rFonts w:ascii="Arial" w:cs="Arial" w:eastAsia="Arial" w:hAnsi="Arial"/>
          <w:sz w:val="18"/>
          <w:szCs w:val="18"/>
          <w:color w:val="auto"/>
        </w:rPr>
        <w:t>Cash used in investing activities totaled $64.2 million and $75.7 million in fiscal 2013 and fiscal 2012, respectively. The change in our investing activities was primarily driven by a reduction of capital investments in property, plant and equipment and acquisitions of $9.3 million and $3.8 million, respectively and cash proceeds from the sale of long-lived assets of $3.6 million. Significant capital projects during fiscal 2013 included investments in our mulch production facilities associated with our product cost-out initiatives, additional capital to increase capabilities in our fertilizer production facilities, improvements to our inventory warehouse management system and investments in information technology. Further, during fiscal 2013 we completed an acquisition of two franchisee businesses within our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 for $3.2 million and an investment of an unconsolidated affiliate in the indoor gardening market for $4.5 million.</w:t>
      </w:r>
    </w:p>
    <w:p>
      <w:pPr>
        <w:spacing w:after="0" w:line="15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Cash used in investing activities totaled $75.7 million in fiscal 2012, as compared to cash provided by investing activities of $153.5 million for fiscal 2011. The change in our investing activities was primarily driven by the cash received from the sale of our Global Pro business, which generated $253.6 million in cash in fiscal 2011. Capital spending decreased from $72.7 million in fiscal 2011 to $69.4 million in fiscal 2012. Significant capital projects during fiscal 2012 included a new growing media plant in Texas, additional capital for our liquid production facilities in Iowa and Mississippi, improvements at various other growing media production facilities and investments in information technology. Further, during fiscal 2012 we completed an acquisition within our Global Consumer segment with total cash paid of $6.7 million.</w:t>
      </w:r>
    </w:p>
    <w:p>
      <w:pPr>
        <w:spacing w:after="0" w:line="139" w:lineRule="exact"/>
        <w:rPr>
          <w:sz w:val="20"/>
          <w:szCs w:val="20"/>
          <w:color w:val="auto"/>
        </w:rPr>
      </w:pPr>
    </w:p>
    <w:p>
      <w:pPr>
        <w:jc w:val="both"/>
        <w:ind w:firstLine="432"/>
        <w:spacing w:after="0" w:line="316" w:lineRule="auto"/>
        <w:rPr>
          <w:sz w:val="20"/>
          <w:szCs w:val="20"/>
          <w:color w:val="auto"/>
        </w:rPr>
      </w:pPr>
      <w:r>
        <w:rPr>
          <w:rFonts w:ascii="Arial" w:cs="Arial" w:eastAsia="Arial" w:hAnsi="Arial"/>
          <w:sz w:val="16"/>
          <w:szCs w:val="16"/>
          <w:color w:val="auto"/>
        </w:rPr>
        <w:t>For the three years ended September 30, 2013, our capital spending was allocated as follows: 62% for expansion and maintenance of existing Global Consumer productive assets; 17% for new productive assets supporting our Global Consumer segment; 11% to expand our information technology and transformation and integration capabilities; 3% for expansion and upgrades of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infrastructure; and 7% for Corporate &amp; Other assets.</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Financing activities used cash of $280.6 million and $79.3 million in fiscal 2013 and fiscal 2012, respectively. Cash returned to shareholders through dividends of $87.8 million and reduced borrowings under our credit facility of $196.7 million were significant elements of cash used in financing activities in fiscal 2013. Net payments under our credit facilities were $207.3 million in fiscal 2013, compared to $10.6 million in fiscal 2012. Financing activities also included a decrease in cash received from the exercise of stock options of $4.3 million in fiscal 2013 compared to fiscal 2012.</w:t>
      </w:r>
    </w:p>
    <w:p>
      <w:pPr>
        <w:spacing w:after="0" w:line="11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Financing activities used cash of $79.3 million and $230.7 million in fiscal 2012 and fiscal 2011, respectively. Cash returned to shareholders through dividends of $75.4 million and the repurchasing of Common Shares of $17.5 million were significant elements of cash used in financing activities in fiscal 2012. Net payments under our credit facilities were $10.6 million in fiscal 2012, compared to $22.0 million in fiscal 2011. Financing activities also included a decrease in cash received from the exercise of stock options of $13.9 million in fiscal 2012 compared to fiscal 2011.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3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cash and cash equivalents were held in depository accounts with major financial institutions around the world or invested in high quality, short-term liquid investments, with original maturities of three months or less with a balance of $129.8 million as of September 30, 2013, compared to $131.9 million as of September 30, 2012. The cash and cash equivalents balance at September 30, 2013 included $120.4 million held by controlled foreign corporations. Our current plans do not demonstrate a need to, nor do we have plans to, repatriate the retained earnings from these foreign corporations as the earnings are indefinitely reinvested. However, in the future, if we determine it is necessary to repatriate these funds, or if we sell or liquidate any of these foreign corporations, we may be required to pay associated taxes on the repatriation.</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Borrowing Arrangements</w:t>
      </w:r>
    </w:p>
    <w:p>
      <w:pPr>
        <w:spacing w:after="0" w:line="17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Our primary sources of liquidity are cash generated by operations and borrowings under our credit agreement which is guaranteed by substantially all of our domestic subsidiaries. On June 30, 2011, we and certain of our subsidiaries entered into a second amended and restated senior secured credit facility, providing for revolving loans in the aggregate principal amount of up to $1.7 billion over a five year term. Borrowings may be made in various currencies including U.S. dollars, Euros, British pounds, Australian dollars and Canadian dollars. Under this credit facility, we may request up to an additional $450 million in revolving and/or term commitments, subject to certain specified conditions, including approval from the lenders. The credit facility replaced our previous senior secured credit facilities, which were comprised of: (a) a senior secured revolving loan facility in the aggregate principal amount of up to $1.59 billion and (b) a senior secured term loan facility totaling $560 million. The previous credit facilities were scheduled to expire in February 2012.</w:t>
      </w:r>
    </w:p>
    <w:p>
      <w:pPr>
        <w:spacing w:after="0" w:line="11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terms of the credit facility provide for customary representations and warranties and affirmative covenants. The credit facility also contains customary negative covenants setting forth limitations, subject to negotiated carve-outs on liens; contingent obligations; fundamental changes; acquisitions, investments, loans and advances; indebtedness; restrictions on subsidiary distributions; transactions with affiliates and officers; sales of assets; sale and leaseback transactions; changing our fiscal year end; modifications of certain debt instruments; negative pledge clauses; entering into new lines of business; and restricted payments, which are limited to an aggregate of $125 million annually through fiscal 2013 and $150 million annually beginning in fiscal 2014 if our leverage ratio, after giving effect to any such annual dividend payment, exceeds 2.50. The credit facility is secured by collateral that includes the capital stock of specified subsidiaries, substantially all domestic accounts receivable (exclusive of any “sold” receivables), inventory and equipment. The credit facility is guaranteed by substantially all of our domestic subsidiaries.</w:t>
      </w:r>
    </w:p>
    <w:p>
      <w:pPr>
        <w:spacing w:after="0" w:line="1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Under our credit facility, we have the ability to obtain letters of credit up to $75 million outstanding. At September 30, 2013, the Company had letters of credit in the aggregate face amount of $23.3 million outstanding, and $1.6 billion of availability under its credit facility.</w:t>
      </w:r>
    </w:p>
    <w:p>
      <w:pPr>
        <w:spacing w:after="0" w:line="116"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On January 14, 2010, we issued $200 million aggregate principal amount of 7.25% Senior Notes due 2018. The net proceeds of the offering were used to reduce outstanding borrowings under our then existing credit facilities. The 7.25% Senior Notes represent general unsecured senior obligations, and were sold to the public at 99.254% of the principal amount thereof, to yield 7.375% to maturity. The 7.25% Senior Notes have interest payment dates of January 15 and July 15 of each year, which began on July 15, 2010 and may be redeemed prior to maturity at applicable redemption premiums. The 7.25% Senior Notes contain usual and customary incurrence-based covenants, which include, but are not limited to, restrictions on the incurrence of additional indebtedness, the incurrence of liens and the issuance of certain preferred shares, and the making of certain distributions, investments and other restricted payments, as well as other usual and customary covenants, which include, but are not limited to, restrictions on sale and leaseback transactions, restrictions on purchases or redemptions of Scotts Miracle-Gro stock and prepayments of subordinated debt, limitations on asset sales and restrictions on transactions with affiliates. The 7.25% Senior Notes mature on January 15, 2018. Substantially all of our domestic subsidiaries serve as guarantors of the 7.25% Senior Notes.</w:t>
      </w:r>
    </w:p>
    <w:p>
      <w:pPr>
        <w:spacing w:after="0" w:line="11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On December 16, 2010, we issued $200 million aggregate principal amount of 6.625% Senior Notes due 2020 in a private placement exempt from the registration requirements under the Securities Act of 1933, as amended. The net proceeds of the offering were used to repay outstanding borrowings under our then existing credit facilities and for general corporate purposes. The 6.625% Senior Notes represent general unsecured senior obligations and rank equal in right of payment with our existing and future unsecured senior debt, including, without limitation, the 7.25% Senior Notes. The 6.625% Senior Notes have interest payment dates of June 15 and December 15 of each year, which began on June 15, 2011, and may be redeemed prior to maturity at applicable redemption premiums. The 6.625% Senior Notes contain usual and customary incurrence-based covenants, as well as other usual and customary covenants, substantially similar to those contained in the 7.25% Senior Notes. The 6.625% Senior Notes mature on December 15, 2020. Substantially all of our domestic subsidiaries serve as guarantors of the 6.625% Senior Notes.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are in compliance with the terms of all debt covenants at September 30, 2013. The credit facility contains, among other obligations, an affirmative covenant regarding our leverage ratio, calculated as average total indebtedness, as described in the our credit facility, relative to the our EBITDA, as adjusted pursuant to the terms of the credit facility (“Adjusted EBITDA”). Under the terms of the credit facility, the maximum allowable leverage ratio was 3.50 as of September 30, 2013. Our leverage ratio was 2.05 at September 30, 2013. Our credit facility also includes an affirmative covenant regarding our interest coverage ratio. Interest coverage ratio is calculated as Adjusted EBITDA divided by interest expense, as described in the credit facility, and excludes costs related to refinancings. Under the terms of the credit facility, the minimum allowable interest coverage ratio was 3.50 for the year ended September 30, 2013. Our interest coverage ratio was 6.59 for the year ended September 30, 2013. The weighted average interest rates on average debt were 6.2% and 6.0% for fiscal 2013 and fiscal 2012, respectively. Please see “ITEM 6. SELECTED FINANCIAL DATA” of this Annual Report on Form 10-K for further details pertaining to the calculations of the foregoing ratios.</w:t>
      </w:r>
    </w:p>
    <w:p>
      <w:pPr>
        <w:spacing w:after="0" w:line="12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At September 30, 2013, we had outstanding interest rate swap agreements with major financial institutions that effectively converted the LIBOR index portion of variable-rate debt denominated in U.S. dollars to a fixed rate. The swap agreements had a total U.S. dollar notional amount of $1,100 million at September 30, 2013. Interest payments made between the effective date and expiration date are hedged by the swap agreements, except as noted below. The notional amount, effective date, expiration date and rate of each of these swap agreements are shown in the table below.</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93"/>
              </w:rPr>
              <w:t>Notional Amount</w:t>
            </w:r>
          </w:p>
        </w:tc>
        <w:tc>
          <w:tcPr>
            <w:tcW w:w="360" w:type="dxa"/>
            <w:vAlign w:val="bottom"/>
          </w:tcPr>
          <w:p>
            <w:pPr>
              <w:spacing w:after="0"/>
              <w:rPr>
                <w:sz w:val="14"/>
                <w:szCs w:val="14"/>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Effective</w:t>
            </w:r>
          </w:p>
        </w:tc>
        <w:tc>
          <w:tcPr>
            <w:tcW w:w="2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Expiration</w:t>
            </w: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2"/>
              </w:rPr>
              <w:t>Fixed</w:t>
            </w:r>
          </w:p>
        </w:tc>
        <w:tc>
          <w:tcPr>
            <w:tcW w:w="0" w:type="dxa"/>
            <w:vAlign w:val="bottom"/>
          </w:tcPr>
          <w:p>
            <w:pPr>
              <w:spacing w:after="0"/>
              <w:rPr>
                <w:sz w:val="1"/>
                <w:szCs w:val="1"/>
                <w:color w:val="auto"/>
              </w:rPr>
            </w:pPr>
          </w:p>
        </w:tc>
      </w:tr>
      <w:tr>
        <w:trPr>
          <w:trHeight w:val="192"/>
        </w:trPr>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6"/>
                <w:szCs w:val="16"/>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Date (a)</w:t>
            </w:r>
          </w:p>
        </w:tc>
        <w:tc>
          <w:tcPr>
            <w:tcW w:w="2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Date</w:t>
            </w: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8"/>
              </w:rPr>
              <w:t>Rate</w:t>
            </w:r>
          </w:p>
        </w:tc>
        <w:tc>
          <w:tcPr>
            <w:tcW w:w="0" w:type="dxa"/>
            <w:vAlign w:val="bottom"/>
          </w:tcPr>
          <w:p>
            <w:pPr>
              <w:spacing w:after="0"/>
              <w:rPr>
                <w:sz w:val="1"/>
                <w:szCs w:val="1"/>
                <w:color w:val="auto"/>
              </w:rPr>
            </w:pPr>
          </w:p>
        </w:tc>
      </w:tr>
      <w:tr>
        <w:trPr>
          <w:trHeight w:val="250"/>
        </w:trPr>
        <w:tc>
          <w:tcPr>
            <w:tcW w:w="26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27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2/14/2012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7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2/14/2016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7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3.78%</w:t>
            </w:r>
          </w:p>
        </w:tc>
        <w:tc>
          <w:tcPr>
            <w:tcW w:w="0" w:type="dxa"/>
            <w:vAlign w:val="bottom"/>
          </w:tcPr>
          <w:p>
            <w:pPr>
              <w:spacing w:after="0"/>
              <w:rPr>
                <w:sz w:val="1"/>
                <w:szCs w:val="1"/>
                <w:color w:val="auto"/>
              </w:rPr>
            </w:pPr>
          </w:p>
        </w:tc>
      </w:tr>
      <w:tr>
        <w:trPr>
          <w:trHeight w:val="243"/>
        </w:trPr>
        <w:tc>
          <w:tcPr>
            <w:tcW w:w="2620" w:type="dxa"/>
            <w:vAlign w:val="bottom"/>
          </w:tcPr>
          <w:p>
            <w:pPr>
              <w:jc w:val="center"/>
              <w:spacing w:after="0"/>
              <w:rPr>
                <w:sz w:val="20"/>
                <w:szCs w:val="20"/>
                <w:color w:val="auto"/>
              </w:rPr>
            </w:pPr>
            <w:r>
              <w:rPr>
                <w:rFonts w:ascii="Arial" w:cs="Arial" w:eastAsia="Arial" w:hAnsi="Arial"/>
                <w:sz w:val="18"/>
                <w:szCs w:val="18"/>
                <w:color w:val="auto"/>
                <w:w w:val="93"/>
              </w:rPr>
              <w:t>150</w:t>
            </w:r>
          </w:p>
        </w:tc>
        <w:tc>
          <w:tcPr>
            <w:tcW w:w="360" w:type="dxa"/>
            <w:vAlign w:val="bottom"/>
          </w:tcPr>
          <w:p>
            <w:pPr>
              <w:ind w:left="40"/>
              <w:spacing w:after="0"/>
              <w:rPr>
                <w:sz w:val="20"/>
                <w:szCs w:val="20"/>
                <w:color w:val="auto"/>
              </w:rPr>
            </w:pPr>
            <w:r>
              <w:rPr>
                <w:rFonts w:ascii="Arial" w:cs="Arial" w:eastAsia="Arial" w:hAnsi="Arial"/>
                <w:sz w:val="13"/>
                <w:szCs w:val="13"/>
                <w:color w:val="auto"/>
              </w:rPr>
              <w:t>(b)</w:t>
            </w:r>
          </w:p>
        </w:tc>
        <w:tc>
          <w:tcPr>
            <w:tcW w:w="2740" w:type="dxa"/>
            <w:vAlign w:val="bottom"/>
          </w:tcPr>
          <w:p>
            <w:pPr>
              <w:jc w:val="center"/>
              <w:spacing w:after="0"/>
              <w:rPr>
                <w:sz w:val="20"/>
                <w:szCs w:val="20"/>
                <w:color w:val="auto"/>
              </w:rPr>
            </w:pPr>
            <w:r>
              <w:rPr>
                <w:rFonts w:ascii="Arial" w:cs="Arial" w:eastAsia="Arial" w:hAnsi="Arial"/>
                <w:sz w:val="18"/>
                <w:szCs w:val="18"/>
                <w:color w:val="auto"/>
                <w:w w:val="91"/>
              </w:rPr>
              <w:t>2/7/2012</w:t>
            </w:r>
          </w:p>
        </w:tc>
        <w:tc>
          <w:tcPr>
            <w:tcW w:w="100" w:type="dxa"/>
            <w:vAlign w:val="bottom"/>
          </w:tcPr>
          <w:p>
            <w:pPr>
              <w:spacing w:after="0"/>
              <w:rPr>
                <w:sz w:val="21"/>
                <w:szCs w:val="21"/>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1"/>
              </w:rPr>
              <w:t>5/7/2016</w:t>
            </w:r>
          </w:p>
        </w:tc>
        <w:tc>
          <w:tcPr>
            <w:tcW w:w="100" w:type="dxa"/>
            <w:vAlign w:val="bottom"/>
          </w:tcPr>
          <w:p>
            <w:pPr>
              <w:spacing w:after="0"/>
              <w:rPr>
                <w:sz w:val="21"/>
                <w:szCs w:val="21"/>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0"/>
              </w:rPr>
              <w:t>2.42%</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150</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11/16/2009</w:t>
            </w:r>
          </w:p>
        </w:tc>
        <w:tc>
          <w:tcPr>
            <w:tcW w:w="10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5/16/2016</w:t>
            </w:r>
          </w:p>
        </w:tc>
        <w:tc>
          <w:tcPr>
            <w:tcW w:w="10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3.26%</w:t>
            </w:r>
          </w:p>
        </w:tc>
        <w:tc>
          <w:tcPr>
            <w:tcW w:w="0" w:type="dxa"/>
            <w:vAlign w:val="bottom"/>
          </w:tcPr>
          <w:p>
            <w:pPr>
              <w:spacing w:after="0"/>
              <w:rPr>
                <w:sz w:val="1"/>
                <w:szCs w:val="1"/>
                <w:color w:val="auto"/>
              </w:rPr>
            </w:pPr>
          </w:p>
        </w:tc>
      </w:tr>
      <w:tr>
        <w:trPr>
          <w:trHeight w:val="243"/>
        </w:trPr>
        <w:tc>
          <w:tcPr>
            <w:tcW w:w="26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360" w:type="dxa"/>
            <w:vAlign w:val="bottom"/>
          </w:tcPr>
          <w:p>
            <w:pPr>
              <w:ind w:left="40"/>
              <w:spacing w:after="0"/>
              <w:rPr>
                <w:sz w:val="20"/>
                <w:szCs w:val="20"/>
                <w:color w:val="auto"/>
              </w:rPr>
            </w:pPr>
            <w:r>
              <w:rPr>
                <w:rFonts w:ascii="Arial" w:cs="Arial" w:eastAsia="Arial" w:hAnsi="Arial"/>
                <w:sz w:val="13"/>
                <w:szCs w:val="13"/>
                <w:color w:val="auto"/>
              </w:rPr>
              <w:t>(b)</w:t>
            </w:r>
          </w:p>
        </w:tc>
        <w:tc>
          <w:tcPr>
            <w:tcW w:w="2740" w:type="dxa"/>
            <w:vAlign w:val="bottom"/>
          </w:tcPr>
          <w:p>
            <w:pPr>
              <w:jc w:val="center"/>
              <w:spacing w:after="0"/>
              <w:rPr>
                <w:sz w:val="20"/>
                <w:szCs w:val="20"/>
                <w:color w:val="auto"/>
              </w:rPr>
            </w:pPr>
            <w:r>
              <w:rPr>
                <w:rFonts w:ascii="Arial" w:cs="Arial" w:eastAsia="Arial" w:hAnsi="Arial"/>
                <w:sz w:val="18"/>
                <w:szCs w:val="18"/>
                <w:color w:val="auto"/>
                <w:w w:val="92"/>
              </w:rPr>
              <w:t>2/16/2010</w:t>
            </w:r>
          </w:p>
        </w:tc>
        <w:tc>
          <w:tcPr>
            <w:tcW w:w="100" w:type="dxa"/>
            <w:vAlign w:val="bottom"/>
          </w:tcPr>
          <w:p>
            <w:pPr>
              <w:spacing w:after="0"/>
              <w:rPr>
                <w:sz w:val="21"/>
                <w:szCs w:val="21"/>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2"/>
              </w:rPr>
              <w:t>5/16/2016</w:t>
            </w:r>
          </w:p>
        </w:tc>
        <w:tc>
          <w:tcPr>
            <w:tcW w:w="100" w:type="dxa"/>
            <w:vAlign w:val="bottom"/>
          </w:tcPr>
          <w:p>
            <w:pPr>
              <w:spacing w:after="0"/>
              <w:rPr>
                <w:sz w:val="21"/>
                <w:szCs w:val="21"/>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0"/>
              </w:rPr>
              <w:t>3.05%</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2/21/2012</w:t>
            </w:r>
          </w:p>
        </w:tc>
        <w:tc>
          <w:tcPr>
            <w:tcW w:w="10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5/23/2016</w:t>
            </w:r>
          </w:p>
        </w:tc>
        <w:tc>
          <w:tcPr>
            <w:tcW w:w="10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2.40%</w:t>
            </w:r>
          </w:p>
        </w:tc>
        <w:tc>
          <w:tcPr>
            <w:tcW w:w="0" w:type="dxa"/>
            <w:vAlign w:val="bottom"/>
          </w:tcPr>
          <w:p>
            <w:pPr>
              <w:spacing w:after="0"/>
              <w:rPr>
                <w:sz w:val="1"/>
                <w:szCs w:val="1"/>
                <w:color w:val="auto"/>
              </w:rPr>
            </w:pPr>
          </w:p>
        </w:tc>
      </w:tr>
      <w:tr>
        <w:trPr>
          <w:trHeight w:val="243"/>
        </w:trPr>
        <w:tc>
          <w:tcPr>
            <w:tcW w:w="2620" w:type="dxa"/>
            <w:vAlign w:val="bottom"/>
          </w:tcPr>
          <w:p>
            <w:pPr>
              <w:jc w:val="center"/>
              <w:spacing w:after="0"/>
              <w:rPr>
                <w:sz w:val="20"/>
                <w:szCs w:val="20"/>
                <w:color w:val="auto"/>
              </w:rPr>
            </w:pPr>
            <w:r>
              <w:rPr>
                <w:rFonts w:ascii="Arial" w:cs="Arial" w:eastAsia="Arial" w:hAnsi="Arial"/>
                <w:sz w:val="18"/>
                <w:szCs w:val="18"/>
                <w:color w:val="auto"/>
                <w:w w:val="93"/>
              </w:rPr>
              <w:t>150</w:t>
            </w:r>
          </w:p>
        </w:tc>
        <w:tc>
          <w:tcPr>
            <w:tcW w:w="360" w:type="dxa"/>
            <w:vAlign w:val="bottom"/>
          </w:tcPr>
          <w:p>
            <w:pPr>
              <w:ind w:left="40"/>
              <w:spacing w:after="0"/>
              <w:rPr>
                <w:sz w:val="20"/>
                <w:szCs w:val="20"/>
                <w:color w:val="auto"/>
              </w:rPr>
            </w:pPr>
            <w:r>
              <w:rPr>
                <w:rFonts w:ascii="Arial" w:cs="Arial" w:eastAsia="Arial" w:hAnsi="Arial"/>
                <w:sz w:val="13"/>
                <w:szCs w:val="13"/>
                <w:color w:val="auto"/>
              </w:rPr>
              <w:t>(c)</w:t>
            </w:r>
          </w:p>
        </w:tc>
        <w:tc>
          <w:tcPr>
            <w:tcW w:w="2740" w:type="dxa"/>
            <w:vAlign w:val="bottom"/>
          </w:tcPr>
          <w:p>
            <w:pPr>
              <w:jc w:val="center"/>
              <w:spacing w:after="0"/>
              <w:rPr>
                <w:sz w:val="20"/>
                <w:szCs w:val="20"/>
                <w:color w:val="auto"/>
              </w:rPr>
            </w:pPr>
            <w:r>
              <w:rPr>
                <w:rFonts w:ascii="Arial" w:cs="Arial" w:eastAsia="Arial" w:hAnsi="Arial"/>
                <w:sz w:val="18"/>
                <w:szCs w:val="18"/>
                <w:color w:val="auto"/>
                <w:w w:val="90"/>
              </w:rPr>
              <w:t>12/20/2011</w:t>
            </w:r>
          </w:p>
        </w:tc>
        <w:tc>
          <w:tcPr>
            <w:tcW w:w="100" w:type="dxa"/>
            <w:vAlign w:val="bottom"/>
          </w:tcPr>
          <w:p>
            <w:pPr>
              <w:spacing w:after="0"/>
              <w:rPr>
                <w:sz w:val="21"/>
                <w:szCs w:val="21"/>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2"/>
              </w:rPr>
              <w:t>6/20/2016</w:t>
            </w:r>
          </w:p>
        </w:tc>
        <w:tc>
          <w:tcPr>
            <w:tcW w:w="100" w:type="dxa"/>
            <w:vAlign w:val="bottom"/>
          </w:tcPr>
          <w:p>
            <w:pPr>
              <w:spacing w:after="0"/>
              <w:rPr>
                <w:sz w:val="21"/>
                <w:szCs w:val="21"/>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0"/>
              </w:rPr>
              <w:t>2.61%</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6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(d)</w:t>
            </w:r>
          </w:p>
        </w:tc>
        <w:tc>
          <w:tcPr>
            <w:tcW w:w="27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12/6/2012</w:t>
            </w:r>
          </w:p>
        </w:tc>
        <w:tc>
          <w:tcPr>
            <w:tcW w:w="100" w:type="dxa"/>
            <w:vAlign w:val="bottom"/>
            <w:shd w:val="clear" w:color="auto" w:fill="CCEEFF"/>
          </w:tcPr>
          <w:p>
            <w:pPr>
              <w:spacing w:after="0"/>
              <w:rPr>
                <w:sz w:val="15"/>
                <w:szCs w:val="15"/>
                <w:color w:val="auto"/>
              </w:rPr>
            </w:pPr>
          </w:p>
        </w:tc>
        <w:tc>
          <w:tcPr>
            <w:tcW w:w="27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9/6/2017</w:t>
            </w:r>
          </w:p>
        </w:tc>
        <w:tc>
          <w:tcPr>
            <w:tcW w:w="100" w:type="dxa"/>
            <w:vAlign w:val="bottom"/>
            <w:shd w:val="clear" w:color="auto" w:fill="CCEEFF"/>
          </w:tcPr>
          <w:p>
            <w:pPr>
              <w:spacing w:after="0"/>
              <w:rPr>
                <w:sz w:val="15"/>
                <w:szCs w:val="15"/>
                <w:color w:val="auto"/>
              </w:rPr>
            </w:pPr>
          </w:p>
        </w:tc>
        <w:tc>
          <w:tcPr>
            <w:tcW w:w="27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2.96%</w:t>
            </w:r>
          </w:p>
        </w:tc>
        <w:tc>
          <w:tcPr>
            <w:tcW w:w="0" w:type="dxa"/>
            <w:vAlign w:val="bottom"/>
          </w:tcPr>
          <w:p>
            <w:pPr>
              <w:spacing w:after="0"/>
              <w:rPr>
                <w:sz w:val="1"/>
                <w:szCs w:val="1"/>
                <w:color w:val="auto"/>
              </w:rPr>
            </w:pPr>
          </w:p>
        </w:tc>
      </w:tr>
      <w:tr>
        <w:trPr>
          <w:trHeight w:val="91"/>
        </w:trPr>
        <w:tc>
          <w:tcPr>
            <w:tcW w:w="2620" w:type="dxa"/>
            <w:vAlign w:val="bottom"/>
            <w:tcBorders>
              <w:bottom w:val="single" w:sz="8" w:color="CCEEFF"/>
            </w:tcBorders>
            <w:vMerge w:val="continue"/>
            <w:shd w:val="clear" w:color="auto" w:fill="CCEEFF"/>
          </w:tcPr>
          <w:p>
            <w:pPr>
              <w:spacing w:after="0"/>
              <w:rPr>
                <w:sz w:val="7"/>
                <w:szCs w:val="7"/>
                <w:color w:val="auto"/>
              </w:rPr>
            </w:pPr>
          </w:p>
        </w:tc>
        <w:tc>
          <w:tcPr>
            <w:tcW w:w="360" w:type="dxa"/>
            <w:vAlign w:val="bottom"/>
            <w:tcBorders>
              <w:bottom w:val="single" w:sz="8" w:color="CCEEFF"/>
            </w:tcBorders>
            <w:shd w:val="clear" w:color="auto" w:fill="CCEEFF"/>
          </w:tcPr>
          <w:p>
            <w:pPr>
              <w:spacing w:after="0"/>
              <w:rPr>
                <w:sz w:val="7"/>
                <w:szCs w:val="7"/>
                <w:color w:val="auto"/>
              </w:rPr>
            </w:pPr>
          </w:p>
        </w:tc>
        <w:tc>
          <w:tcPr>
            <w:tcW w:w="274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74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74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620" w:type="dxa"/>
            <w:vAlign w:val="bottom"/>
            <w:vMerge w:val="restart"/>
          </w:tcPr>
          <w:p>
            <w:pPr>
              <w:jc w:val="center"/>
              <w:spacing w:after="0"/>
              <w:rPr>
                <w:sz w:val="20"/>
                <w:szCs w:val="20"/>
                <w:color w:val="auto"/>
              </w:rPr>
            </w:pPr>
            <w:r>
              <w:rPr>
                <w:rFonts w:ascii="Arial" w:cs="Arial" w:eastAsia="Arial" w:hAnsi="Arial"/>
                <w:sz w:val="18"/>
                <w:szCs w:val="18"/>
                <w:color w:val="auto"/>
                <w:w w:val="93"/>
              </w:rPr>
              <w:t>150</w:t>
            </w:r>
          </w:p>
        </w:tc>
        <w:tc>
          <w:tcPr>
            <w:tcW w:w="360" w:type="dxa"/>
            <w:vAlign w:val="bottom"/>
          </w:tcPr>
          <w:p>
            <w:pPr>
              <w:ind w:left="40"/>
              <w:spacing w:after="0"/>
              <w:rPr>
                <w:sz w:val="20"/>
                <w:szCs w:val="20"/>
                <w:color w:val="auto"/>
              </w:rPr>
            </w:pPr>
            <w:r>
              <w:rPr>
                <w:rFonts w:ascii="Arial" w:cs="Arial" w:eastAsia="Arial" w:hAnsi="Arial"/>
                <w:sz w:val="13"/>
                <w:szCs w:val="13"/>
                <w:color w:val="auto"/>
              </w:rPr>
              <w:t>(b)</w:t>
            </w:r>
          </w:p>
        </w:tc>
        <w:tc>
          <w:tcPr>
            <w:tcW w:w="2740" w:type="dxa"/>
            <w:vAlign w:val="bottom"/>
            <w:vMerge w:val="restart"/>
          </w:tcPr>
          <w:p>
            <w:pPr>
              <w:jc w:val="center"/>
              <w:spacing w:after="0"/>
              <w:rPr>
                <w:sz w:val="20"/>
                <w:szCs w:val="20"/>
                <w:color w:val="auto"/>
              </w:rPr>
            </w:pPr>
            <w:r>
              <w:rPr>
                <w:rFonts w:ascii="Arial" w:cs="Arial" w:eastAsia="Arial" w:hAnsi="Arial"/>
                <w:sz w:val="18"/>
                <w:szCs w:val="18"/>
                <w:color w:val="auto"/>
                <w:w w:val="91"/>
              </w:rPr>
              <w:t>2/7/2017</w:t>
            </w:r>
          </w:p>
        </w:tc>
        <w:tc>
          <w:tcPr>
            <w:tcW w:w="100" w:type="dxa"/>
            <w:vAlign w:val="bottom"/>
          </w:tcPr>
          <w:p>
            <w:pPr>
              <w:spacing w:after="0"/>
              <w:rPr>
                <w:sz w:val="15"/>
                <w:szCs w:val="15"/>
                <w:color w:val="auto"/>
              </w:rPr>
            </w:pPr>
          </w:p>
        </w:tc>
        <w:tc>
          <w:tcPr>
            <w:tcW w:w="2740" w:type="dxa"/>
            <w:vAlign w:val="bottom"/>
            <w:vMerge w:val="restart"/>
          </w:tcPr>
          <w:p>
            <w:pPr>
              <w:jc w:val="center"/>
              <w:spacing w:after="0"/>
              <w:rPr>
                <w:sz w:val="20"/>
                <w:szCs w:val="20"/>
                <w:color w:val="auto"/>
              </w:rPr>
            </w:pPr>
            <w:r>
              <w:rPr>
                <w:rFonts w:ascii="Arial" w:cs="Arial" w:eastAsia="Arial" w:hAnsi="Arial"/>
                <w:sz w:val="18"/>
                <w:szCs w:val="18"/>
                <w:color w:val="auto"/>
                <w:w w:val="91"/>
              </w:rPr>
              <w:t>5/7/2019</w:t>
            </w:r>
          </w:p>
        </w:tc>
        <w:tc>
          <w:tcPr>
            <w:tcW w:w="100" w:type="dxa"/>
            <w:vAlign w:val="bottom"/>
          </w:tcPr>
          <w:p>
            <w:pPr>
              <w:spacing w:after="0"/>
              <w:rPr>
                <w:sz w:val="15"/>
                <w:szCs w:val="15"/>
                <w:color w:val="auto"/>
              </w:rPr>
            </w:pPr>
          </w:p>
        </w:tc>
        <w:tc>
          <w:tcPr>
            <w:tcW w:w="2740" w:type="dxa"/>
            <w:vAlign w:val="bottom"/>
            <w:vMerge w:val="restart"/>
          </w:tcPr>
          <w:p>
            <w:pPr>
              <w:jc w:val="center"/>
              <w:spacing w:after="0"/>
              <w:rPr>
                <w:sz w:val="20"/>
                <w:szCs w:val="20"/>
                <w:color w:val="auto"/>
              </w:rPr>
            </w:pPr>
            <w:r>
              <w:rPr>
                <w:rFonts w:ascii="Arial" w:cs="Arial" w:eastAsia="Arial" w:hAnsi="Arial"/>
                <w:sz w:val="18"/>
                <w:szCs w:val="18"/>
                <w:color w:val="auto"/>
                <w:w w:val="90"/>
              </w:rPr>
              <w:t>2.12%</w:t>
            </w:r>
          </w:p>
        </w:tc>
        <w:tc>
          <w:tcPr>
            <w:tcW w:w="0" w:type="dxa"/>
            <w:vAlign w:val="bottom"/>
          </w:tcPr>
          <w:p>
            <w:pPr>
              <w:spacing w:after="0"/>
              <w:rPr>
                <w:sz w:val="1"/>
                <w:szCs w:val="1"/>
                <w:color w:val="auto"/>
              </w:rPr>
            </w:pPr>
          </w:p>
        </w:tc>
      </w:tr>
      <w:tr>
        <w:trPr>
          <w:trHeight w:val="84"/>
        </w:trPr>
        <w:tc>
          <w:tcPr>
            <w:tcW w:w="262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6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w:t>
            </w:r>
          </w:p>
        </w:tc>
        <w:tc>
          <w:tcPr>
            <w:tcW w:w="27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2/7/2017</w:t>
            </w:r>
          </w:p>
        </w:tc>
        <w:tc>
          <w:tcPr>
            <w:tcW w:w="100" w:type="dxa"/>
            <w:vAlign w:val="bottom"/>
            <w:shd w:val="clear" w:color="auto" w:fill="CCEEFF"/>
          </w:tcPr>
          <w:p>
            <w:pPr>
              <w:spacing w:after="0"/>
              <w:rPr>
                <w:sz w:val="15"/>
                <w:szCs w:val="15"/>
                <w:color w:val="auto"/>
              </w:rPr>
            </w:pPr>
          </w:p>
        </w:tc>
        <w:tc>
          <w:tcPr>
            <w:tcW w:w="27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5/7/2019</w:t>
            </w:r>
          </w:p>
        </w:tc>
        <w:tc>
          <w:tcPr>
            <w:tcW w:w="100" w:type="dxa"/>
            <w:vAlign w:val="bottom"/>
            <w:shd w:val="clear" w:color="auto" w:fill="CCEEFF"/>
          </w:tcPr>
          <w:p>
            <w:pPr>
              <w:spacing w:after="0"/>
              <w:rPr>
                <w:sz w:val="15"/>
                <w:szCs w:val="15"/>
                <w:color w:val="auto"/>
              </w:rPr>
            </w:pPr>
          </w:p>
        </w:tc>
        <w:tc>
          <w:tcPr>
            <w:tcW w:w="27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2.25%</w:t>
            </w:r>
          </w:p>
        </w:tc>
        <w:tc>
          <w:tcPr>
            <w:tcW w:w="0" w:type="dxa"/>
            <w:vAlign w:val="bottom"/>
          </w:tcPr>
          <w:p>
            <w:pPr>
              <w:spacing w:after="0"/>
              <w:rPr>
                <w:sz w:val="1"/>
                <w:szCs w:val="1"/>
                <w:color w:val="auto"/>
              </w:rPr>
            </w:pPr>
          </w:p>
        </w:tc>
      </w:tr>
      <w:tr>
        <w:trPr>
          <w:trHeight w:val="91"/>
        </w:trPr>
        <w:tc>
          <w:tcPr>
            <w:tcW w:w="2620" w:type="dxa"/>
            <w:vAlign w:val="bottom"/>
            <w:tcBorders>
              <w:bottom w:val="single" w:sz="8" w:color="CCEEFF"/>
            </w:tcBorders>
            <w:vMerge w:val="continue"/>
            <w:shd w:val="clear" w:color="auto" w:fill="CCEEFF"/>
          </w:tcPr>
          <w:p>
            <w:pPr>
              <w:spacing w:after="0"/>
              <w:rPr>
                <w:sz w:val="7"/>
                <w:szCs w:val="7"/>
                <w:color w:val="auto"/>
              </w:rPr>
            </w:pPr>
          </w:p>
        </w:tc>
        <w:tc>
          <w:tcPr>
            <w:tcW w:w="360" w:type="dxa"/>
            <w:vAlign w:val="bottom"/>
            <w:tcBorders>
              <w:bottom w:val="single" w:sz="8" w:color="CCEEFF"/>
            </w:tcBorders>
            <w:shd w:val="clear" w:color="auto" w:fill="CCEEFF"/>
          </w:tcPr>
          <w:p>
            <w:pPr>
              <w:spacing w:after="0"/>
              <w:rPr>
                <w:sz w:val="7"/>
                <w:szCs w:val="7"/>
                <w:color w:val="auto"/>
              </w:rPr>
            </w:pPr>
          </w:p>
        </w:tc>
        <w:tc>
          <w:tcPr>
            <w:tcW w:w="274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74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74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620" w:type="dxa"/>
            <w:vAlign w:val="bottom"/>
            <w:vMerge w:val="restart"/>
          </w:tcPr>
          <w:p>
            <w:pPr>
              <w:jc w:val="center"/>
              <w:spacing w:after="0"/>
              <w:rPr>
                <w:sz w:val="20"/>
                <w:szCs w:val="20"/>
                <w:color w:val="auto"/>
              </w:rPr>
            </w:pPr>
            <w:r>
              <w:rPr>
                <w:rFonts w:ascii="Arial" w:cs="Arial" w:eastAsia="Arial" w:hAnsi="Arial"/>
                <w:sz w:val="18"/>
                <w:szCs w:val="18"/>
                <w:color w:val="auto"/>
                <w:w w:val="93"/>
              </w:rPr>
              <w:t>200</w:t>
            </w:r>
          </w:p>
        </w:tc>
        <w:tc>
          <w:tcPr>
            <w:tcW w:w="360" w:type="dxa"/>
            <w:vAlign w:val="bottom"/>
          </w:tcPr>
          <w:p>
            <w:pPr>
              <w:ind w:left="40"/>
              <w:spacing w:after="0"/>
              <w:rPr>
                <w:sz w:val="20"/>
                <w:szCs w:val="20"/>
                <w:color w:val="auto"/>
              </w:rPr>
            </w:pPr>
            <w:r>
              <w:rPr>
                <w:rFonts w:ascii="Arial" w:cs="Arial" w:eastAsia="Arial" w:hAnsi="Arial"/>
                <w:sz w:val="13"/>
                <w:szCs w:val="13"/>
                <w:color w:val="auto"/>
              </w:rPr>
              <w:t>(c)</w:t>
            </w:r>
          </w:p>
        </w:tc>
        <w:tc>
          <w:tcPr>
            <w:tcW w:w="2740" w:type="dxa"/>
            <w:vAlign w:val="bottom"/>
            <w:vMerge w:val="restart"/>
          </w:tcPr>
          <w:p>
            <w:pPr>
              <w:jc w:val="center"/>
              <w:spacing w:after="0"/>
              <w:rPr>
                <w:sz w:val="20"/>
                <w:szCs w:val="20"/>
                <w:color w:val="auto"/>
              </w:rPr>
            </w:pPr>
            <w:r>
              <w:rPr>
                <w:rFonts w:ascii="Arial" w:cs="Arial" w:eastAsia="Arial" w:hAnsi="Arial"/>
                <w:sz w:val="18"/>
                <w:szCs w:val="18"/>
                <w:color w:val="auto"/>
                <w:w w:val="90"/>
              </w:rPr>
              <w:t>12/20/2016</w:t>
            </w:r>
          </w:p>
        </w:tc>
        <w:tc>
          <w:tcPr>
            <w:tcW w:w="100" w:type="dxa"/>
            <w:vAlign w:val="bottom"/>
          </w:tcPr>
          <w:p>
            <w:pPr>
              <w:spacing w:after="0"/>
              <w:rPr>
                <w:sz w:val="15"/>
                <w:szCs w:val="15"/>
                <w:color w:val="auto"/>
              </w:rPr>
            </w:pPr>
          </w:p>
        </w:tc>
        <w:tc>
          <w:tcPr>
            <w:tcW w:w="2740" w:type="dxa"/>
            <w:vAlign w:val="bottom"/>
            <w:vMerge w:val="restart"/>
          </w:tcPr>
          <w:p>
            <w:pPr>
              <w:jc w:val="center"/>
              <w:spacing w:after="0"/>
              <w:rPr>
                <w:sz w:val="20"/>
                <w:szCs w:val="20"/>
                <w:color w:val="auto"/>
              </w:rPr>
            </w:pPr>
            <w:r>
              <w:rPr>
                <w:rFonts w:ascii="Arial" w:cs="Arial" w:eastAsia="Arial" w:hAnsi="Arial"/>
                <w:sz w:val="18"/>
                <w:szCs w:val="18"/>
                <w:color w:val="auto"/>
                <w:w w:val="92"/>
              </w:rPr>
              <w:t>6/20/2019</w:t>
            </w:r>
          </w:p>
        </w:tc>
        <w:tc>
          <w:tcPr>
            <w:tcW w:w="100" w:type="dxa"/>
            <w:vAlign w:val="bottom"/>
          </w:tcPr>
          <w:p>
            <w:pPr>
              <w:spacing w:after="0"/>
              <w:rPr>
                <w:sz w:val="15"/>
                <w:szCs w:val="15"/>
                <w:color w:val="auto"/>
              </w:rPr>
            </w:pPr>
          </w:p>
        </w:tc>
        <w:tc>
          <w:tcPr>
            <w:tcW w:w="2740" w:type="dxa"/>
            <w:vAlign w:val="bottom"/>
            <w:vMerge w:val="restart"/>
          </w:tcPr>
          <w:p>
            <w:pPr>
              <w:jc w:val="center"/>
              <w:spacing w:after="0"/>
              <w:rPr>
                <w:sz w:val="20"/>
                <w:szCs w:val="20"/>
                <w:color w:val="auto"/>
              </w:rPr>
            </w:pPr>
            <w:r>
              <w:rPr>
                <w:rFonts w:ascii="Arial" w:cs="Arial" w:eastAsia="Arial" w:hAnsi="Arial"/>
                <w:sz w:val="18"/>
                <w:szCs w:val="18"/>
                <w:color w:val="auto"/>
                <w:w w:val="90"/>
              </w:rPr>
              <w:t>2.12%</w:t>
            </w:r>
          </w:p>
        </w:tc>
        <w:tc>
          <w:tcPr>
            <w:tcW w:w="0" w:type="dxa"/>
            <w:vAlign w:val="bottom"/>
          </w:tcPr>
          <w:p>
            <w:pPr>
              <w:spacing w:after="0"/>
              <w:rPr>
                <w:sz w:val="1"/>
                <w:szCs w:val="1"/>
                <w:color w:val="auto"/>
              </w:rPr>
            </w:pPr>
          </w:p>
        </w:tc>
      </w:tr>
      <w:tr>
        <w:trPr>
          <w:trHeight w:val="84"/>
        </w:trPr>
        <w:tc>
          <w:tcPr>
            <w:tcW w:w="262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effective date refers to the date on which interest payments were, or will be, first hedged by the applicable swap agreement.</w:t>
      </w:r>
    </w:p>
    <w:p>
      <w:pPr>
        <w:spacing w:after="0" w:line="19" w:lineRule="exact"/>
        <w:rPr>
          <w:rFonts w:ascii="Arial" w:cs="Arial" w:eastAsia="Arial" w:hAnsi="Arial"/>
          <w:sz w:val="16"/>
          <w:szCs w:val="16"/>
          <w:color w:val="auto"/>
        </w:rPr>
      </w:pPr>
    </w:p>
    <w:p>
      <w:pPr>
        <w:ind w:left="660" w:hanging="652"/>
        <w:spacing w:after="0"/>
        <w:tabs>
          <w:tab w:leader="none" w:pos="6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Interest payments made during the three-month period of each year that begins with the month and day of the effective date are hedged by the swap agreement.</w:t>
      </w:r>
    </w:p>
    <w:p>
      <w:pPr>
        <w:spacing w:after="0" w:line="19" w:lineRule="exact"/>
        <w:rPr>
          <w:rFonts w:ascii="Arial" w:cs="Arial" w:eastAsia="Arial" w:hAnsi="Arial"/>
          <w:sz w:val="15"/>
          <w:szCs w:val="15"/>
          <w:color w:val="auto"/>
        </w:rPr>
      </w:pPr>
    </w:p>
    <w:p>
      <w:pPr>
        <w:ind w:left="660" w:hanging="652"/>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5"/>
          <w:szCs w:val="15"/>
          <w:color w:val="auto"/>
        </w:rPr>
        <w:t>Interest payments made during the six-month period of each year that begins with the month and day of the effective date are hedged by the swap agreement.</w:t>
      </w:r>
    </w:p>
    <w:p>
      <w:pPr>
        <w:spacing w:after="0" w:line="16" w:lineRule="exact"/>
        <w:rPr>
          <w:rFonts w:ascii="Arial" w:cs="Arial" w:eastAsia="Arial" w:hAnsi="Arial"/>
          <w:sz w:val="17"/>
          <w:szCs w:val="17"/>
          <w:color w:val="auto"/>
        </w:rPr>
      </w:pPr>
    </w:p>
    <w:p>
      <w:pPr>
        <w:ind w:left="660" w:hanging="652"/>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5"/>
          <w:szCs w:val="15"/>
          <w:color w:val="auto"/>
        </w:rPr>
        <w:t>Interest payments made during the nine-month period of each year that begins with the month and day of the effective date are hedged by the swap agreement.</w:t>
      </w:r>
    </w:p>
    <w:p>
      <w:pPr>
        <w:spacing w:after="0" w:line="16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Company maintains a Master Accounts Receivable Purchase Agreement (“MARP Agreement”), which is uncommitted and provides for the discretionary sale by the Company, and the discretionary purchase by the banks, on a revolving basis, of accounts receivable generated by sales to three specified account debtors in an aggregate amount not to exceed $400 million. On October 25, 2013, the Company signed an amendment to the existing MARP Agreement which extended the termination date to August 29, 2014, or such later date as may be mutually agreed by the Company and the banks party thereto. Under the amended terms of the MARP Agreement, the banks have the opportunity to purchase those accounts receivable offered by the Company at a discount (from the agreed base value thereof) effectively equal to the one-week LIBOR plus 0.75%. There were $85.3 million of short-term borrowings as of September 30, 2013 and no short-term borrowings as of September 30, 2012 under the MARP Agreement. The carrying value of the receivables pledged as collateral was $106.7 million as of September 30, 2013.</w:t>
      </w:r>
    </w:p>
    <w:p>
      <w:pPr>
        <w:spacing w:after="0" w:line="1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continue to monitor our compliance with the leverage ratio, interest coverage ratio and other covenants contained in the credit facility and, based upon our current operating assumptions, we expect to remain in compliance with the permissible leverage ratio and interest coverage ratio throughout fiscal 2014. However, an unanticipated charge to earnings, an increase in debt or other factors could materially affect our ability to remain in compliance with the financial or other covenants of our credit facility, potentially causing us to have to seek an amendment or waiver from our lending group which could result in repricing of our credit facility.</w:t>
      </w:r>
    </w:p>
    <w:p>
      <w:pPr>
        <w:spacing w:after="0" w:line="13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our opinion, cash flows from operations and capital resources will be sufficient to meet debt service, capital expenditures and working capital needs during fiscal 2014, and thereafter for the foreseeable future. However, we cannot ensure that our business will generate sufficient cash flow from operations or that future borrowings will be available under our credit facility in amounts sufficient to pay indebtedness or fund other liquidity needs. Actual results of operations will depend on numerous factors,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many of which are beyond our control, as further discussed in “ITEM 1A. RISK FACTORS — Our indebtedness could limit our flexibility and adversely affect our financial condition” of this Annual Report on Form 10-K.</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17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reserves. We do not believe that any liabilities that may result from these pending judicial and administrative proceedings are reasonably likely to have a material effect on our financial condition, results of operations, or cash flows; however, there can be no assurance that future quarterly or annual operating results will not be materially affected by final resolution of these matters.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future cash outflows for contractual obligations as of September 30,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Payments Due by Period</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Contractual Cash Obligations</w:t>
            </w:r>
          </w:p>
        </w:tc>
        <w:tc>
          <w:tcPr>
            <w:tcW w:w="260" w:type="dxa"/>
            <w:vAlign w:val="bottom"/>
          </w:tcPr>
          <w:p>
            <w:pPr>
              <w:spacing w:after="0"/>
              <w:rPr>
                <w:sz w:val="13"/>
                <w:szCs w:val="13"/>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Less Than 1 Year</w:t>
            </w:r>
          </w:p>
        </w:tc>
        <w:tc>
          <w:tcPr>
            <w:tcW w:w="16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1-3 Years</w:t>
            </w:r>
          </w:p>
        </w:tc>
        <w:tc>
          <w:tcPr>
            <w:tcW w:w="200" w:type="dxa"/>
            <w:vAlign w:val="bottom"/>
          </w:tcPr>
          <w:p>
            <w:pPr>
              <w:spacing w:after="0"/>
              <w:rPr>
                <w:sz w:val="13"/>
                <w:szCs w:val="13"/>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4-5 Years</w:t>
            </w:r>
          </w:p>
        </w:tc>
        <w:tc>
          <w:tcPr>
            <w:tcW w:w="180" w:type="dxa"/>
            <w:vAlign w:val="bottom"/>
          </w:tcPr>
          <w:p>
            <w:pPr>
              <w:spacing w:after="0"/>
              <w:rPr>
                <w:sz w:val="13"/>
                <w:szCs w:val="13"/>
                <w:color w:val="auto"/>
              </w:rPr>
            </w:pPr>
          </w:p>
        </w:tc>
        <w:tc>
          <w:tcPr>
            <w:tcW w:w="96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5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234"/>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64"/>
        </w:trPr>
        <w:tc>
          <w:tcPr>
            <w:tcW w:w="5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(In millions)</w:t>
            </w: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obligations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570.5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Interest expense on debt obligations</w:t>
            </w:r>
          </w:p>
        </w:tc>
        <w:tc>
          <w:tcPr>
            <w:tcW w:w="26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Purchase obligations</w:t>
            </w:r>
          </w:p>
        </w:tc>
        <w:tc>
          <w:tcPr>
            <w:tcW w:w="26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211.3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primarily retirement plan obligations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Total contractual cash obligations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1,249.8</w:t>
            </w:r>
          </w:p>
        </w:tc>
        <w:tc>
          <w:tcPr>
            <w:tcW w:w="100" w:type="dxa"/>
            <w:vAlign w:val="bottom"/>
          </w:tcPr>
          <w:p>
            <w:pPr>
              <w:spacing w:after="0"/>
              <w:rPr>
                <w:sz w:val="20"/>
                <w:szCs w:val="20"/>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307.5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320.8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320.9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have long-term debt obligations and interest payments due primarily under the 7.25% and 6.625% Senior Notes and our credit facility. Amounts in the table represent scheduled future maturities of long-term debt principal for the periods indicated. The interest payments for our credit facility is based on outstanding borrowings as of September 30, 2013. Actual interest expense will likely be higher due to the seasonality of our business and associated higher average borrowings.</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Purchase obligations primarily represent commitments for materials used in our manufacturing processes, as well as commitments for warehouse services, seed and out-sourced information services which comprise the unconditional purchase obligations disclosed in “NOTE 17. COMMITMENTS” of the Notes to Consolidated Financial Statements included in this Annual Report on Form 10-K.</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Other obligations include actuarially determined retiree benefit payments and pension funding to comply with local funding requirements. Pension funding requirements beyond fiscal 2013 are based on preliminary estimates using actuarial assumptions determined as of September 30, 2013. The above table excludes liabilities for unrecognized tax benefits and insurance accruals as the Company is unable to estimate the timing of payments for these items.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71" w:lineRule="exact"/>
        <w:rPr>
          <w:sz w:val="20"/>
          <w:szCs w:val="20"/>
          <w:color w:val="auto"/>
        </w:rPr>
      </w:pPr>
    </w:p>
    <w:p>
      <w:pPr>
        <w:jc w:val="both"/>
        <w:ind w:firstLine="432"/>
        <w:spacing w:after="0" w:line="226" w:lineRule="auto"/>
        <w:rPr>
          <w:sz w:val="20"/>
          <w:szCs w:val="20"/>
          <w:color w:val="auto"/>
        </w:rPr>
      </w:pPr>
      <w:r>
        <w:rPr>
          <w:rFonts w:ascii="Arial" w:cs="Arial" w:eastAsia="Arial" w:hAnsi="Arial"/>
          <w:sz w:val="18"/>
          <w:szCs w:val="18"/>
          <w:color w:val="auto"/>
        </w:rPr>
        <w:t>At September 30, 2013, the Company had letters of credit in the aggregate face amount of $23.3 million outstanding. Further, the Company has residual value guarantees on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vehicles and the corporate aircraft as disclosed in “NOTE 16. OPERATING LEASES” of the Notes to Consolidated Financial Statements included in this Annual Report on Form 10-K.</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94"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including those described in “ITEM 3. LEGAL PROCEEDINGS” of this Annual Report on Form 10-K and “NOTE 18. CONTINGENCIES” of the Notes to Consolidated Financial Statements included in this Annual Report on Form 10-K.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“ITEM 1. BUSINESS — Regulatory Considerations” and “ITEM 3. LEGAL PROCEEDINGS” of this Annual Report on Form 10-K.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discussion and analysis of financial condition and results of operations is based upon our consolidated financial statements, which have been prepared in accordance with GAAP. Certain accounting policies are particularly significant, including those related to revenue recognition, goodwill and intangibles, certain associate benefits and income taxes. We believe these accounting policies, and others set forth in “NOTE 1. SUMMARY OF SIGNIFICANT ACCOUNTING POLICIES” of the Notes to Consolidated Financial Statements included in this Annual Report on Form 10-K, should be reviewed as they are integral to understanding our results of operations and financial position. Our critical accounting policies are reviewed periodically with the Audit and Finance Committee of the Board of Directors of Scotts Miracle-Gro.</w:t>
      </w:r>
    </w:p>
    <w:p>
      <w:pPr>
        <w:spacing w:after="0" w:line="13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preparation of financial statements requires management to use judgment and make estimates that affect the reported amounts of assets, liabilities, revenues and expenses and related disclosures of contingent assets and liabilities. On an ongoing basis, we evaluate our estimates, including those related to customer programs and incentives, product returns, bad debts, inventories, intangible assets, income taxes, restructuring, environmental matters, contingencies and litigation. We base our estimates on historical experience and on various other assumptions that we believe to be reasonable under the circumstances. Although actual results historically have not deviated significantly from those determined using our estimates, our results of operations or financial condition could differ, perhaps materially, from these estimates under different assumptions or conditions.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 and Promotional Allowances</w:t>
      </w:r>
    </w:p>
    <w:p>
      <w:pPr>
        <w:spacing w:after="0" w:line="9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Most of our revenue is derived from the sale of inventory, and we recognize revenue when title and risk of loss transfer, generally when products are received by the customer. Provisions for payment discounts, product returns and allowances are recorded as a reduction of sales at the time revenue is recognized based on historical trends and adjusted periodically as circumstances warrant. Similarly, reserves for uncollectible receivables due from customers are established based on management’s judgment as to the ultimate collectability of these balances. We offer sales incentives through various programs, consisting principally of volume rebates, cooperative advertising, consumer coupons and other trade programs. The cost of these programs is recorded as a reduction of sales. The recognition of revenues, receivables and trade programs requires the use of estimates. While we believe these estimates to be reasonable based on the then current facts and circumstances, there can be no assurance that actual amounts realized will not differ materially from estimated amounts recorded.</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Our annual effective tax rate is established based on our pre-tax income (loss), statutory tax rates and the tax impacts of items treated differently for tax purposes than for financial reporting purposes. We record income tax liabilities utilizing known obligations and estimates of potential obligations. A deferred tax asset or liability is recognized whenever there are future tax effects from existing temporary differences and operating loss and tax credit carryforwards. Valuation allowances are used to reduce deferred tax assets to the balances that are more likely than not to be realized. We must make estimates and judgments on future taxable income, considering feasible tax planning strategies and taking into account existing facts and circumstances, to determine the proper valuation allowances. When we determine that deferred tax assets could be realized in greater or lesser amounts than recorded, the asset balance and consolidated statement of operations reflect the change in the period such determination is made. Due to changes in facts and circumstances and the estimates and judgments that are involved in determining the proper valuation allowances, differences between actual future events and prior estimates and judgments could result in adjustments to these valuation allowances. We use an estimate of our annual effective tax rate at each interim period based on the facts and circumstances available at that time, while the actual effective tax rate is calculated at year-end.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Inventories are stated at the lower of cost or market, principally determined by the first-in, first-out method of accounting. Inventories include the cost of raw materials, labor, manufacturing overhead and freight and in-bound handling costs incurred to pre-position goods in our warehouse network. Adjustments to net realizable value for excess and obsolete inventory are based on a variety of factors, including product changes and improvements, changes in active ingredient availability and regulatory acceptance, new product introductions and estimated future demand. The adequacy of our adjustments could be materially affected by changes in the demand for our products or regulatory actions.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Long-lived Assets, including Property, Plant and Equipment</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Property, plant and equipment are stated at cost. Depreciation of property, plant and equipment is provided on the straight-line method and is based on the estimated useful economic lives of the assets. Intangible assets with finite lives, and therefore subject to amortization, include technology (e.g., patents), customer relationships and certain tradenames. These intangible assets are being amortized over their estimated useful economic lives typically ranging from 3 to 25 years. We review long-lived assets whenever circumstances change such that the recorded value of an asset may not be recoverable and therefore impaired.</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9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We have significant investments in intangible assets and goodwill. Our annual goodwill and indefinite-lived intangible asset testing is performed as of the first day of our fiscal fourth quarter or more frequently if circumstances indicate potential impairment. In our evaluation of goodwill and indefinite-lived intangible assets impairment, we perform either an initial qualitative or quantitative evaluation for each of our reporting units and indefinite-lived intangible assets. Factors considered in the qualitative test include operating results as well as new events and circumstances impacting the operations or cash flows of the reporting unit and indefinite-lived intangible assets. For the quantitative test, the review for impairment of goodwill and indefinite-lived intangible assets is primarily based on our estimates of discounted future cash flows, which are based upon annual budgets and longer-range strategic plans. These budgets and plans are used for internal purposes and are also the basis for communication with outside parties about future business trends. While we believe the assumptions we use to estimate future cash flows are reasonable, there can be no assurance that the expected future cash flows will be realized. As a result, impairment charges that possibly would have been recognized in earlier periods may not be recognized until later periods if actual results deviate unfavorably from earlier estimates. An asset’s value is deemed impaired if the discounted cash flows or earnings projections generated do not substantiate the carrying value of the asset. The estimation of such amounts requires management to exercise judgment with respect to revenue and expense growth rates, changes in working capital, future capital expenditure requirements and selection of an appropriate discount rate, as applicable. The use of different assumptions would increase or decrease discounted future operating cash flows or earnings projections and could, therefore, change impairment determinations.</w:t>
      </w:r>
    </w:p>
    <w:p>
      <w:pPr>
        <w:spacing w:after="0" w:line="12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Fair value estimates employed in our annual impairment review of indefinite-lived tradenames and goodwill were determined using discounted cash flow models involving several assumptions. Changes in our assumptions could materially impact our fair value estimates. Assumptions critical to our fair value estimates were: (i) discount rates used in determining the fair value of the reporting units and tradenames; (ii) royalty rates used in our tradename valuations; (iii) projected revenue and operating profit growth rates used in the reporting unit and tradename models; and (iv) projected long-term growth rates used in the derivation of terminal year values. These and other assumptions are impacted by economic conditions and expectations of management and may change in the future based on period specific facts and circumstances.</w:t>
      </w:r>
    </w:p>
    <w:p>
      <w:pPr>
        <w:spacing w:after="0" w:line="124" w:lineRule="exact"/>
        <w:rPr>
          <w:sz w:val="20"/>
          <w:szCs w:val="20"/>
          <w:color w:val="auto"/>
        </w:rPr>
      </w:pPr>
    </w:p>
    <w:p>
      <w:pPr>
        <w:jc w:val="both"/>
        <w:ind w:firstLine="432"/>
        <w:spacing w:after="0" w:line="220" w:lineRule="auto"/>
        <w:rPr>
          <w:sz w:val="20"/>
          <w:szCs w:val="20"/>
          <w:color w:val="auto"/>
        </w:rPr>
      </w:pPr>
      <w:r>
        <w:rPr>
          <w:rFonts w:ascii="Arial" w:cs="Arial" w:eastAsia="Arial" w:hAnsi="Arial"/>
          <w:sz w:val="18"/>
          <w:szCs w:val="18"/>
          <w:color w:val="auto"/>
        </w:rPr>
        <w:t>At September 30, 2013, goodwill totaled $315.1 million, with $183.1 million and $132.0 million of goodwill for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segments, respectively. No goodwill impairment was recognized as a result of the annual evaluation performed as of June 30, 2013. The estimated fair value of each reporting unit was substantially in excess of its carrying value as of the annual test date. If we were to alter our impairment testing by increasing the discount rate in the discounted cash flow analysis by 100 basis points, there still would not be any impairment indicated for any of these reporting units. At September 30, 2013, indefinite-lived intangible assets comprised of tradenames totaled $222.3 million. With the exception of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tradename, each of these tradenames had an estimated fair value substantially in excess of its carrying value as of the annual test date. As a result of the Company's annual impairment review performed in the fourth quarter of fiscal 2013, the Company recognized an impairment charge for a non-recurring fair value adjustment of $11.6 million within the Global Consumer segment related to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and certain sub-brands of Ortho</w:t>
      </w:r>
      <w:r>
        <w:rPr>
          <w:rFonts w:ascii="Arial" w:cs="Arial" w:eastAsia="Arial" w:hAnsi="Arial"/>
          <w:sz w:val="25"/>
          <w:szCs w:val="25"/>
          <w:color w:val="auto"/>
          <w:vertAlign w:val="superscript"/>
        </w:rPr>
        <w:t>®</w:t>
      </w:r>
      <w:r>
        <w:rPr>
          <w:rFonts w:ascii="Arial" w:cs="Arial" w:eastAsia="Arial" w:hAnsi="Arial"/>
          <w:sz w:val="18"/>
          <w:szCs w:val="18"/>
          <w:color w:val="auto"/>
        </w:rPr>
        <w:t>. The fair value was calculated based upon the evaluation of the historical performance and future growth of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If we were to increase the discount rate in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fair value calculation by 100 basis points, the resulting non-recurring fair value adjustment would have increased by approximately $14.7 million.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Associate Benefits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sponsor various post-employment benefit plans, including pension plans, both defined contribution plans and defined benefit plans, and other post-employment benefit (“OPEB”) plans, consisting primarily of health care for retirees. For accounting purposes, the defined benefit pension and OPEB plans are dependent on a variety of assumptions to estimate the projected and accumulated benefit obligations and annual expense determined by actuarial valuations. These assumptions include the following: discount rate; expected salary increases; certain employee-related factors, such as turnover, retirement age and mortality; expected return on plan assets; and health care cost trend rates.</w:t>
      </w:r>
    </w:p>
    <w:p>
      <w:pPr>
        <w:spacing w:after="0" w:line="13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Assumptions are reviewed annually for appropriateness and updated as necessary. We base the discount rate assumption on investment yields available at fiscal year-end on high-quality corporate bonds that could be purchased to effectively settle the pension liabilities. The salary growth assumption reflects our long-term actual experience, the near-term outlook and assumed inflation. The expected return on plan assets assumption reflects asset allocation, investment strategy and the views of investment managers regarding the market. Retirement and mortality rates are based primarily on actual and expected plan experience. The effects of actual results that differ from our assumptions are accumulated and amortized over future periods.</w:t>
      </w:r>
    </w:p>
    <w:p>
      <w:pPr>
        <w:spacing w:after="0" w:line="10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Changes in the discount rate and investment returns can have a significant effect on the funded status of our pension plans and shareholders’ equity. We cannot predict discount rates or investment returns with certainty and, therefore, cannot determine whether adjustments to our shareholders’ equity for pension-related activity in subsequent years will be significant. We also cannot predict future investment returns, and therefore cannot determine whether future pension plan funding requirements could materially affect our financial condition, results of operations or cash flows. A 100 basis point change in the discount rate would have an immaterial effect on fiscal 2013 pension expense. A 100 basis point change in the discount rate would have a $41.7 million change in our projected benefit obligation as of September 30, 2013.</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Insurance and Self-Insurance</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maintain insurance for certain risks, including workers’ compensation, general liability and vehicle liability, and are self-insured for employee-related health care benefits up to a specified level for individual claims. We establish reserves for losses based on our claims experience and industry actuarial estimates of the ultimate loss amount inherent in the claims, including losses for claims incurred but not reported. Our estimate of self-insured liabilities is subject to change as new events or circumstances develop which might materially impact the ultimate cost to settle these losses.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9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the normal course of business, we are exposed to fluctuations in interest rates, the value of foreign currencies and the cost of commodities. A variety of financial instruments, including forward and swap contracts, are used to manage these exposures. Our objective in managing these exposures is to better control these elements of cost and mitigate the earnings and cash flow volatility associated with changes in the applicable rates and prices. We have established policies and procedures that encompass risk-management philosophy and objectives, guidelines for derivative-instrument usage, counterparty credit approval, and the monitoring and reporting of derivative activity. We do not enter into derivative instruments for the purpose of speculation.</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described more fully in “NOTE 18. CONTINGENCIES” of the Notes to Consolidated Financial Statements included in this Annual Report on Form 10-K, we are involved in environmental and legal matters which have a high degree of uncertainty associated with them. We continually assess the likely outcome of these matters and the adequacy of reserves, if any, provided for their resolution. There can be no assurance that the ultimate outcomes of these matters will not differ materially from our current assessment of them, nor that all matters that may currently be brought against us are known by us at this time.</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Significant Accounting Policies</w:t>
      </w:r>
    </w:p>
    <w:p>
      <w:pPr>
        <w:spacing w:after="0" w:line="9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Other significant accounting policies, primarily those with lower levels of uncertainty than those discussed above, are also critical to understanding the consolidated financial statements. The Notes to Consolidated Financial Statements included in this Annual Report on Form 10-K contain additional information related to our accounting policies, including recent accounting pronouncements, and should be read in conjunction with this discussion.</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7A.</w:t>
      </w:r>
      <w:r>
        <w:rPr>
          <w:sz w:val="20"/>
          <w:szCs w:val="20"/>
          <w:color w:val="auto"/>
        </w:rPr>
        <w:tab/>
      </w:r>
      <w:r>
        <w:rPr>
          <w:rFonts w:ascii="Arial" w:cs="Arial" w:eastAsia="Arial" w:hAnsi="Arial"/>
          <w:sz w:val="17"/>
          <w:szCs w:val="17"/>
          <w:b w:val="1"/>
          <w:bCs w:val="1"/>
          <w:i w:val="1"/>
          <w:iCs w:val="1"/>
          <w:u w:val="single" w:color="auto"/>
          <w:color w:val="auto"/>
        </w:rPr>
        <w:t>QUANTITATIVE AND QUALITATIVE DISCLOSURES ABOUT MARKET RISK</w:t>
      </w:r>
    </w:p>
    <w:p>
      <w:pPr>
        <w:spacing w:after="0" w:line="256"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As part of our ongoing business, we are exposed to certain market risks, including fluctuations in interest rates, foreign currency exchange rates and commodity prices. Financial derivative and other instruments are used to manage these risks. These instruments are not used for speculative purposes.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had variable rate debt instruments outstanding at September 30, 2013 and September 30, 2012 that are impacted by changes in interest rates. As a means of managing our interest rate risk on these debt instruments, we entered into interest rate swap agreements with major financial institutions to effectively fix the LIBOR index on certain variable-rate debt obligations.</w:t>
      </w:r>
    </w:p>
    <w:p>
      <w:pPr>
        <w:spacing w:after="0" w:line="12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At September 30, 2013 and September 30, 2012, we had outstanding interest rate swap agreements with a total U.S. dollar equivalent notional value of $1,100.0 million and $700.0 million, respectively. The weighted average fixed rate of swap agreements outstanding at September 30, 2013 was 2.7%.</w:t>
      </w:r>
    </w:p>
    <w:p>
      <w:pPr>
        <w:spacing w:after="0" w:line="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following table summarizes information about our derivative financial instruments and debt instruments that are sensitive to changes in interest rates as of September 30, 2013 and September 30, 2012. For debt instruments, the table presents principal cash flows and related weighted-average interest rates by expected maturity dates. For interest rate swap agreements, the table presents expected cash flows based on notional amounts and weighted-average interest rates by contractual maturity dates. Weighted-average variable rates are based on rates in effect at September 30, 2013 and September 30, 2012. A change in our variable interest rate of 100 basis points for a full twelve-month period would have a $2.5 million impact on interest expense assuming approximately $250 million of our average fiscal 2013 variable-rate debt had not been hedged via an interest rate swap agreement. The information is presented in U.S. dollars (in millions):</w:t>
      </w:r>
    </w:p>
    <w:p>
      <w:pPr>
        <w:spacing w:after="0" w:line="373" w:lineRule="exact"/>
        <w:rPr>
          <w:sz w:val="20"/>
          <w:szCs w:val="20"/>
          <w:color w:val="auto"/>
        </w:rPr>
      </w:pPr>
    </w:p>
    <w:p>
      <w:pPr>
        <w:ind w:left="5480"/>
        <w:spacing w:after="0"/>
        <w:rPr>
          <w:sz w:val="20"/>
          <w:szCs w:val="20"/>
          <w:color w:val="auto"/>
        </w:rPr>
      </w:pPr>
      <w:r>
        <w:rPr>
          <w:rFonts w:ascii="Arial" w:cs="Arial" w:eastAsia="Arial" w:hAnsi="Arial"/>
          <w:sz w:val="14"/>
          <w:szCs w:val="14"/>
          <w:b w:val="1"/>
          <w:bCs w:val="1"/>
          <w:color w:val="auto"/>
        </w:rPr>
        <w:t>Expected Maturity Date</w:t>
      </w:r>
    </w:p>
    <w:tbl>
      <w:tblPr>
        <w:tblLayout w:type="fixed"/>
        <w:tblInd w:w="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7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vMerge w:val="restart"/>
          </w:tcPr>
          <w:p>
            <w:pPr>
              <w:jc w:val="center"/>
              <w:ind w:right="114"/>
              <w:spacing w:after="0" w:line="13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65"/>
        </w:trPr>
        <w:tc>
          <w:tcPr>
            <w:tcW w:w="3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After</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30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center"/>
              <w:ind w:right="114"/>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60" w:type="dxa"/>
            <w:vAlign w:val="bottom"/>
          </w:tcPr>
          <w:p>
            <w:pPr>
              <w:ind w:left="60"/>
              <w:spacing w:after="0"/>
              <w:rPr>
                <w:sz w:val="20"/>
                <w:szCs w:val="20"/>
                <w:color w:val="auto"/>
              </w:rPr>
            </w:pPr>
            <w:r>
              <w:rPr>
                <w:rFonts w:ascii="Arial" w:cs="Arial" w:eastAsia="Arial" w:hAnsi="Arial"/>
                <w:sz w:val="18"/>
                <w:szCs w:val="18"/>
                <w:color w:val="auto"/>
              </w:rPr>
              <w:t>Fixed rate debt</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21"/>
                <w:szCs w:val="21"/>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21"/>
                <w:szCs w:val="21"/>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523.0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Average rate</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97"/>
              </w:rPr>
              <w:t>7.3%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60" w:type="dxa"/>
            <w:vAlign w:val="bottom"/>
          </w:tcPr>
          <w:p>
            <w:pPr>
              <w:ind w:left="60"/>
              <w:spacing w:after="0"/>
              <w:rPr>
                <w:sz w:val="20"/>
                <w:szCs w:val="20"/>
                <w:color w:val="auto"/>
              </w:rPr>
            </w:pPr>
            <w:r>
              <w:rPr>
                <w:rFonts w:ascii="Arial" w:cs="Arial" w:eastAsia="Arial" w:hAnsi="Arial"/>
                <w:sz w:val="18"/>
                <w:szCs w:val="18"/>
                <w:color w:val="auto"/>
              </w:rPr>
              <w:t>Variable rate debt</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73.0</w:t>
            </w:r>
          </w:p>
        </w:tc>
        <w:tc>
          <w:tcPr>
            <w:tcW w:w="80" w:type="dxa"/>
            <w:vAlign w:val="bottom"/>
          </w:tcPr>
          <w:p>
            <w:pPr>
              <w:spacing w:after="0"/>
              <w:rPr>
                <w:sz w:val="21"/>
                <w:szCs w:val="21"/>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158.3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Average rate</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gridSpan w:val="3"/>
          </w:tcPr>
          <w:p>
            <w:pPr>
              <w:ind w:left="40"/>
              <w:spacing w:after="0"/>
              <w:rPr>
                <w:sz w:val="20"/>
                <w:szCs w:val="20"/>
                <w:color w:val="auto"/>
              </w:rPr>
            </w:pPr>
            <w:r>
              <w:rPr>
                <w:rFonts w:ascii="Arial" w:cs="Arial" w:eastAsia="Arial" w:hAnsi="Arial"/>
                <w:sz w:val="18"/>
                <w:szCs w:val="18"/>
                <w:color w:val="auto"/>
              </w:rPr>
              <w:t>Interest rate derivatives: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3.7</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60" w:type="dxa"/>
            <w:vAlign w:val="bottom"/>
          </w:tcPr>
          <w:p>
            <w:pPr>
              <w:ind w:left="60"/>
              <w:spacing w:after="0"/>
              <w:rPr>
                <w:sz w:val="20"/>
                <w:szCs w:val="20"/>
                <w:color w:val="auto"/>
              </w:rPr>
            </w:pPr>
            <w:r>
              <w:rPr>
                <w:rFonts w:ascii="Arial" w:cs="Arial" w:eastAsia="Arial" w:hAnsi="Arial"/>
                <w:sz w:val="18"/>
                <w:szCs w:val="18"/>
                <w:color w:val="auto"/>
              </w:rPr>
              <w:t>Average rate</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gridSpan w:val="2"/>
          </w:tcPr>
          <w:p>
            <w:pPr>
              <w:ind w:left="340"/>
              <w:spacing w:after="0"/>
              <w:rPr>
                <w:sz w:val="20"/>
                <w:szCs w:val="20"/>
                <w:color w:val="auto"/>
              </w:rPr>
            </w:pPr>
            <w:r>
              <w:rPr>
                <w:rFonts w:ascii="Arial" w:cs="Arial" w:eastAsia="Arial" w:hAnsi="Arial"/>
                <w:sz w:val="18"/>
                <w:szCs w:val="18"/>
                <w:color w:val="auto"/>
                <w:w w:val="97"/>
              </w:rPr>
              <w:t>2.1%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42"/>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w w:val="95"/>
              </w:rPr>
              <w:t>Expected Maturity Date</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3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After</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0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center"/>
              <w:ind w:right="114"/>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60" w:type="dxa"/>
            <w:vAlign w:val="bottom"/>
          </w:tcPr>
          <w:p>
            <w:pPr>
              <w:ind w:left="60"/>
              <w:spacing w:after="0"/>
              <w:rPr>
                <w:sz w:val="20"/>
                <w:szCs w:val="20"/>
                <w:color w:val="auto"/>
              </w:rPr>
            </w:pPr>
            <w:r>
              <w:rPr>
                <w:rFonts w:ascii="Arial" w:cs="Arial" w:eastAsia="Arial" w:hAnsi="Arial"/>
                <w:sz w:val="18"/>
                <w:szCs w:val="18"/>
                <w:color w:val="auto"/>
              </w:rPr>
              <w:t>Fixed rate debt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21"/>
                <w:szCs w:val="21"/>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429.5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Average rate</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60" w:type="dxa"/>
            <w:vAlign w:val="bottom"/>
          </w:tcPr>
          <w:p>
            <w:pPr>
              <w:ind w:left="60"/>
              <w:spacing w:after="0"/>
              <w:rPr>
                <w:sz w:val="20"/>
                <w:szCs w:val="20"/>
                <w:color w:val="auto"/>
              </w:rPr>
            </w:pPr>
            <w:r>
              <w:rPr>
                <w:rFonts w:ascii="Arial" w:cs="Arial" w:eastAsia="Arial" w:hAnsi="Arial"/>
                <w:sz w:val="18"/>
                <w:szCs w:val="18"/>
                <w:color w:val="auto"/>
              </w:rPr>
              <w:t>Variable rate debt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3"/>
              <w:spacing w:after="0"/>
              <w:rPr>
                <w:sz w:val="20"/>
                <w:szCs w:val="20"/>
                <w:color w:val="auto"/>
              </w:rPr>
            </w:pPr>
            <w:r>
              <w:rPr>
                <w:rFonts w:ascii="Arial" w:cs="Arial" w:eastAsia="Arial" w:hAnsi="Arial"/>
                <w:sz w:val="18"/>
                <w:szCs w:val="18"/>
                <w:color w:val="auto"/>
              </w:rPr>
              <w:t>377.1</w:t>
            </w:r>
          </w:p>
        </w:tc>
        <w:tc>
          <w:tcPr>
            <w:tcW w:w="40" w:type="dxa"/>
            <w:vAlign w:val="bottom"/>
          </w:tcPr>
          <w:p>
            <w:pPr>
              <w:spacing w:after="0"/>
              <w:rPr>
                <w:sz w:val="21"/>
                <w:szCs w:val="21"/>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377.1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377.1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Average rate</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gridSpan w:val="3"/>
          </w:tcPr>
          <w:p>
            <w:pPr>
              <w:ind w:left="40"/>
              <w:spacing w:after="0"/>
              <w:rPr>
                <w:sz w:val="20"/>
                <w:szCs w:val="20"/>
                <w:color w:val="auto"/>
              </w:rPr>
            </w:pPr>
            <w:r>
              <w:rPr>
                <w:rFonts w:ascii="Arial" w:cs="Arial" w:eastAsia="Arial" w:hAnsi="Arial"/>
                <w:sz w:val="18"/>
                <w:szCs w:val="18"/>
                <w:color w:val="auto"/>
              </w:rPr>
              <w:t>Interest rate derivatives: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(24.9)</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60" w:type="dxa"/>
            <w:vAlign w:val="bottom"/>
          </w:tcPr>
          <w:p>
            <w:pPr>
              <w:ind w:left="60"/>
              <w:spacing w:after="0"/>
              <w:rPr>
                <w:sz w:val="20"/>
                <w:szCs w:val="20"/>
                <w:color w:val="auto"/>
              </w:rPr>
            </w:pPr>
            <w:r>
              <w:rPr>
                <w:rFonts w:ascii="Arial" w:cs="Arial" w:eastAsia="Arial" w:hAnsi="Arial"/>
                <w:sz w:val="18"/>
                <w:szCs w:val="18"/>
                <w:color w:val="auto"/>
              </w:rPr>
              <w:t>Average rate</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Excluded from the information provided above are $12.2 million and $5.5 million at September 30, 2013 and September 30, 2012, respectively, of miscellaneous debt instruments.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Risks</w:t>
      </w:r>
    </w:p>
    <w:p>
      <w:pPr>
        <w:spacing w:after="0" w:line="9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Through fiscal 2013, we had transactions that were denominated in currencies other than the currency of the country of origin. We use foreign currency swap contracts to manage the exchange rate risk associated with intercompany loans with foreign subsidiaries that are denominated in local currencies. At September 30, 2013, the notional amount of outstanding foreign currency swap contracts was $80.4 million with a negative fair value of $2.1 million. At September 30, 2012, the notional amount of outstanding foreign currency swap contracts was $61.8 million with a negative fair value of $1.0 million.</w:t>
      </w:r>
    </w:p>
    <w:p>
      <w:pPr>
        <w:spacing w:after="0" w:line="10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are subject to market risk from fluctuating prices of certain raw materials, including urea, resins, diesel, gasoline, sphagnum peat, grass seed and wild bird food grains. Our objectives surrounding the procurement of these materials are to ensure continuous supply and to control costs. We seek to achieve these objectives through negotiation of contracts with favorable terms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directly with vendors. In addition, we entered into arrangements to partially mitigate the effect of fluctuating direct and indirect fuel costs on our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businesses and hedged a portion of our fuel and urea needs for fiscal 2013 and fiscal 2012. We had outstanding derivative contracts for approximately 7,098,000 gallons of fuel with a negative fair value of $0.3 million at September 30, 2013. We had outstanding derivative contracts for approximately 11,984,000 gallons of fuel with a fair value of $1.2 million at September 30, 2012. We also had outstanding derivative contracts for 49,500 and 34,500 aggregate tons of urea at September 30, 2013 and September 30, 2012, respectively. The outstanding derivative contracts for 49,500 aggregate tons at September 30, 2013 had a negative fair value of $2.0 million, while the fair value of the outstanding derivative contracts for 34,500 aggregate tons at September 30, 2012 was $0.8 million.</w:t>
      </w:r>
    </w:p>
    <w:p>
      <w:pPr>
        <w:spacing w:after="0" w:line="3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8.</w:t>
      </w:r>
      <w:r>
        <w:rPr>
          <w:sz w:val="20"/>
          <w:szCs w:val="20"/>
          <w:color w:val="auto"/>
        </w:rPr>
        <w:tab/>
      </w:r>
      <w:r>
        <w:rPr>
          <w:rFonts w:ascii="Arial" w:cs="Arial" w:eastAsia="Arial" w:hAnsi="Arial"/>
          <w:sz w:val="17"/>
          <w:szCs w:val="17"/>
          <w:b w:val="1"/>
          <w:bCs w:val="1"/>
          <w:i w:val="1"/>
          <w:iCs w:val="1"/>
          <w:u w:val="single" w:color="auto"/>
          <w:color w:val="auto"/>
        </w:rPr>
        <w:t>FINANCIAL STATEMENTS AND SUPPLEMENTARY DATA</w:t>
      </w:r>
    </w:p>
    <w:p>
      <w:pPr>
        <w:spacing w:after="0" w:line="2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financial statements and other information required by this Item are contained in the Consolidated Financial Statements, Notes to Consolidated Financial Statements and Schedules Supporting the Consolidated Financial Statements listed in the “Index to Consolidated Financial Statements and Financial Statement Schedules” on page 46 of this Annual Report on Form 10-K.</w:t>
      </w:r>
    </w:p>
    <w:p>
      <w:pPr>
        <w:spacing w:after="0" w:line="3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9.</w:t>
      </w:r>
      <w:r>
        <w:rPr>
          <w:sz w:val="20"/>
          <w:szCs w:val="20"/>
          <w:color w:val="auto"/>
        </w:rPr>
        <w:tab/>
      </w:r>
      <w:r>
        <w:rPr>
          <w:rFonts w:ascii="Arial" w:cs="Arial" w:eastAsia="Arial" w:hAnsi="Arial"/>
          <w:sz w:val="17"/>
          <w:szCs w:val="17"/>
          <w:b w:val="1"/>
          <w:bCs w:val="1"/>
          <w:i w:val="1"/>
          <w:iCs w:val="1"/>
          <w:u w:val="single" w:color="auto"/>
          <w:color w:val="auto"/>
        </w:rPr>
        <w:t>CHANGES IN AND DISAGREEMENTS WITH ACCOUNTANTS ON ACCOUNTING AND FINANCIAL DISCLOSURE</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9A.</w:t>
      </w:r>
      <w:r>
        <w:rPr>
          <w:sz w:val="20"/>
          <w:szCs w:val="20"/>
          <w:color w:val="auto"/>
        </w:rPr>
        <w:tab/>
      </w:r>
      <w:r>
        <w:rPr>
          <w:rFonts w:ascii="Arial" w:cs="Arial" w:eastAsia="Arial" w:hAnsi="Arial"/>
          <w:sz w:val="17"/>
          <w:szCs w:val="17"/>
          <w:b w:val="1"/>
          <w:bCs w:val="1"/>
          <w:i w:val="1"/>
          <w:iCs w:val="1"/>
          <w:u w:val="single" w:color="auto"/>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With the participation of the principal executive officer and the principal financial officer of The Scotts Miracle-Gro Company (the “Registrant”), the Registrant’s management has evaluated the effectiveness of the Registrant’s disclosure controls and procedures (as defined in Rule 13a-15(e) under the Securities Exchange Act of 1934 (the “Exchange Act”)), as of the end of the fiscal year covered by this Annual Report on Form 10-K. Based upon that evaluation, the Registrant’s principal executive officer and principal financial officer have concluded that the Registrant’s disclosure controls and procedures were effective as of the end of the fiscal year covered by this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“Annual Report of Management on Internal Control Over Financial Reporting” required by Item 308(a) of SEC Regulation S-K is included on page 47 of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Independent Registered Public Accounting Firm</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“Report of Independent Registered Public Accounting Firm” required by Item 308(b) of SEC Regulation S-K is included on page 48 of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No changes in the Registrant’s internal control over financial reporting (as defined in Rule 13a-15(f) under the Exchange Act) occurred during the Registrant’s fiscal quarter ended September 30, 2013, that have materially affected, or are reasonably likely to materially affect, the Registrant’s internal control over financial reporting.</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9B.</w:t>
      </w:r>
      <w:r>
        <w:rPr>
          <w:sz w:val="20"/>
          <w:szCs w:val="20"/>
          <w:color w:val="auto"/>
        </w:rPr>
        <w:tab/>
      </w:r>
      <w:r>
        <w:rPr>
          <w:rFonts w:ascii="Arial" w:cs="Arial" w:eastAsia="Arial" w:hAnsi="Arial"/>
          <w:sz w:val="17"/>
          <w:szCs w:val="17"/>
          <w:b w:val="1"/>
          <w:bCs w:val="1"/>
          <w:i w:val="1"/>
          <w:iCs w:val="1"/>
          <w:u w:val="single" w:color="auto"/>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10.</w:t>
      </w:r>
      <w:r>
        <w:rPr>
          <w:sz w:val="20"/>
          <w:szCs w:val="20"/>
          <w:color w:val="auto"/>
        </w:rPr>
        <w:tab/>
      </w:r>
      <w:r>
        <w:rPr>
          <w:rFonts w:ascii="Arial" w:cs="Arial" w:eastAsia="Arial" w:hAnsi="Arial"/>
          <w:sz w:val="17"/>
          <w:szCs w:val="17"/>
          <w:b w:val="1"/>
          <w:bCs w:val="1"/>
          <w:i w:val="1"/>
          <w:iCs w:val="1"/>
          <w:u w:val="single" w:color="auto"/>
          <w:color w:val="auto"/>
        </w:rPr>
        <w:t>DIRECTORS, EXECUTIVE OFFICERS AND 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Executive Officers and Persons Nominated or Chosen to Become Directors or Executive Officers</w:t>
      </w:r>
    </w:p>
    <w:p>
      <w:pPr>
        <w:spacing w:after="0" w:line="9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information required by Item 401 of SEC Regulation S-K concerning the directors of Scotts Miracle-Gro and the nominees for election or re-election as directors of Scotts Miracle-Gro at the Annual Meeting of Shareholders to be held on January 30, 2014 (the “2014 Annual Meeting”) is incorporated herein by reference from the disclosure which will be included under the caption “PROPOSAL NUMBER 1 — ELECTION OF DIRECTORS” in Scotts Miracle-Gro’s definitive Proxy Statement relating to the 2014 Annual Meeting (“Scotts Miracle-Gro’s Definitive Proxy Statement”), which will be filed pursuant to SEC Regulation 14A not later than 120 days after the end of Scotts Miracle-Gro’s fiscal year ended September 30, 2013.</w:t>
      </w:r>
    </w:p>
    <w:p>
      <w:pPr>
        <w:spacing w:after="0" w:line="10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Item 401 of SEC Regulation S-K concerning the executive officers of Scotts Miracle-Gro is incorporated herein by reference from the disclosure included under the caption “SUPPLEMENTAL ITEM. EXECUTIVE OFFICERS OF THE REGISTRANT” in Part I of this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16(a) of the Securities Exchange Act of 1934</w:t>
      </w:r>
    </w:p>
    <w:p>
      <w:pPr>
        <w:spacing w:after="0" w:line="9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information required by Item 405 of SEC Regulation S-K is incorporated herein by reference from the disclosure which will be included under the caption “SECTION 16(a) BENEFICIAL OWNERSHIP REPORTING COMPLIANCE” in Scotts Miracle-Gro’s Definitive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Recommending Director Nominees</w:t>
      </w:r>
    </w:p>
    <w:p>
      <w:pPr>
        <w:spacing w:after="0" w:line="9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Information concerning the procedures by which shareholders of Scotts Miracle-Gro may recommend nominees to Scotts Miracle-Gro’s Board of Directors is incorporated herein by reference from the disclosures which will be included under the captions “CORPORATE GOVERNANCE — Nominations of Directors” and “MEETINGS AND COMMITTEES OF THE BOARD — Committees of the Board — Governance and Nominating Committee” in Scotts Miracle-Gro’s Definitive Proxy Statement. These procedures have not materially changed from those described in Scotts Miracle-Gro’s definitive Proxy Statement for the 2013 Annual Meeting of Shareholders held on January 17, 2013.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Finance Committee</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Items 407(d)(4) and 407(d)(5) of SEC Regulation S-K is incorporated herein by reference from the disclosure which will be included under the caption “MEETINGS AND COMMITTEES OF THE BOARD — Committees of the Board — Audit and Finance Committee” in Scotts Miracle-Gro’s Definitive Proxy Statement.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Charters; Code of Business Conduct and Ethics; Corporate Governance Guidelines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Board of Directors of Scotts Miracle-Gro has adopted charters for each of the Audit and Finance Committee, the Governance and Nominating Committee, the Compensation and Organization Committee, the Innovation and Technology Committee and the Strategy and Business Development Committee, as well as Corporate Governance Guidelines, as contemplated by the applicable sections of the New York Stock Exchange Listed Company Manual.</w:t>
      </w:r>
    </w:p>
    <w:p>
      <w:pPr>
        <w:spacing w:after="0" w:line="133"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In accordance with the requirements of Section 303A.10 of the New York Stock Exchange Listed Company Manual and Item 406 of SEC Regulation S-K, the Board of Directors of Scotts Miracle-Gro has adopted a Code of Business Conduct and Ethics covering the members of Scotts Miracle-Gro’s Board of Directors and associates (employees) of Scotts Miracle-Gro and its subsidiaries, including, without limitation, Scotts Miracle-Gro’s principal executive officer, principal financial officer and principal accounting officer. Scotts Miracle-Gro intends to disclose the following events, if they occur, on its Internet website located at http://investor.scotts.com within four business days following their occurrence: (A) the date and nature of any amendment to a provision of Scotts Miracle-Gro’s Code of Business Conduct and Ethics that (i) applies to Scotts Miracle-Gro’s principal executive officer, principal financial officer, principal accounting officer or controller, or persons performing similar functions, (ii) relates to any element of the code of ethics definition enumerated in Item 406(b) of SEC Regulation S-K, and (iii) is not a technical, administrative or other non-substantive amendment; and (B) a description of any waiver (including the nature of the waiver, the name of the person to whom the waiver was granted and the date of the waiver), including an implicit waiver, from a provision of the Code of Business Conduct and Ethics granted to Scotts Miracle-Gro’s principal executive officer, principal financial officer, principal accounting officer or controller, or persons performing similar functions, that relates to one or more of the elements of the code of ethics definition enumerated in Item 406(b) of SEC Regulation S-K.</w:t>
      </w:r>
    </w:p>
    <w:p>
      <w:pPr>
        <w:spacing w:after="0" w:line="12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text of Scotts Miracle-Gro’s Code of Business Conduct and Ethics, Scotts Miracle-Gro’s Corporate Governance Guidelines, the Audit and Finance Committee charter, the Governance and Nominating Committee charter, the Compensation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Organization Committee charter, the Innovation and Technology Committee charter and the Strategy and Business Development Committee charter are posted under the “Corporate Governance” link on Scotts Miracle-Gro’s Internet website located at http://investor.scotts.com. Interested persons and shareholders of Scotts Miracle-Gro may also obtain copies of each of these documents without charge by writing to The Scotts Miracle-Gro Company, Attention: Corporate Secretary, 14111 Scottslawn Road, Marysville, Ohio 43041. In addition, a copy of the Code of Business Conduct and Ethics, as revised effective January 18, 2012, is incorporated by reference in Exhibit 14 to this Annual Report on Form 10-K.</w:t>
      </w:r>
    </w:p>
    <w:p>
      <w:pPr>
        <w:spacing w:after="0" w:line="3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11.</w:t>
      </w:r>
      <w:r>
        <w:rPr>
          <w:sz w:val="20"/>
          <w:szCs w:val="20"/>
          <w:color w:val="auto"/>
        </w:rPr>
        <w:tab/>
      </w:r>
      <w:r>
        <w:rPr>
          <w:rFonts w:ascii="Arial" w:cs="Arial" w:eastAsia="Arial" w:hAnsi="Arial"/>
          <w:sz w:val="17"/>
          <w:szCs w:val="17"/>
          <w:b w:val="1"/>
          <w:bCs w:val="1"/>
          <w:i w:val="1"/>
          <w:iCs w:val="1"/>
          <w:u w:val="single" w:color="auto"/>
          <w:color w:val="auto"/>
        </w:rPr>
        <w:t>EXECUTIVE COMPENSATION</w:t>
      </w:r>
    </w:p>
    <w:p>
      <w:pPr>
        <w:spacing w:after="0" w:line="256"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The information required by Item 402 of SEC Regulation S-K is incorporated herein by reference from the disclosures which will be included under the captions “EXECUTIVE COMPENSATION” and “NON-EMPLOYEE DIRECTOR COMPENSATION” in Scotts Miracle-Gro’s Definitive Proxy Statement.</w:t>
      </w:r>
    </w:p>
    <w:p>
      <w:pPr>
        <w:spacing w:after="0" w:line="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Item 407(e)(4) of SEC Regulation S-K is incorporated herein by reference from the disclosure which will be included under the caption “MEETINGS AND COMMITTEES OF THE BOARD — Compensation and Organization Committee Interlocks and Insider Participation” in Scotts Miracle-Gro’s Definitive Proxy Statement.</w:t>
      </w:r>
    </w:p>
    <w:p>
      <w:pPr>
        <w:spacing w:after="0" w:line="12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information required by Item 407(e)(5) of SEC Regulation S-K is incorporated herein by reference from the disclosure which will be included under the caption “COMPENSATION COMMITTEE REPORT” in Scotts Miracle-Gro’s Definitive Proxy Statement.</w:t>
      </w:r>
    </w:p>
    <w:p>
      <w:pPr>
        <w:spacing w:after="0" w:line="3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12.</w:t>
      </w:r>
      <w:r>
        <w:rPr>
          <w:sz w:val="20"/>
          <w:szCs w:val="20"/>
          <w:color w:val="auto"/>
        </w:rPr>
        <w:tab/>
      </w:r>
      <w:r>
        <w:rPr>
          <w:rFonts w:ascii="Arial" w:cs="Arial" w:eastAsia="Arial" w:hAnsi="Arial"/>
          <w:sz w:val="17"/>
          <w:szCs w:val="17"/>
          <w:b w:val="1"/>
          <w:bCs w:val="1"/>
          <w:i w:val="1"/>
          <w:iCs w:val="1"/>
          <w:u w:val="single" w:color="auto"/>
          <w:color w:val="auto"/>
        </w:rPr>
        <w:t>SECURITY OWNERSHIP OF CERTAIN BENEFICIAL OWNERS AND MANAGEMENT AND RELATED STOCKHOLDER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Common Shares of Scotts Miracle-Gro</w:t>
      </w:r>
    </w:p>
    <w:p>
      <w:pPr>
        <w:spacing w:after="0" w:line="9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information required by Item 403 of SEC Regulation S-K is incorporated herein by reference from the disclosure which will be included under the caption “SECURITY OWNERSHIP OF CERTAIN BENEFICIAL OWNERS AND MANAGEMENT” in Scotts Miracle-Gro’s Definitive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information required by Item 201(d) of SEC Regulation S-K is incorporated herein by reference from the disclosure which will be included under the caption “EQUITY COMPENSATION PLAN INFORMATION” in Scotts Miracle-Gro’s Definitive Proxy Statement.</w:t>
      </w:r>
    </w:p>
    <w:p>
      <w:pPr>
        <w:spacing w:after="0" w:line="3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13.</w:t>
      </w:r>
      <w:r>
        <w:rPr>
          <w:sz w:val="20"/>
          <w:szCs w:val="20"/>
          <w:color w:val="auto"/>
        </w:rPr>
        <w:tab/>
      </w:r>
      <w:r>
        <w:rPr>
          <w:rFonts w:ascii="Arial" w:cs="Arial" w:eastAsia="Arial" w:hAnsi="Arial"/>
          <w:sz w:val="17"/>
          <w:szCs w:val="17"/>
          <w:b w:val="1"/>
          <w:bCs w:val="1"/>
          <w:i w:val="1"/>
          <w:iCs w:val="1"/>
          <w:u w:val="single" w:color="auto"/>
          <w:color w:val="auto"/>
        </w:rPr>
        <w:t>CERTAIN RELATIONSHIPS AND RELATED TRANSACTIONS, AND DIRECTOR INDEPENDENCE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94"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The information required by Item 404 of SEC Regulation S-K is incorporated herein by reference from the disclosures which will be included under the caption “CERTAIN RELATIONSHIPS AND RELATED TRANSACTIONS” in Scotts Miracle-Gro’s Definitive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Item 407(a) of SEC Regulation S-K is incorporated herein by reference from the disclosures which will be included under the captions “CORPORATE GOVERNANCE — Director Independence” and “MEETINGS AND COMMITTEES OF THE BOARD” in Scotts Miracle-Gro’s Definitive Proxy Statement.</w:t>
      </w:r>
    </w:p>
    <w:p>
      <w:pPr>
        <w:spacing w:after="0" w:line="3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14.</w:t>
      </w:r>
      <w:r>
        <w:rPr>
          <w:sz w:val="20"/>
          <w:szCs w:val="20"/>
          <w:color w:val="auto"/>
        </w:rPr>
        <w:tab/>
      </w:r>
      <w:r>
        <w:rPr>
          <w:rFonts w:ascii="Arial" w:cs="Arial" w:eastAsia="Arial" w:hAnsi="Arial"/>
          <w:sz w:val="17"/>
          <w:szCs w:val="17"/>
          <w:b w:val="1"/>
          <w:bCs w:val="1"/>
          <w:i w:val="1"/>
          <w:iCs w:val="1"/>
          <w:u w:val="single" w:color="auto"/>
          <w:color w:val="auto"/>
        </w:rPr>
        <w:t>PRINCIPAL ACCOUNTING FEES AND SERVICES</w:t>
      </w:r>
    </w:p>
    <w:p>
      <w:pPr>
        <w:spacing w:after="0" w:line="25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information required by this Item 14 is incorporated herein by reference from the disclosures which will be included under the captions “AUDIT AND FINANCE COMMITTEE MATTERS — Fees of the Independent Registered Public Accounting Firm” and “AUDIT AND FINANCE COMMITTEE MATTERS — Pre-Approval of Services Performed by the Independent Registered Public Accounting Firm” in Scotts Miracle-Gro’s Definitive Proxy Statement.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15.</w:t>
      </w:r>
      <w:r>
        <w:rPr>
          <w:sz w:val="20"/>
          <w:szCs w:val="20"/>
          <w:color w:val="auto"/>
        </w:rPr>
        <w:tab/>
      </w:r>
      <w:r>
        <w:rPr>
          <w:rFonts w:ascii="Arial" w:cs="Arial" w:eastAsia="Arial" w:hAnsi="Arial"/>
          <w:sz w:val="17"/>
          <w:szCs w:val="17"/>
          <w:b w:val="1"/>
          <w:bCs w:val="1"/>
          <w:i w:val="1"/>
          <w:iCs w:val="1"/>
          <w:u w:val="single" w:color="auto"/>
          <w:color w:val="auto"/>
        </w:rPr>
        <w:t>EXHIBITS, FINANCIAL STATEMENT SCHEDULES</w:t>
      </w:r>
    </w:p>
    <w:p>
      <w:pPr>
        <w:spacing w:after="0" w:line="175" w:lineRule="exact"/>
        <w:rPr>
          <w:sz w:val="20"/>
          <w:szCs w:val="20"/>
          <w:color w:val="auto"/>
        </w:rPr>
      </w:pPr>
    </w:p>
    <w:p>
      <w:pPr>
        <w:ind w:left="680" w:hanging="240"/>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LIST OF DOCUMENTS FILED AS PART OF THIS REPORT</w:t>
      </w:r>
    </w:p>
    <w:p>
      <w:pPr>
        <w:spacing w:after="0" w:line="90"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1 and 2. Financial Statements and Financial Statement Schedules:</w:t>
      </w:r>
    </w:p>
    <w:p>
      <w:pPr>
        <w:spacing w:after="0" w:line="90" w:lineRule="exact"/>
        <w:rPr>
          <w:sz w:val="20"/>
          <w:szCs w:val="20"/>
          <w:color w:val="auto"/>
        </w:rPr>
      </w:pPr>
    </w:p>
    <w:p>
      <w:pPr>
        <w:ind w:right="20" w:firstLine="878"/>
        <w:spacing w:after="0" w:line="277" w:lineRule="auto"/>
        <w:rPr>
          <w:sz w:val="20"/>
          <w:szCs w:val="20"/>
          <w:color w:val="auto"/>
        </w:rPr>
      </w:pPr>
      <w:r>
        <w:rPr>
          <w:rFonts w:ascii="Arial" w:cs="Arial" w:eastAsia="Arial" w:hAnsi="Arial"/>
          <w:sz w:val="18"/>
          <w:szCs w:val="18"/>
          <w:color w:val="auto"/>
        </w:rPr>
        <w:t>The response to this portion of Item 15 is submitted as a separate section of this Annual Report on Form 10-K. Reference is made to the “Index to Consolidated Financial Statements and Financial Statement Schedules” on page 46 of this Annual Report on Form 10-K.</w:t>
      </w:r>
    </w:p>
    <w:p>
      <w:pPr>
        <w:spacing w:after="0" w:line="116" w:lineRule="exact"/>
        <w:rPr>
          <w:sz w:val="20"/>
          <w:szCs w:val="20"/>
          <w:color w:val="auto"/>
        </w:rPr>
      </w:pPr>
    </w:p>
    <w:p>
      <w:pPr>
        <w:ind w:left="700" w:hanging="260"/>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exhibits listed on the “Index to Exhibits” beginning on page 110 of this Annual Report on Form 10-K are filed or furnished with this Annual Report on Form 10-K or incorporated herein by reference as noted in the “Index to Exhibits.”</w:t>
      </w:r>
    </w:p>
    <w:p>
      <w:pPr>
        <w:spacing w:after="0" w:line="116" w:lineRule="exact"/>
        <w:rPr>
          <w:sz w:val="20"/>
          <w:szCs w:val="20"/>
          <w:color w:val="auto"/>
        </w:rPr>
      </w:pPr>
    </w:p>
    <w:p>
      <w:pPr>
        <w:ind w:left="680" w:hanging="240"/>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financial statement schedule filed with this Annual Report on Form 10-K is submitted in a separate section hereof. For a description of such financial statement schedules, see “Index to Consolidated Financial Statements and Financial Statement Schedules” on page 46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THE SCOTTS MIRACLE-GRO COMPANY</w:t>
      </w:r>
    </w:p>
    <w:p>
      <w:pPr>
        <w:spacing w:after="0" w:line="387" w:lineRule="exact"/>
        <w:rPr>
          <w:sz w:val="20"/>
          <w:szCs w:val="20"/>
          <w:color w:val="auto"/>
        </w:rPr>
      </w:pPr>
    </w:p>
    <w:p>
      <w:pPr>
        <w:ind w:left="6660"/>
        <w:spacing w:after="0"/>
        <w:tabs>
          <w:tab w:leader="none" w:pos="7220" w:val="left"/>
          <w:tab w:leader="none" w:pos="7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Hagedorn, Chief Executive Officer and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Chairman of the Board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20, 2013</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8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5680" w:type="dxa"/>
            <w:vAlign w:val="bottom"/>
            <w:gridSpan w:val="3"/>
          </w:tcPr>
          <w:p>
            <w:pPr>
              <w:ind w:left="3080"/>
              <w:spacing w:after="0"/>
              <w:rPr>
                <w:sz w:val="20"/>
                <w:szCs w:val="20"/>
                <w:color w:val="auto"/>
              </w:rPr>
            </w:pPr>
            <w:r>
              <w:rPr>
                <w:rFonts w:ascii="Arial" w:cs="Arial" w:eastAsia="Arial" w:hAnsi="Arial"/>
                <w:sz w:val="14"/>
                <w:szCs w:val="14"/>
                <w:b w:val="1"/>
                <w:bCs w:val="1"/>
                <w:color w:val="auto"/>
              </w:rPr>
              <w:t>Title</w:t>
            </w:r>
          </w:p>
        </w:tc>
        <w:tc>
          <w:tcPr>
            <w:tcW w:w="2480" w:type="dxa"/>
            <w:vAlign w:val="bottom"/>
            <w:gridSpan w:val="3"/>
          </w:tcPr>
          <w:p>
            <w:pPr>
              <w:jc w:val="center"/>
              <w:ind w:left="93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588"/>
        </w:trPr>
        <w:tc>
          <w:tcPr>
            <w:tcW w:w="280" w:type="dxa"/>
            <w:vAlign w:val="bottom"/>
          </w:tcPr>
          <w:p>
            <w:pPr>
              <w:ind w:left="40"/>
              <w:spacing w:after="0"/>
              <w:rPr>
                <w:sz w:val="20"/>
                <w:szCs w:val="20"/>
                <w:color w:val="auto"/>
              </w:rPr>
            </w:pPr>
            <w:r>
              <w:rPr>
                <w:rFonts w:ascii="Arial" w:cs="Arial" w:eastAsia="Arial" w:hAnsi="Arial"/>
                <w:sz w:val="18"/>
                <w:szCs w:val="18"/>
                <w:color w:val="auto"/>
              </w:rPr>
              <w:t>/s/</w:t>
            </w:r>
          </w:p>
        </w:tc>
        <w:tc>
          <w:tcPr>
            <w:tcW w:w="2680" w:type="dxa"/>
            <w:vAlign w:val="bottom"/>
            <w:gridSpan w:val="3"/>
          </w:tcPr>
          <w:p>
            <w:pPr>
              <w:ind w:left="100"/>
              <w:spacing w:after="0"/>
              <w:rPr>
                <w:sz w:val="20"/>
                <w:szCs w:val="20"/>
                <w:color w:val="auto"/>
              </w:rPr>
            </w:pPr>
            <w:r>
              <w:rPr>
                <w:rFonts w:ascii="Arial" w:cs="Arial" w:eastAsia="Arial" w:hAnsi="Arial"/>
                <w:sz w:val="18"/>
                <w:szCs w:val="18"/>
                <w:color w:val="auto"/>
              </w:rPr>
              <w:t>ALAN H. BARRY*</w:t>
            </w:r>
          </w:p>
        </w:tc>
        <w:tc>
          <w:tcPr>
            <w:tcW w:w="56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480" w:type="dxa"/>
            <w:vAlign w:val="bottom"/>
            <w:gridSpan w:val="3"/>
          </w:tcPr>
          <w:p>
            <w:pPr>
              <w:jc w:val="center"/>
              <w:ind w:left="952"/>
              <w:spacing w:after="0"/>
              <w:rPr>
                <w:sz w:val="20"/>
                <w:szCs w:val="20"/>
                <w:color w:val="auto"/>
              </w:rPr>
            </w:pPr>
            <w:r>
              <w:rPr>
                <w:rFonts w:ascii="Arial" w:cs="Arial" w:eastAsia="Arial" w:hAnsi="Arial"/>
                <w:sz w:val="18"/>
                <w:szCs w:val="18"/>
                <w:color w:val="auto"/>
                <w:w w:val="91"/>
              </w:rPr>
              <w:t>November 20, 2013</w:t>
            </w:r>
          </w:p>
        </w:tc>
      </w:tr>
      <w:tr>
        <w:trPr>
          <w:trHeight w:val="27"/>
        </w:trPr>
        <w:tc>
          <w:tcPr>
            <w:tcW w:w="11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2960" w:type="dxa"/>
            <w:vAlign w:val="bottom"/>
            <w:gridSpan w:val="4"/>
          </w:tcPr>
          <w:p>
            <w:pPr>
              <w:ind w:left="40"/>
              <w:spacing w:after="0"/>
              <w:rPr>
                <w:sz w:val="20"/>
                <w:szCs w:val="20"/>
                <w:color w:val="auto"/>
              </w:rPr>
            </w:pPr>
            <w:r>
              <w:rPr>
                <w:rFonts w:ascii="Arial" w:cs="Arial" w:eastAsia="Arial" w:hAnsi="Arial"/>
                <w:sz w:val="18"/>
                <w:szCs w:val="18"/>
                <w:color w:val="auto"/>
              </w:rPr>
              <w:t>Alan H. Barry</w:t>
            </w:r>
          </w:p>
        </w:tc>
        <w:tc>
          <w:tcPr>
            <w:tcW w:w="3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80" w:type="dxa"/>
            <w:vAlign w:val="bottom"/>
          </w:tcPr>
          <w:p>
            <w:pPr>
              <w:ind w:left="40"/>
              <w:spacing w:after="0"/>
              <w:rPr>
                <w:sz w:val="20"/>
                <w:szCs w:val="20"/>
                <w:color w:val="auto"/>
              </w:rPr>
            </w:pPr>
            <w:r>
              <w:rPr>
                <w:rFonts w:ascii="Arial" w:cs="Arial" w:eastAsia="Arial" w:hAnsi="Arial"/>
                <w:sz w:val="18"/>
                <w:szCs w:val="18"/>
                <w:color w:val="auto"/>
              </w:rPr>
              <w:t>/s/</w:t>
            </w:r>
          </w:p>
        </w:tc>
        <w:tc>
          <w:tcPr>
            <w:tcW w:w="2680" w:type="dxa"/>
            <w:vAlign w:val="bottom"/>
            <w:gridSpan w:val="3"/>
          </w:tcPr>
          <w:p>
            <w:pPr>
              <w:ind w:left="60"/>
              <w:spacing w:after="0"/>
              <w:rPr>
                <w:sz w:val="20"/>
                <w:szCs w:val="20"/>
                <w:color w:val="auto"/>
              </w:rPr>
            </w:pPr>
            <w:r>
              <w:rPr>
                <w:rFonts w:ascii="Arial" w:cs="Arial" w:eastAsia="Arial" w:hAnsi="Arial"/>
                <w:sz w:val="18"/>
                <w:szCs w:val="18"/>
                <w:color w:val="auto"/>
              </w:rPr>
              <w:t>LAWRENCE A. HILSHEIMER</w:t>
            </w:r>
          </w:p>
        </w:tc>
        <w:tc>
          <w:tcPr>
            <w:tcW w:w="568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 and Executive Vice President</w:t>
            </w:r>
          </w:p>
        </w:tc>
        <w:tc>
          <w:tcPr>
            <w:tcW w:w="2480" w:type="dxa"/>
            <w:vAlign w:val="bottom"/>
            <w:gridSpan w:val="3"/>
          </w:tcPr>
          <w:p>
            <w:pPr>
              <w:jc w:val="center"/>
              <w:ind w:left="952"/>
              <w:spacing w:after="0"/>
              <w:rPr>
                <w:sz w:val="20"/>
                <w:szCs w:val="20"/>
                <w:color w:val="auto"/>
              </w:rPr>
            </w:pPr>
            <w:r>
              <w:rPr>
                <w:rFonts w:ascii="Arial" w:cs="Arial" w:eastAsia="Arial" w:hAnsi="Arial"/>
                <w:sz w:val="18"/>
                <w:szCs w:val="18"/>
                <w:color w:val="auto"/>
                <w:w w:val="91"/>
              </w:rPr>
              <w:t>November 20, 2013</w:t>
            </w:r>
          </w:p>
        </w:tc>
      </w:tr>
      <w:tr>
        <w:trPr>
          <w:trHeight w:val="27"/>
        </w:trPr>
        <w:tc>
          <w:tcPr>
            <w:tcW w:w="11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2960" w:type="dxa"/>
            <w:vAlign w:val="bottom"/>
            <w:gridSpan w:val="4"/>
          </w:tcPr>
          <w:p>
            <w:pPr>
              <w:ind w:left="40"/>
              <w:spacing w:after="0"/>
              <w:rPr>
                <w:sz w:val="20"/>
                <w:szCs w:val="20"/>
                <w:color w:val="auto"/>
              </w:rPr>
            </w:pPr>
            <w:r>
              <w:rPr>
                <w:rFonts w:ascii="Arial" w:cs="Arial" w:eastAsia="Arial" w:hAnsi="Arial"/>
                <w:sz w:val="18"/>
                <w:szCs w:val="18"/>
                <w:color w:val="auto"/>
              </w:rPr>
              <w:t>Lawrence A. Hilsheimer</w:t>
            </w:r>
          </w:p>
        </w:tc>
        <w:tc>
          <w:tcPr>
            <w:tcW w:w="5680" w:type="dxa"/>
            <w:vAlign w:val="bottom"/>
            <w:gridSpan w:val="3"/>
          </w:tcPr>
          <w:p>
            <w:pPr>
              <w:ind w:left="160"/>
              <w:spacing w:after="0"/>
              <w:rPr>
                <w:sz w:val="20"/>
                <w:szCs w:val="20"/>
                <w:color w:val="auto"/>
              </w:rPr>
            </w:pPr>
            <w:r>
              <w:rPr>
                <w:rFonts w:ascii="Arial" w:cs="Arial" w:eastAsia="Arial" w:hAnsi="Arial"/>
                <w:sz w:val="18"/>
                <w:szCs w:val="18"/>
                <w:color w:val="auto"/>
              </w:rPr>
              <w:t>(Principal Financial Officer and Principal Accounting Officer)</w:t>
            </w: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80" w:type="dxa"/>
            <w:vAlign w:val="bottom"/>
          </w:tcPr>
          <w:p>
            <w:pPr>
              <w:ind w:left="40"/>
              <w:spacing w:after="0"/>
              <w:rPr>
                <w:sz w:val="20"/>
                <w:szCs w:val="20"/>
                <w:color w:val="auto"/>
              </w:rPr>
            </w:pPr>
            <w:r>
              <w:rPr>
                <w:rFonts w:ascii="Arial" w:cs="Arial" w:eastAsia="Arial" w:hAnsi="Arial"/>
                <w:sz w:val="18"/>
                <w:szCs w:val="18"/>
                <w:color w:val="auto"/>
              </w:rPr>
              <w:t>/s/</w:t>
            </w:r>
          </w:p>
        </w:tc>
        <w:tc>
          <w:tcPr>
            <w:tcW w:w="2680" w:type="dxa"/>
            <w:vAlign w:val="bottom"/>
            <w:gridSpan w:val="3"/>
          </w:tcPr>
          <w:p>
            <w:pPr>
              <w:ind w:left="100"/>
              <w:spacing w:after="0"/>
              <w:rPr>
                <w:sz w:val="20"/>
                <w:szCs w:val="20"/>
                <w:color w:val="auto"/>
              </w:rPr>
            </w:pPr>
            <w:r>
              <w:rPr>
                <w:rFonts w:ascii="Arial" w:cs="Arial" w:eastAsia="Arial" w:hAnsi="Arial"/>
                <w:sz w:val="18"/>
                <w:szCs w:val="18"/>
                <w:color w:val="auto"/>
              </w:rPr>
              <w:t>JAMES HAGEDORN</w:t>
            </w:r>
          </w:p>
        </w:tc>
        <w:tc>
          <w:tcPr>
            <w:tcW w:w="5680" w:type="dxa"/>
            <w:vAlign w:val="bottom"/>
            <w:gridSpan w:val="3"/>
          </w:tcPr>
          <w:p>
            <w:pPr>
              <w:ind w:left="160"/>
              <w:spacing w:after="0"/>
              <w:rPr>
                <w:sz w:val="20"/>
                <w:szCs w:val="20"/>
                <w:color w:val="auto"/>
              </w:rPr>
            </w:pPr>
            <w:r>
              <w:rPr>
                <w:rFonts w:ascii="Arial" w:cs="Arial" w:eastAsia="Arial" w:hAnsi="Arial"/>
                <w:sz w:val="18"/>
                <w:szCs w:val="18"/>
                <w:color w:val="auto"/>
              </w:rPr>
              <w:t>Chief Executive Officer, Chairman of the Board and Director</w:t>
            </w:r>
          </w:p>
        </w:tc>
        <w:tc>
          <w:tcPr>
            <w:tcW w:w="2480" w:type="dxa"/>
            <w:vAlign w:val="bottom"/>
            <w:gridSpan w:val="3"/>
          </w:tcPr>
          <w:p>
            <w:pPr>
              <w:jc w:val="center"/>
              <w:ind w:left="952"/>
              <w:spacing w:after="0"/>
              <w:rPr>
                <w:sz w:val="20"/>
                <w:szCs w:val="20"/>
                <w:color w:val="auto"/>
              </w:rPr>
            </w:pPr>
            <w:r>
              <w:rPr>
                <w:rFonts w:ascii="Arial" w:cs="Arial" w:eastAsia="Arial" w:hAnsi="Arial"/>
                <w:sz w:val="18"/>
                <w:szCs w:val="18"/>
                <w:color w:val="auto"/>
                <w:w w:val="91"/>
              </w:rPr>
              <w:t>November 20, 2013</w:t>
            </w:r>
          </w:p>
        </w:tc>
      </w:tr>
      <w:tr>
        <w:trPr>
          <w:trHeight w:val="27"/>
        </w:trPr>
        <w:tc>
          <w:tcPr>
            <w:tcW w:w="11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2960" w:type="dxa"/>
            <w:vAlign w:val="bottom"/>
            <w:gridSpan w:val="4"/>
          </w:tcPr>
          <w:p>
            <w:pPr>
              <w:ind w:left="40"/>
              <w:spacing w:after="0"/>
              <w:rPr>
                <w:sz w:val="20"/>
                <w:szCs w:val="20"/>
                <w:color w:val="auto"/>
              </w:rPr>
            </w:pPr>
            <w:r>
              <w:rPr>
                <w:rFonts w:ascii="Arial" w:cs="Arial" w:eastAsia="Arial" w:hAnsi="Arial"/>
                <w:sz w:val="18"/>
                <w:szCs w:val="18"/>
                <w:color w:val="auto"/>
              </w:rPr>
              <w:t>James Hagedorn</w:t>
            </w:r>
          </w:p>
        </w:tc>
        <w:tc>
          <w:tcPr>
            <w:tcW w:w="5680" w:type="dxa"/>
            <w:vAlign w:val="bottom"/>
            <w:gridSpan w:val="3"/>
          </w:tcPr>
          <w:p>
            <w:pPr>
              <w:ind w:left="160"/>
              <w:spacing w:after="0"/>
              <w:rPr>
                <w:sz w:val="20"/>
                <w:szCs w:val="20"/>
                <w:color w:val="auto"/>
              </w:rPr>
            </w:pPr>
            <w:r>
              <w:rPr>
                <w:rFonts w:ascii="Arial" w:cs="Arial" w:eastAsia="Arial" w:hAnsi="Arial"/>
                <w:sz w:val="18"/>
                <w:szCs w:val="18"/>
                <w:color w:val="auto"/>
              </w:rPr>
              <w:t>(Principal Executive Officer)</w:t>
            </w: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80" w:type="dxa"/>
            <w:vAlign w:val="bottom"/>
          </w:tcPr>
          <w:p>
            <w:pPr>
              <w:ind w:left="40"/>
              <w:spacing w:after="0"/>
              <w:rPr>
                <w:sz w:val="20"/>
                <w:szCs w:val="20"/>
                <w:color w:val="auto"/>
              </w:rPr>
            </w:pPr>
            <w:r>
              <w:rPr>
                <w:rFonts w:ascii="Arial" w:cs="Arial" w:eastAsia="Arial" w:hAnsi="Arial"/>
                <w:sz w:val="18"/>
                <w:szCs w:val="18"/>
                <w:color w:val="auto"/>
              </w:rPr>
              <w:t>/s/</w:t>
            </w:r>
          </w:p>
        </w:tc>
        <w:tc>
          <w:tcPr>
            <w:tcW w:w="2680" w:type="dxa"/>
            <w:vAlign w:val="bottom"/>
            <w:gridSpan w:val="3"/>
          </w:tcPr>
          <w:p>
            <w:pPr>
              <w:ind w:left="100"/>
              <w:spacing w:after="0"/>
              <w:rPr>
                <w:sz w:val="20"/>
                <w:szCs w:val="20"/>
                <w:color w:val="auto"/>
              </w:rPr>
            </w:pPr>
            <w:r>
              <w:rPr>
                <w:rFonts w:ascii="Arial" w:cs="Arial" w:eastAsia="Arial" w:hAnsi="Arial"/>
                <w:sz w:val="18"/>
                <w:szCs w:val="18"/>
                <w:color w:val="auto"/>
              </w:rPr>
              <w:t>ADAM HANFT*</w:t>
            </w:r>
          </w:p>
        </w:tc>
        <w:tc>
          <w:tcPr>
            <w:tcW w:w="56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480" w:type="dxa"/>
            <w:vAlign w:val="bottom"/>
            <w:gridSpan w:val="3"/>
          </w:tcPr>
          <w:p>
            <w:pPr>
              <w:jc w:val="center"/>
              <w:ind w:left="952"/>
              <w:spacing w:after="0"/>
              <w:rPr>
                <w:sz w:val="20"/>
                <w:szCs w:val="20"/>
                <w:color w:val="auto"/>
              </w:rPr>
            </w:pPr>
            <w:r>
              <w:rPr>
                <w:rFonts w:ascii="Arial" w:cs="Arial" w:eastAsia="Arial" w:hAnsi="Arial"/>
                <w:sz w:val="18"/>
                <w:szCs w:val="18"/>
                <w:color w:val="auto"/>
                <w:w w:val="91"/>
              </w:rPr>
              <w:t>November 20, 2013</w:t>
            </w:r>
          </w:p>
        </w:tc>
      </w:tr>
      <w:tr>
        <w:trPr>
          <w:trHeight w:val="27"/>
        </w:trPr>
        <w:tc>
          <w:tcPr>
            <w:tcW w:w="11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2960" w:type="dxa"/>
            <w:vAlign w:val="bottom"/>
            <w:gridSpan w:val="4"/>
          </w:tcPr>
          <w:p>
            <w:pPr>
              <w:ind w:left="40"/>
              <w:spacing w:after="0"/>
              <w:rPr>
                <w:sz w:val="20"/>
                <w:szCs w:val="20"/>
                <w:color w:val="auto"/>
              </w:rPr>
            </w:pPr>
            <w:r>
              <w:rPr>
                <w:rFonts w:ascii="Arial" w:cs="Arial" w:eastAsia="Arial" w:hAnsi="Arial"/>
                <w:sz w:val="18"/>
                <w:szCs w:val="18"/>
                <w:color w:val="auto"/>
              </w:rPr>
              <w:t>Adam Hanft</w:t>
            </w:r>
          </w:p>
        </w:tc>
        <w:tc>
          <w:tcPr>
            <w:tcW w:w="3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80" w:type="dxa"/>
            <w:vAlign w:val="bottom"/>
          </w:tcPr>
          <w:p>
            <w:pPr>
              <w:ind w:left="40"/>
              <w:spacing w:after="0"/>
              <w:rPr>
                <w:sz w:val="20"/>
                <w:szCs w:val="20"/>
                <w:color w:val="auto"/>
              </w:rPr>
            </w:pPr>
            <w:r>
              <w:rPr>
                <w:rFonts w:ascii="Arial" w:cs="Arial" w:eastAsia="Arial" w:hAnsi="Arial"/>
                <w:sz w:val="18"/>
                <w:szCs w:val="18"/>
                <w:color w:val="auto"/>
              </w:rPr>
              <w:t>/s/</w:t>
            </w:r>
          </w:p>
        </w:tc>
        <w:tc>
          <w:tcPr>
            <w:tcW w:w="2680" w:type="dxa"/>
            <w:vAlign w:val="bottom"/>
            <w:gridSpan w:val="3"/>
          </w:tcPr>
          <w:p>
            <w:pPr>
              <w:ind w:left="100"/>
              <w:spacing w:after="0"/>
              <w:rPr>
                <w:sz w:val="20"/>
                <w:szCs w:val="20"/>
                <w:color w:val="auto"/>
              </w:rPr>
            </w:pPr>
            <w:r>
              <w:rPr>
                <w:rFonts w:ascii="Arial" w:cs="Arial" w:eastAsia="Arial" w:hAnsi="Arial"/>
                <w:sz w:val="18"/>
                <w:szCs w:val="18"/>
                <w:color w:val="auto"/>
              </w:rPr>
              <w:t>STEPHEN L. JOHNSON*</w:t>
            </w:r>
          </w:p>
        </w:tc>
        <w:tc>
          <w:tcPr>
            <w:tcW w:w="56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480" w:type="dxa"/>
            <w:vAlign w:val="bottom"/>
            <w:gridSpan w:val="3"/>
          </w:tcPr>
          <w:p>
            <w:pPr>
              <w:jc w:val="center"/>
              <w:ind w:left="952"/>
              <w:spacing w:after="0"/>
              <w:rPr>
                <w:sz w:val="20"/>
                <w:szCs w:val="20"/>
                <w:color w:val="auto"/>
              </w:rPr>
            </w:pPr>
            <w:r>
              <w:rPr>
                <w:rFonts w:ascii="Arial" w:cs="Arial" w:eastAsia="Arial" w:hAnsi="Arial"/>
                <w:sz w:val="18"/>
                <w:szCs w:val="18"/>
                <w:color w:val="auto"/>
                <w:w w:val="91"/>
              </w:rPr>
              <w:t>November 20, 2013</w:t>
            </w:r>
          </w:p>
        </w:tc>
      </w:tr>
      <w:tr>
        <w:trPr>
          <w:trHeight w:val="27"/>
        </w:trPr>
        <w:tc>
          <w:tcPr>
            <w:tcW w:w="11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2960" w:type="dxa"/>
            <w:vAlign w:val="bottom"/>
            <w:gridSpan w:val="4"/>
          </w:tcPr>
          <w:p>
            <w:pPr>
              <w:ind w:left="40"/>
              <w:spacing w:after="0"/>
              <w:rPr>
                <w:sz w:val="20"/>
                <w:szCs w:val="20"/>
                <w:color w:val="auto"/>
              </w:rPr>
            </w:pPr>
            <w:r>
              <w:rPr>
                <w:rFonts w:ascii="Arial" w:cs="Arial" w:eastAsia="Arial" w:hAnsi="Arial"/>
                <w:sz w:val="18"/>
                <w:szCs w:val="18"/>
                <w:color w:val="auto"/>
              </w:rPr>
              <w:t>Stephen L. Johnson</w:t>
            </w:r>
          </w:p>
        </w:tc>
        <w:tc>
          <w:tcPr>
            <w:tcW w:w="3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80" w:type="dxa"/>
            <w:vAlign w:val="bottom"/>
          </w:tcPr>
          <w:p>
            <w:pPr>
              <w:ind w:left="40"/>
              <w:spacing w:after="0"/>
              <w:rPr>
                <w:sz w:val="20"/>
                <w:szCs w:val="20"/>
                <w:color w:val="auto"/>
              </w:rPr>
            </w:pPr>
            <w:r>
              <w:rPr>
                <w:rFonts w:ascii="Arial" w:cs="Arial" w:eastAsia="Arial" w:hAnsi="Arial"/>
                <w:sz w:val="18"/>
                <w:szCs w:val="18"/>
                <w:color w:val="auto"/>
              </w:rPr>
              <w:t>/s/</w:t>
            </w:r>
          </w:p>
        </w:tc>
        <w:tc>
          <w:tcPr>
            <w:tcW w:w="2680" w:type="dxa"/>
            <w:vAlign w:val="bottom"/>
            <w:gridSpan w:val="3"/>
          </w:tcPr>
          <w:p>
            <w:pPr>
              <w:ind w:left="60"/>
              <w:spacing w:after="0"/>
              <w:rPr>
                <w:sz w:val="20"/>
                <w:szCs w:val="20"/>
                <w:color w:val="auto"/>
              </w:rPr>
            </w:pPr>
            <w:r>
              <w:rPr>
                <w:rFonts w:ascii="Arial" w:cs="Arial" w:eastAsia="Arial" w:hAnsi="Arial"/>
                <w:sz w:val="18"/>
                <w:szCs w:val="18"/>
                <w:color w:val="auto"/>
              </w:rPr>
              <w:t>THOMAS N. KELLY JR.*</w:t>
            </w:r>
          </w:p>
        </w:tc>
        <w:tc>
          <w:tcPr>
            <w:tcW w:w="56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480" w:type="dxa"/>
            <w:vAlign w:val="bottom"/>
            <w:gridSpan w:val="3"/>
          </w:tcPr>
          <w:p>
            <w:pPr>
              <w:jc w:val="center"/>
              <w:ind w:left="952"/>
              <w:spacing w:after="0"/>
              <w:rPr>
                <w:sz w:val="20"/>
                <w:szCs w:val="20"/>
                <w:color w:val="auto"/>
              </w:rPr>
            </w:pPr>
            <w:r>
              <w:rPr>
                <w:rFonts w:ascii="Arial" w:cs="Arial" w:eastAsia="Arial" w:hAnsi="Arial"/>
                <w:sz w:val="18"/>
                <w:szCs w:val="18"/>
                <w:color w:val="auto"/>
                <w:w w:val="91"/>
              </w:rPr>
              <w:t>November 20, 2013</w:t>
            </w:r>
          </w:p>
        </w:tc>
      </w:tr>
      <w:tr>
        <w:trPr>
          <w:trHeight w:val="27"/>
        </w:trPr>
        <w:tc>
          <w:tcPr>
            <w:tcW w:w="11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2960" w:type="dxa"/>
            <w:vAlign w:val="bottom"/>
            <w:gridSpan w:val="4"/>
          </w:tcPr>
          <w:p>
            <w:pPr>
              <w:ind w:left="40"/>
              <w:spacing w:after="0"/>
              <w:rPr>
                <w:sz w:val="20"/>
                <w:szCs w:val="20"/>
                <w:color w:val="auto"/>
              </w:rPr>
            </w:pPr>
            <w:r>
              <w:rPr>
                <w:rFonts w:ascii="Arial" w:cs="Arial" w:eastAsia="Arial" w:hAnsi="Arial"/>
                <w:sz w:val="18"/>
                <w:szCs w:val="18"/>
                <w:color w:val="auto"/>
              </w:rPr>
              <w:t>Thomas N. Kelly Jr.</w:t>
            </w:r>
          </w:p>
        </w:tc>
        <w:tc>
          <w:tcPr>
            <w:tcW w:w="3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80" w:type="dxa"/>
            <w:vAlign w:val="bottom"/>
          </w:tcPr>
          <w:p>
            <w:pPr>
              <w:ind w:left="40"/>
              <w:spacing w:after="0"/>
              <w:rPr>
                <w:sz w:val="20"/>
                <w:szCs w:val="20"/>
                <w:color w:val="auto"/>
              </w:rPr>
            </w:pPr>
            <w:r>
              <w:rPr>
                <w:rFonts w:ascii="Arial" w:cs="Arial" w:eastAsia="Arial" w:hAnsi="Arial"/>
                <w:sz w:val="18"/>
                <w:szCs w:val="18"/>
                <w:color w:val="auto"/>
              </w:rPr>
              <w:t>/s/</w:t>
            </w:r>
          </w:p>
        </w:tc>
        <w:tc>
          <w:tcPr>
            <w:tcW w:w="2680" w:type="dxa"/>
            <w:vAlign w:val="bottom"/>
            <w:gridSpan w:val="3"/>
          </w:tcPr>
          <w:p>
            <w:pPr>
              <w:ind w:left="60"/>
              <w:spacing w:after="0"/>
              <w:rPr>
                <w:sz w:val="20"/>
                <w:szCs w:val="20"/>
                <w:color w:val="auto"/>
              </w:rPr>
            </w:pPr>
            <w:r>
              <w:rPr>
                <w:rFonts w:ascii="Arial" w:cs="Arial" w:eastAsia="Arial" w:hAnsi="Arial"/>
                <w:sz w:val="18"/>
                <w:szCs w:val="18"/>
                <w:color w:val="auto"/>
              </w:rPr>
              <w:t>KATHERINE HAGEDORN</w:t>
            </w:r>
          </w:p>
        </w:tc>
        <w:tc>
          <w:tcPr>
            <w:tcW w:w="56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480" w:type="dxa"/>
            <w:vAlign w:val="bottom"/>
            <w:gridSpan w:val="3"/>
          </w:tcPr>
          <w:p>
            <w:pPr>
              <w:jc w:val="center"/>
              <w:ind w:left="952"/>
              <w:spacing w:after="0"/>
              <w:rPr>
                <w:sz w:val="20"/>
                <w:szCs w:val="20"/>
                <w:color w:val="auto"/>
              </w:rPr>
            </w:pPr>
            <w:r>
              <w:rPr>
                <w:rFonts w:ascii="Arial" w:cs="Arial" w:eastAsia="Arial" w:hAnsi="Arial"/>
                <w:sz w:val="18"/>
                <w:szCs w:val="18"/>
                <w:color w:val="auto"/>
                <w:w w:val="91"/>
              </w:rPr>
              <w:t>November 20, 2013</w:t>
            </w:r>
          </w:p>
        </w:tc>
      </w:tr>
    </w:tbl>
    <w:p>
      <w:pPr>
        <w:ind w:left="40"/>
        <w:spacing w:after="0"/>
        <w:rPr>
          <w:sz w:val="20"/>
          <w:szCs w:val="20"/>
          <w:color w:val="auto"/>
        </w:rPr>
      </w:pPr>
      <w:r>
        <w:rPr>
          <w:rFonts w:ascii="Arial" w:cs="Arial" w:eastAsia="Arial" w:hAnsi="Arial"/>
          <w:sz w:val="18"/>
          <w:szCs w:val="18"/>
          <w:color w:val="auto"/>
        </w:rPr>
        <w:t>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Katherine Hagedorn Littlefield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2960" w:type="dxa"/>
            <w:vAlign w:val="bottom"/>
            <w:gridSpan w:val="5"/>
          </w:tcPr>
          <w:p>
            <w:pPr>
              <w:spacing w:after="0"/>
              <w:rPr>
                <w:rFonts w:ascii="Arial" w:cs="Arial" w:eastAsia="Arial" w:hAnsi="Arial"/>
                <w:sz w:val="14"/>
                <w:szCs w:val="14"/>
                <w:color w:val="0000FF"/>
              </w:rPr>
            </w:pPr>
            <w:hyperlink w:anchor="page45">
              <w:r>
                <w:rPr>
                  <w:rFonts w:ascii="Arial" w:cs="Arial" w:eastAsia="Arial" w:hAnsi="Arial"/>
                  <w:sz w:val="14"/>
                  <w:szCs w:val="14"/>
                  <w:color w:val="0000FF"/>
                </w:rPr>
                <w:t>Table of Contents</w:t>
              </w:r>
            </w:hyperlink>
          </w:p>
        </w:tc>
        <w:tc>
          <w:tcPr>
            <w:tcW w:w="3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615"/>
        </w:trPr>
        <w:tc>
          <w:tcPr>
            <w:tcW w:w="28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5040" w:type="dxa"/>
            <w:vAlign w:val="bottom"/>
            <w:gridSpan w:val="3"/>
          </w:tcPr>
          <w:p>
            <w:pPr>
              <w:ind w:left="3080"/>
              <w:spacing w:after="0"/>
              <w:rPr>
                <w:sz w:val="20"/>
                <w:szCs w:val="20"/>
                <w:color w:val="auto"/>
              </w:rPr>
            </w:pPr>
            <w:r>
              <w:rPr>
                <w:rFonts w:ascii="Arial" w:cs="Arial" w:eastAsia="Arial" w:hAnsi="Arial"/>
                <w:sz w:val="14"/>
                <w:szCs w:val="14"/>
                <w:b w:val="1"/>
                <w:bCs w:val="1"/>
                <w:color w:val="auto"/>
              </w:rPr>
              <w:t>Title</w:t>
            </w:r>
          </w:p>
        </w:tc>
        <w:tc>
          <w:tcPr>
            <w:tcW w:w="3120" w:type="dxa"/>
            <w:vAlign w:val="bottom"/>
            <w:gridSpan w:val="3"/>
          </w:tcPr>
          <w:p>
            <w:pPr>
              <w:jc w:val="center"/>
              <w:ind w:left="1574"/>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588"/>
        </w:trPr>
        <w:tc>
          <w:tcPr>
            <w:tcW w:w="280" w:type="dxa"/>
            <w:vAlign w:val="bottom"/>
          </w:tcPr>
          <w:p>
            <w:pPr>
              <w:ind w:left="40"/>
              <w:spacing w:after="0"/>
              <w:rPr>
                <w:sz w:val="20"/>
                <w:szCs w:val="20"/>
                <w:color w:val="auto"/>
              </w:rPr>
            </w:pPr>
            <w:r>
              <w:rPr>
                <w:rFonts w:ascii="Arial" w:cs="Arial" w:eastAsia="Arial" w:hAnsi="Arial"/>
                <w:sz w:val="18"/>
                <w:szCs w:val="18"/>
                <w:color w:val="auto"/>
              </w:rPr>
              <w:t>/s/</w:t>
            </w:r>
          </w:p>
        </w:tc>
        <w:tc>
          <w:tcPr>
            <w:tcW w:w="2680" w:type="dxa"/>
            <w:vAlign w:val="bottom"/>
            <w:gridSpan w:val="4"/>
          </w:tcPr>
          <w:p>
            <w:pPr>
              <w:ind w:left="60"/>
              <w:spacing w:after="0"/>
              <w:rPr>
                <w:sz w:val="20"/>
                <w:szCs w:val="20"/>
                <w:color w:val="auto"/>
              </w:rPr>
            </w:pPr>
            <w:r>
              <w:rPr>
                <w:rFonts w:ascii="Arial" w:cs="Arial" w:eastAsia="Arial" w:hAnsi="Arial"/>
                <w:sz w:val="18"/>
                <w:szCs w:val="18"/>
                <w:color w:val="auto"/>
              </w:rPr>
              <w:t>NANCY G. MISTRETTA*</w:t>
            </w:r>
          </w:p>
        </w:tc>
        <w:tc>
          <w:tcPr>
            <w:tcW w:w="50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3120" w:type="dxa"/>
            <w:vAlign w:val="bottom"/>
            <w:gridSpan w:val="3"/>
          </w:tcPr>
          <w:p>
            <w:pPr>
              <w:jc w:val="center"/>
              <w:ind w:left="1594"/>
              <w:spacing w:after="0"/>
              <w:rPr>
                <w:sz w:val="20"/>
                <w:szCs w:val="20"/>
                <w:color w:val="auto"/>
              </w:rPr>
            </w:pPr>
            <w:r>
              <w:rPr>
                <w:rFonts w:ascii="Arial" w:cs="Arial" w:eastAsia="Arial" w:hAnsi="Arial"/>
                <w:sz w:val="18"/>
                <w:szCs w:val="18"/>
                <w:color w:val="auto"/>
                <w:w w:val="91"/>
              </w:rPr>
              <w:t>November 20, 2013</w:t>
            </w:r>
          </w:p>
        </w:tc>
      </w:tr>
      <w:tr>
        <w:trPr>
          <w:trHeight w:val="27"/>
        </w:trPr>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2960" w:type="dxa"/>
            <w:vAlign w:val="bottom"/>
            <w:gridSpan w:val="5"/>
          </w:tcPr>
          <w:p>
            <w:pPr>
              <w:ind w:left="40"/>
              <w:spacing w:after="0"/>
              <w:rPr>
                <w:sz w:val="20"/>
                <w:szCs w:val="20"/>
                <w:color w:val="auto"/>
              </w:rPr>
            </w:pPr>
            <w:r>
              <w:rPr>
                <w:rFonts w:ascii="Arial" w:cs="Arial" w:eastAsia="Arial" w:hAnsi="Arial"/>
                <w:sz w:val="18"/>
                <w:szCs w:val="18"/>
                <w:color w:val="auto"/>
              </w:rPr>
              <w:t>Nancy G. Mistretta</w:t>
            </w:r>
          </w:p>
        </w:tc>
        <w:tc>
          <w:tcPr>
            <w:tcW w:w="3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80" w:type="dxa"/>
            <w:vAlign w:val="bottom"/>
          </w:tcPr>
          <w:p>
            <w:pPr>
              <w:ind w:left="40"/>
              <w:spacing w:after="0"/>
              <w:rPr>
                <w:sz w:val="20"/>
                <w:szCs w:val="20"/>
                <w:color w:val="auto"/>
              </w:rPr>
            </w:pPr>
            <w:r>
              <w:rPr>
                <w:rFonts w:ascii="Arial" w:cs="Arial" w:eastAsia="Arial" w:hAnsi="Arial"/>
                <w:sz w:val="18"/>
                <w:szCs w:val="18"/>
                <w:color w:val="auto"/>
              </w:rPr>
              <w:t>/s/</w:t>
            </w:r>
          </w:p>
        </w:tc>
        <w:tc>
          <w:tcPr>
            <w:tcW w:w="2680" w:type="dxa"/>
            <w:vAlign w:val="bottom"/>
            <w:gridSpan w:val="4"/>
          </w:tcPr>
          <w:p>
            <w:pPr>
              <w:ind w:left="60"/>
              <w:spacing w:after="0"/>
              <w:rPr>
                <w:sz w:val="20"/>
                <w:szCs w:val="20"/>
                <w:color w:val="auto"/>
              </w:rPr>
            </w:pPr>
            <w:r>
              <w:rPr>
                <w:rFonts w:ascii="Arial" w:cs="Arial" w:eastAsia="Arial" w:hAnsi="Arial"/>
                <w:sz w:val="18"/>
                <w:szCs w:val="18"/>
                <w:color w:val="auto"/>
              </w:rPr>
              <w:t>MICHAEL E. PORTER*</w:t>
            </w:r>
          </w:p>
        </w:tc>
        <w:tc>
          <w:tcPr>
            <w:tcW w:w="50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3120" w:type="dxa"/>
            <w:vAlign w:val="bottom"/>
            <w:gridSpan w:val="3"/>
          </w:tcPr>
          <w:p>
            <w:pPr>
              <w:jc w:val="center"/>
              <w:ind w:left="1594"/>
              <w:spacing w:after="0"/>
              <w:rPr>
                <w:sz w:val="20"/>
                <w:szCs w:val="20"/>
                <w:color w:val="auto"/>
              </w:rPr>
            </w:pPr>
            <w:r>
              <w:rPr>
                <w:rFonts w:ascii="Arial" w:cs="Arial" w:eastAsia="Arial" w:hAnsi="Arial"/>
                <w:sz w:val="18"/>
                <w:szCs w:val="18"/>
                <w:color w:val="auto"/>
                <w:w w:val="91"/>
              </w:rPr>
              <w:t>November 20, 2013</w:t>
            </w:r>
          </w:p>
        </w:tc>
      </w:tr>
      <w:tr>
        <w:trPr>
          <w:trHeight w:val="27"/>
        </w:trPr>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2960" w:type="dxa"/>
            <w:vAlign w:val="bottom"/>
            <w:gridSpan w:val="5"/>
          </w:tcPr>
          <w:p>
            <w:pPr>
              <w:ind w:left="40"/>
              <w:spacing w:after="0"/>
              <w:rPr>
                <w:sz w:val="20"/>
                <w:szCs w:val="20"/>
                <w:color w:val="auto"/>
              </w:rPr>
            </w:pPr>
            <w:r>
              <w:rPr>
                <w:rFonts w:ascii="Arial" w:cs="Arial" w:eastAsia="Arial" w:hAnsi="Arial"/>
                <w:sz w:val="18"/>
                <w:szCs w:val="18"/>
                <w:color w:val="auto"/>
              </w:rPr>
              <w:t>Michael E. Porter</w:t>
            </w:r>
          </w:p>
        </w:tc>
        <w:tc>
          <w:tcPr>
            <w:tcW w:w="3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80" w:type="dxa"/>
            <w:vAlign w:val="bottom"/>
          </w:tcPr>
          <w:p>
            <w:pPr>
              <w:ind w:left="40"/>
              <w:spacing w:after="0"/>
              <w:rPr>
                <w:sz w:val="20"/>
                <w:szCs w:val="20"/>
                <w:color w:val="auto"/>
              </w:rPr>
            </w:pPr>
            <w:r>
              <w:rPr>
                <w:rFonts w:ascii="Arial" w:cs="Arial" w:eastAsia="Arial" w:hAnsi="Arial"/>
                <w:sz w:val="18"/>
                <w:szCs w:val="18"/>
                <w:color w:val="auto"/>
              </w:rPr>
              <w:t>/s/</w:t>
            </w:r>
          </w:p>
        </w:tc>
        <w:tc>
          <w:tcPr>
            <w:tcW w:w="2680" w:type="dxa"/>
            <w:vAlign w:val="bottom"/>
            <w:gridSpan w:val="4"/>
          </w:tcPr>
          <w:p>
            <w:pPr>
              <w:ind w:left="60"/>
              <w:spacing w:after="0"/>
              <w:rPr>
                <w:sz w:val="20"/>
                <w:szCs w:val="20"/>
                <w:color w:val="auto"/>
              </w:rPr>
            </w:pPr>
            <w:r>
              <w:rPr>
                <w:rFonts w:ascii="Arial" w:cs="Arial" w:eastAsia="Arial" w:hAnsi="Arial"/>
                <w:sz w:val="18"/>
                <w:szCs w:val="18"/>
                <w:color w:val="auto"/>
              </w:rPr>
              <w:t>STEPHANIE M. SHERN*</w:t>
            </w:r>
          </w:p>
        </w:tc>
        <w:tc>
          <w:tcPr>
            <w:tcW w:w="50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3120" w:type="dxa"/>
            <w:vAlign w:val="bottom"/>
            <w:gridSpan w:val="3"/>
          </w:tcPr>
          <w:p>
            <w:pPr>
              <w:jc w:val="center"/>
              <w:ind w:left="1594"/>
              <w:spacing w:after="0"/>
              <w:rPr>
                <w:sz w:val="20"/>
                <w:szCs w:val="20"/>
                <w:color w:val="auto"/>
              </w:rPr>
            </w:pPr>
            <w:r>
              <w:rPr>
                <w:rFonts w:ascii="Arial" w:cs="Arial" w:eastAsia="Arial" w:hAnsi="Arial"/>
                <w:sz w:val="18"/>
                <w:szCs w:val="18"/>
                <w:color w:val="auto"/>
                <w:w w:val="91"/>
              </w:rPr>
              <w:t>November 20, 2013</w:t>
            </w:r>
          </w:p>
        </w:tc>
      </w:tr>
      <w:tr>
        <w:trPr>
          <w:trHeight w:val="27"/>
        </w:trPr>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2960" w:type="dxa"/>
            <w:vAlign w:val="bottom"/>
            <w:gridSpan w:val="5"/>
          </w:tcPr>
          <w:p>
            <w:pPr>
              <w:ind w:left="40"/>
              <w:spacing w:after="0"/>
              <w:rPr>
                <w:sz w:val="20"/>
                <w:szCs w:val="20"/>
                <w:color w:val="auto"/>
              </w:rPr>
            </w:pPr>
            <w:r>
              <w:rPr>
                <w:rFonts w:ascii="Arial" w:cs="Arial" w:eastAsia="Arial" w:hAnsi="Arial"/>
                <w:sz w:val="18"/>
                <w:szCs w:val="18"/>
                <w:color w:val="auto"/>
              </w:rPr>
              <w:t>Stephanie M. Shern</w:t>
            </w:r>
          </w:p>
        </w:tc>
        <w:tc>
          <w:tcPr>
            <w:tcW w:w="3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80" w:type="dxa"/>
            <w:vAlign w:val="bottom"/>
          </w:tcPr>
          <w:p>
            <w:pPr>
              <w:ind w:left="40"/>
              <w:spacing w:after="0"/>
              <w:rPr>
                <w:sz w:val="20"/>
                <w:szCs w:val="20"/>
                <w:color w:val="auto"/>
              </w:rPr>
            </w:pPr>
            <w:r>
              <w:rPr>
                <w:rFonts w:ascii="Arial" w:cs="Arial" w:eastAsia="Arial" w:hAnsi="Arial"/>
                <w:sz w:val="18"/>
                <w:szCs w:val="18"/>
                <w:color w:val="auto"/>
              </w:rPr>
              <w:t>/s/</w:t>
            </w:r>
          </w:p>
        </w:tc>
        <w:tc>
          <w:tcPr>
            <w:tcW w:w="2680" w:type="dxa"/>
            <w:vAlign w:val="bottom"/>
            <w:gridSpan w:val="4"/>
          </w:tcPr>
          <w:p>
            <w:pPr>
              <w:ind w:left="60"/>
              <w:spacing w:after="0"/>
              <w:rPr>
                <w:sz w:val="20"/>
                <w:szCs w:val="20"/>
                <w:color w:val="auto"/>
              </w:rPr>
            </w:pPr>
            <w:r>
              <w:rPr>
                <w:rFonts w:ascii="Arial" w:cs="Arial" w:eastAsia="Arial" w:hAnsi="Arial"/>
                <w:sz w:val="18"/>
                <w:szCs w:val="18"/>
                <w:color w:val="auto"/>
              </w:rPr>
              <w:t>JOHN R. VINES*</w:t>
            </w:r>
          </w:p>
        </w:tc>
        <w:tc>
          <w:tcPr>
            <w:tcW w:w="50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3120" w:type="dxa"/>
            <w:vAlign w:val="bottom"/>
            <w:gridSpan w:val="3"/>
          </w:tcPr>
          <w:p>
            <w:pPr>
              <w:jc w:val="center"/>
              <w:ind w:left="1594"/>
              <w:spacing w:after="0"/>
              <w:rPr>
                <w:sz w:val="20"/>
                <w:szCs w:val="20"/>
                <w:color w:val="auto"/>
              </w:rPr>
            </w:pPr>
            <w:r>
              <w:rPr>
                <w:rFonts w:ascii="Arial" w:cs="Arial" w:eastAsia="Arial" w:hAnsi="Arial"/>
                <w:sz w:val="18"/>
                <w:szCs w:val="18"/>
                <w:color w:val="auto"/>
                <w:w w:val="91"/>
              </w:rPr>
              <w:t>November 20, 2013</w:t>
            </w:r>
          </w:p>
        </w:tc>
      </w:tr>
      <w:tr>
        <w:trPr>
          <w:trHeight w:val="27"/>
        </w:trPr>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2960" w:type="dxa"/>
            <w:vAlign w:val="bottom"/>
            <w:gridSpan w:val="5"/>
          </w:tcPr>
          <w:p>
            <w:pPr>
              <w:ind w:left="40"/>
              <w:spacing w:after="0"/>
              <w:rPr>
                <w:sz w:val="20"/>
                <w:szCs w:val="20"/>
                <w:color w:val="auto"/>
              </w:rPr>
            </w:pPr>
            <w:r>
              <w:rPr>
                <w:rFonts w:ascii="Arial" w:cs="Arial" w:eastAsia="Arial" w:hAnsi="Arial"/>
                <w:sz w:val="18"/>
                <w:szCs w:val="18"/>
                <w:color w:val="auto"/>
              </w:rPr>
              <w:t>John R. Vines</w:t>
            </w:r>
          </w:p>
        </w:tc>
        <w:tc>
          <w:tcPr>
            <w:tcW w:w="3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364" w:lineRule="exact"/>
        <w:rPr>
          <w:sz w:val="20"/>
          <w:szCs w:val="20"/>
          <w:color w:val="auto"/>
        </w:rPr>
      </w:pPr>
    </w:p>
    <w:p>
      <w:pPr>
        <w:ind w:left="500" w:hanging="465"/>
        <w:spacing w:after="0" w:line="308"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undersigned, by signing his name hereto, does hereby sign this Report on behalf of each of the directors of the Registrant identified above pursuant to Powers of Attorney executed by the directors identified above, which Powers of Attorney are filed with this Report as exhibits.</w:t>
      </w:r>
    </w:p>
    <w:p>
      <w:pPr>
        <w:spacing w:after="0" w:line="309" w:lineRule="exact"/>
        <w:rPr>
          <w:sz w:val="20"/>
          <w:szCs w:val="20"/>
          <w:color w:val="auto"/>
        </w:rPr>
      </w:pPr>
    </w:p>
    <w:p>
      <w:pPr>
        <w:ind w:left="40"/>
        <w:spacing w:after="0"/>
        <w:tabs>
          <w:tab w:leader="none" w:pos="700" w:val="left"/>
          <w:tab w:leader="none" w:pos="1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LAWRENCE A. HILSHEIMER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31750</wp:posOffset>
            </wp:positionV>
            <wp:extent cx="28301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Lawrence A. Hilsheimer, Attorney-in-Fact</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114" w:right="27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FINANCIAL STATEMENT SCHEDULES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230"/>
        </w:trPr>
        <w:tc>
          <w:tcPr>
            <w:tcW w:w="10700" w:type="dxa"/>
            <w:vAlign w:val="bottom"/>
            <w:gridSpan w:val="10"/>
          </w:tcPr>
          <w:p>
            <w:pPr>
              <w:spacing w:after="0"/>
              <w:rPr>
                <w:sz w:val="20"/>
                <w:szCs w:val="20"/>
                <w:color w:val="auto"/>
              </w:rPr>
            </w:pPr>
            <w:r>
              <w:rPr>
                <w:rFonts w:ascii="Arial" w:cs="Arial" w:eastAsia="Arial" w:hAnsi="Arial"/>
                <w:sz w:val="18"/>
                <w:szCs w:val="18"/>
                <w:color w:val="auto"/>
              </w:rPr>
              <w:t>Consolidated Financial Statements of The Scotts Miracle-Gro Company and Subsidiaries: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340" w:type="dxa"/>
            <w:vAlign w:val="bottom"/>
          </w:tcPr>
          <w:p>
            <w:pPr>
              <w:spacing w:after="0"/>
              <w:rPr>
                <w:sz w:val="21"/>
                <w:szCs w:val="21"/>
                <w:color w:val="auto"/>
              </w:rPr>
            </w:pPr>
          </w:p>
        </w:tc>
        <w:tc>
          <w:tcPr>
            <w:tcW w:w="5560" w:type="dxa"/>
            <w:vAlign w:val="bottom"/>
            <w:gridSpan w:val="4"/>
          </w:tcPr>
          <w:p>
            <w:pPr>
              <w:spacing w:after="0"/>
              <w:rPr>
                <w:rFonts w:ascii="Arial" w:cs="Arial" w:eastAsia="Arial" w:hAnsi="Arial"/>
                <w:sz w:val="18"/>
                <w:szCs w:val="18"/>
                <w:color w:val="0000FF"/>
                <w:w w:val="91"/>
              </w:rPr>
            </w:pPr>
            <w:hyperlink w:anchor="page46">
              <w:r>
                <w:rPr>
                  <w:rFonts w:ascii="Arial" w:cs="Arial" w:eastAsia="Arial" w:hAnsi="Arial"/>
                  <w:sz w:val="18"/>
                  <w:szCs w:val="18"/>
                  <w:color w:val="0000FF"/>
                  <w:w w:val="91"/>
                </w:rPr>
                <w:t>Annual Report of Management on Internal Control Over Financial Reporting</w:t>
              </w:r>
            </w:hyperlink>
          </w:p>
        </w:tc>
        <w:tc>
          <w:tcPr>
            <w:tcW w:w="480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47</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300" w:type="dxa"/>
            <w:vAlign w:val="bottom"/>
            <w:gridSpan w:val="2"/>
          </w:tcPr>
          <w:p>
            <w:pPr>
              <w:spacing w:after="0"/>
              <w:rPr>
                <w:rFonts w:ascii="Arial" w:cs="Arial" w:eastAsia="Arial" w:hAnsi="Arial"/>
                <w:sz w:val="18"/>
                <w:szCs w:val="18"/>
                <w:color w:val="0000FF"/>
                <w:w w:val="91"/>
              </w:rPr>
            </w:pPr>
            <w:hyperlink w:anchor="page47">
              <w:r>
                <w:rPr>
                  <w:rFonts w:ascii="Arial" w:cs="Arial" w:eastAsia="Arial" w:hAnsi="Arial"/>
                  <w:sz w:val="18"/>
                  <w:szCs w:val="18"/>
                  <w:color w:val="0000FF"/>
                  <w:w w:val="91"/>
                </w:rPr>
                <w:t>Reports of Independent Registered Public Accounting Firm</w:t>
              </w:r>
            </w:hyperlink>
          </w:p>
        </w:tc>
        <w:tc>
          <w:tcPr>
            <w:tcW w:w="1260" w:type="dxa"/>
            <w:vAlign w:val="bottom"/>
            <w:gridSpan w:val="2"/>
          </w:tcPr>
          <w:p>
            <w:pPr>
              <w:spacing w:after="0"/>
              <w:rPr>
                <w:sz w:val="21"/>
                <w:szCs w:val="21"/>
                <w:color w:val="auto"/>
              </w:rPr>
            </w:pPr>
          </w:p>
        </w:tc>
        <w:tc>
          <w:tcPr>
            <w:tcW w:w="480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48</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7320" w:type="dxa"/>
            <w:vAlign w:val="bottom"/>
            <w:gridSpan w:val="5"/>
          </w:tcPr>
          <w:p>
            <w:pPr>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Consolidated Statements of Operations for the fiscal years ended September 30, 2013, 2012 and 2011</w:t>
              </w:r>
            </w:hyperlink>
          </w:p>
        </w:tc>
        <w:tc>
          <w:tcPr>
            <w:tcW w:w="3040" w:type="dxa"/>
            <w:vAlign w:val="bottom"/>
            <w:gridSpan w:val="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50</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360" w:type="dxa"/>
            <w:vAlign w:val="bottom"/>
            <w:gridSpan w:val="9"/>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Consolidated Statements of Comprehensive Income for the fiscal years ended September 30, 2013, 2012 and 2011</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0">
              <w:r>
                <w:rPr>
                  <w:rFonts w:ascii="Arial" w:cs="Arial" w:eastAsia="Arial" w:hAnsi="Arial"/>
                  <w:sz w:val="18"/>
                  <w:szCs w:val="18"/>
                  <w:color w:val="0000FF"/>
                </w:rPr>
                <w:t>51</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7380" w:type="dxa"/>
            <w:vAlign w:val="bottom"/>
            <w:gridSpan w:val="6"/>
          </w:tcPr>
          <w:p>
            <w:pPr>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Consolidated Statements of Cash Flows for the fiscal years ended September 30, 2013, 2012 and 2011</w:t>
              </w:r>
            </w:hyperlink>
          </w:p>
        </w:tc>
        <w:tc>
          <w:tcPr>
            <w:tcW w:w="860" w:type="dxa"/>
            <w:vAlign w:val="bottom"/>
            <w:gridSpan w:val="2"/>
          </w:tcPr>
          <w:p>
            <w:pPr>
              <w:spacing w:after="0"/>
              <w:rPr>
                <w:sz w:val="21"/>
                <w:szCs w:val="21"/>
                <w:color w:val="auto"/>
              </w:rPr>
            </w:pPr>
          </w:p>
        </w:tc>
        <w:tc>
          <w:tcPr>
            <w:tcW w:w="2120" w:type="dxa"/>
            <w:vAlign w:val="bottom"/>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52</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480" w:type="dxa"/>
            <w:vAlign w:val="bottom"/>
            <w:gridSpan w:val="3"/>
          </w:tcPr>
          <w:p>
            <w:pPr>
              <w:spacing w:after="0"/>
              <w:rPr>
                <w:rFonts w:ascii="Arial" w:cs="Arial" w:eastAsia="Arial" w:hAnsi="Arial"/>
                <w:sz w:val="18"/>
                <w:szCs w:val="18"/>
                <w:color w:val="0000FF"/>
                <w:w w:val="88"/>
              </w:rPr>
            </w:pPr>
            <w:hyperlink w:anchor="page52">
              <w:r>
                <w:rPr>
                  <w:rFonts w:ascii="Arial" w:cs="Arial" w:eastAsia="Arial" w:hAnsi="Arial"/>
                  <w:sz w:val="18"/>
                  <w:szCs w:val="18"/>
                  <w:color w:val="0000FF"/>
                  <w:w w:val="88"/>
                </w:rPr>
                <w:t>Consolidated Balance Sheets at September 30, 2013 and 2012</w:t>
              </w:r>
            </w:hyperlink>
          </w:p>
        </w:tc>
        <w:tc>
          <w:tcPr>
            <w:tcW w:w="2900" w:type="dxa"/>
            <w:vAlign w:val="bottom"/>
            <w:gridSpan w:val="3"/>
          </w:tcPr>
          <w:p>
            <w:pPr>
              <w:spacing w:after="0"/>
              <w:rPr>
                <w:sz w:val="21"/>
                <w:szCs w:val="21"/>
                <w:color w:val="auto"/>
              </w:rPr>
            </w:pPr>
          </w:p>
        </w:tc>
        <w:tc>
          <w:tcPr>
            <w:tcW w:w="2980" w:type="dxa"/>
            <w:vAlign w:val="bottom"/>
            <w:gridSpan w:val="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2">
              <w:r>
                <w:rPr>
                  <w:rFonts w:ascii="Arial" w:cs="Arial" w:eastAsia="Arial" w:hAnsi="Arial"/>
                  <w:sz w:val="18"/>
                  <w:szCs w:val="18"/>
                  <w:color w:val="0000FF"/>
                </w:rPr>
                <w:t>53</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8060" w:type="dxa"/>
            <w:vAlign w:val="bottom"/>
            <w:gridSpan w:val="7"/>
          </w:tcPr>
          <w:p>
            <w:pPr>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Consolidated Statements of Shareholders’ Equity for the fiscal years ended September 30, 2013, 2012 and 2011</w:t>
              </w:r>
            </w:hyperlink>
          </w:p>
        </w:tc>
        <w:tc>
          <w:tcPr>
            <w:tcW w:w="2300" w:type="dxa"/>
            <w:vAlign w:val="bottom"/>
            <w:gridSpan w:val="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3">
              <w:r>
                <w:rPr>
                  <w:rFonts w:ascii="Arial" w:cs="Arial" w:eastAsia="Arial" w:hAnsi="Arial"/>
                  <w:sz w:val="18"/>
                  <w:szCs w:val="18"/>
                  <w:color w:val="0000FF"/>
                </w:rPr>
                <w:t>54</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4900" w:type="dxa"/>
            <w:vAlign w:val="bottom"/>
            <w:gridSpan w:val="6"/>
            <w:shd w:val="clear" w:color="auto" w:fill="0000FF"/>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160" w:type="dxa"/>
            <w:vAlign w:val="bottom"/>
          </w:tcPr>
          <w:p>
            <w:pPr>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Notes to Consolidated Financial Statements</w:t>
              </w:r>
            </w:hyperlink>
          </w:p>
        </w:tc>
        <w:tc>
          <w:tcPr>
            <w:tcW w:w="4900" w:type="dxa"/>
            <w:vAlign w:val="bottom"/>
            <w:gridSpan w:val="6"/>
          </w:tcPr>
          <w:p>
            <w:pPr>
              <w:spacing w:after="0"/>
              <w:rPr>
                <w:sz w:val="21"/>
                <w:szCs w:val="21"/>
                <w:color w:val="auto"/>
              </w:rPr>
            </w:pPr>
          </w:p>
        </w:tc>
        <w:tc>
          <w:tcPr>
            <w:tcW w:w="2300" w:type="dxa"/>
            <w:vAlign w:val="bottom"/>
            <w:gridSpan w:val="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55</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0700" w:type="dxa"/>
            <w:vAlign w:val="bottom"/>
            <w:gridSpan w:val="10"/>
          </w:tcPr>
          <w:p>
            <w:pPr>
              <w:spacing w:after="0"/>
              <w:rPr>
                <w:sz w:val="20"/>
                <w:szCs w:val="20"/>
                <w:color w:val="auto"/>
              </w:rPr>
            </w:pPr>
            <w:r>
              <w:rPr>
                <w:rFonts w:ascii="Arial" w:cs="Arial" w:eastAsia="Arial" w:hAnsi="Arial"/>
                <w:sz w:val="18"/>
                <w:szCs w:val="18"/>
                <w:color w:val="auto"/>
              </w:rPr>
              <w:t>Schedules Supporting the Consolidated Financial Statements: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40" w:type="dxa"/>
            <w:vAlign w:val="bottom"/>
          </w:tcPr>
          <w:p>
            <w:pPr>
              <w:spacing w:after="0"/>
              <w:rPr>
                <w:sz w:val="19"/>
                <w:szCs w:val="19"/>
                <w:color w:val="auto"/>
              </w:rPr>
            </w:pPr>
          </w:p>
        </w:tc>
        <w:tc>
          <w:tcPr>
            <w:tcW w:w="806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108">
              <w:r>
                <w:rPr>
                  <w:rFonts w:ascii="Arial" w:cs="Arial" w:eastAsia="Arial" w:hAnsi="Arial"/>
                  <w:sz w:val="18"/>
                  <w:szCs w:val="18"/>
                  <w:color w:val="0000FF"/>
                  <w:w w:val="90"/>
                </w:rPr>
                <w:t>Schedule II—Valuation and Qualifying Accounts for the fiscal years ended September 30, 2013, 2012 and 2011</w:t>
              </w:r>
            </w:hyperlink>
          </w:p>
        </w:tc>
        <w:tc>
          <w:tcPr>
            <w:tcW w:w="230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108">
              <w:r>
                <w:rPr>
                  <w:rFonts w:ascii="Arial" w:cs="Arial" w:eastAsia="Arial" w:hAnsi="Arial"/>
                  <w:sz w:val="18"/>
                  <w:szCs w:val="18"/>
                  <w:color w:val="0000FF"/>
                  <w:w w:val="86"/>
                </w:rPr>
                <w:t>109</w:t>
              </w:r>
            </w:hyperlink>
          </w:p>
        </w:tc>
        <w:tc>
          <w:tcPr>
            <w:tcW w:w="20" w:type="dxa"/>
            <w:vAlign w:val="bottom"/>
          </w:tcPr>
          <w:p>
            <w:pPr>
              <w:spacing w:after="0"/>
              <w:rPr>
                <w:sz w:val="19"/>
                <w:szCs w:val="19"/>
                <w:color w:val="auto"/>
              </w:rPr>
            </w:pPr>
          </w:p>
        </w:tc>
      </w:tr>
    </w:tbl>
    <w:p>
      <w:pPr>
        <w:spacing w:after="0" w:line="2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All other financial statement schedules for which provision is made in the applicable accounting regulations of the Securities and Exchange Commission are omitted because they are not required or are not applicable, or the required information has been presented in the Consolidated Financial Statements or Notes thereto.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OF MANAGEMENT ON INTERNAL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OVER FINANCIAL REPORTING</w:t>
      </w:r>
    </w:p>
    <w:p>
      <w:pPr>
        <w:spacing w:after="0" w:line="15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accounting principles generally accepted in the United States of America. Internal control over financial reporting includes those policies and procedures that (i) pertain to the maintenance of records that, in reasonable detail, accurately and fairly reflect the transactions and dispositions of the assets of The Scotts Miracle-Gro Company and our consolidated subsidiaries; (ii) provide reasonable assurance that transactions are recorded as necessary to permit preparation of financial statements in accordance with accounting principles generally accepted in the United States of America, and that receipts and expenditures of The Scotts Miracle-Gro Company and our consolidated subsidiaries are being made only in accordance with authorizations of management and directors of The Scotts Miracle-Gro Company and our consolidated subsidiaries, as appropriate; and (iii) provide reasonable assurance regarding prevention or timely detection of unauthorized acquisition, use or disposition of the assets of The Scotts Miracle-Gro Company and our consolidated subsidiaries that could have a material effect on our consolidated financial statements.</w:t>
      </w:r>
    </w:p>
    <w:p>
      <w:pPr>
        <w:spacing w:after="0" w:line="12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 xml:space="preserve">Management, with the participation of our principal executive officer and principal financial officer, assessed the effectiveness of our internal control over financial reporting as of September 30, 2013, the end of our fiscal year. Management based its assessment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Committee of Sponsoring Organizations of the Treadway Commission. Management’s assessment included evaluation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such elements as the design and operating effectiveness of key financial reporting controls, process documentation, accounting policies and our overall control environment. This assessment is supported by testing and monitoring performed under the direction of management.</w:t>
      </w:r>
    </w:p>
    <w:p>
      <w:pPr>
        <w:spacing w:after="0" w:line="10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evaluations of effectiveness to future periods are subject to the risk that controls may become inadequate because of changes in conditions, or that the degree of compliance with the policies or procedures may deteriorate. Accordingly, even an effective system of internal control over financial reporting will provide only reasonable assurance with respect to financial statement preparation.</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Based on our assessment, management has concluded that our internal control over financial reporting was effective as of September 30, 2013, to provide reasonable assurance regarding the reliability of financial reporting and the preparation of financial statements for external reporting purposes in accordance with accounting principles generally accepted in the United States of America. We reviewed the results of management’s assessment with the Audit and Finance Committee of the Board of Directors of The Scotts Miracle-Gro Company.</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independent registered public accounting firm, Deloitte &amp; Touche LLP, independently audited our internal control over financial reporting as of September 30, 2013 and has issued their attestation report which appears herein.</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/s/  JAMES HAGEDORN</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/s/  LAWRENCE A. HILSHEIMER</w:t>
            </w:r>
          </w:p>
        </w:tc>
      </w:tr>
      <w:tr>
        <w:trPr>
          <w:trHeight w:val="27"/>
        </w:trPr>
        <w:tc>
          <w:tcPr>
            <w:tcW w:w="4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22"/>
        </w:trPr>
        <w:tc>
          <w:tcPr>
            <w:tcW w:w="4700" w:type="dxa"/>
            <w:vAlign w:val="bottom"/>
          </w:tcPr>
          <w:p>
            <w:pPr>
              <w:ind w:left="40"/>
              <w:spacing w:after="0"/>
              <w:rPr>
                <w:sz w:val="20"/>
                <w:szCs w:val="20"/>
                <w:color w:val="auto"/>
              </w:rPr>
            </w:pPr>
            <w:r>
              <w:rPr>
                <w:rFonts w:ascii="Arial" w:cs="Arial" w:eastAsia="Arial" w:hAnsi="Arial"/>
                <w:sz w:val="18"/>
                <w:szCs w:val="18"/>
                <w:color w:val="auto"/>
              </w:rPr>
              <w:t>James Hagedorn</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Lawrence A. Hilsheimer</w:t>
            </w: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Chief Executive Officer and Chairman of the Board</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392"/>
        </w:trPr>
        <w:tc>
          <w:tcPr>
            <w:tcW w:w="4700" w:type="dxa"/>
            <w:vAlign w:val="bottom"/>
          </w:tcPr>
          <w:p>
            <w:pPr>
              <w:ind w:left="40"/>
              <w:spacing w:after="0"/>
              <w:rPr>
                <w:sz w:val="20"/>
                <w:szCs w:val="20"/>
                <w:color w:val="auto"/>
              </w:rPr>
            </w:pPr>
            <w:r>
              <w:rPr>
                <w:rFonts w:ascii="Arial" w:cs="Arial" w:eastAsia="Arial" w:hAnsi="Arial"/>
                <w:sz w:val="18"/>
                <w:szCs w:val="18"/>
                <w:color w:val="auto"/>
                <w:w w:val="91"/>
              </w:rPr>
              <w:t>Dated:November 20, 2013</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Dated:  November 20, 2013</w:t>
            </w:r>
          </w:p>
        </w:tc>
      </w:tr>
      <w:tr>
        <w:trPr>
          <w:trHeight w:val="702"/>
        </w:trPr>
        <w:tc>
          <w:tcPr>
            <w:tcW w:w="470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55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w:t>
      </w:r>
    </w:p>
    <w:p>
      <w:pPr>
        <w:spacing w:after="0" w:line="15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have audited the accompanying consolidated balance sheets of The Scotts Miracle-Gro Company and subsidiaries (the "Company") as of September 30, 2013 and 2012, and the related consolidated statements of operations, comprehensive income, shareholders’ equity, and cash flows for each of the three years in the period ended September 30, 2013. Our audits also included the financial statement schedules listed in the Index to Consolidated Financial Statements and Financial Statement Schedules. These consolidated financial statements and financial statement schedules are the responsibility of the Company’s management. Our responsibility is to express an opinion on these consolidated financial statements and financial statement schedules based on our audits.</w:t>
      </w:r>
    </w:p>
    <w:p>
      <w:pPr>
        <w:spacing w:after="0" w:line="13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the Company as of September 30, 2013 and 2012, and the results of its operations and its cash flows for each of the three years in the period ended September 30, 2013, in conformity with accounting principles generally accepted in the United States of America. Also, in our opinion, such financial statement schedules, when considered in relation to the basic consolidated financial statements taken as a whole, present fairly, in all material respects, the information set forth therein.</w:t>
      </w:r>
    </w:p>
    <w:p>
      <w:pPr>
        <w:spacing w:after="0" w:line="10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September 30, 2013, based on the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 and our report dated November 20, 2013 expressed an unqualified opinion on the Company’s internal control over financial reporting.</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Columbus, Ohio</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20, 2013</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w:t>
      </w:r>
    </w:p>
    <w:p>
      <w:pPr>
        <w:spacing w:after="0" w:line="15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 xml:space="preserve">We have audited the internal control over financial reporting of The Scotts Miracle-Gro Company and subsidiaries (the "Company") as of September 30, 2013, based on criteria established in </w:t>
      </w:r>
      <w:r>
        <w:rPr>
          <w:rFonts w:ascii="Arial" w:cs="Arial" w:eastAsia="Arial" w:hAnsi="Arial"/>
          <w:sz w:val="16"/>
          <w:szCs w:val="16"/>
          <w:i w:val="1"/>
          <w:iCs w:val="1"/>
          <w:color w:val="auto"/>
        </w:rPr>
        <w:t>Internal Control—Integrated Framework (1992)</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which is included in the accompanying Annual Report of Management on Internal Control Over Financial Reporting. Our responsibility is to express an opinion on the Company’s internal control over financial reporting based on our audit.</w:t>
      </w:r>
    </w:p>
    <w:p>
      <w:pPr>
        <w:spacing w:after="0" w:line="10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9"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in the United States of America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September 30, 2013, based on the criteria established in </w:t>
      </w:r>
      <w:r>
        <w:rPr>
          <w:rFonts w:ascii="Arial" w:cs="Arial" w:eastAsia="Arial" w:hAnsi="Arial"/>
          <w:sz w:val="18"/>
          <w:szCs w:val="18"/>
          <w:i w:val="1"/>
          <w:iCs w:val="1"/>
          <w:color w:val="auto"/>
        </w:rPr>
        <w:t>Internal Control—Integrated Framework (1992)</w:t>
      </w:r>
      <w:r>
        <w:rPr>
          <w:rFonts w:ascii="Arial" w:cs="Arial" w:eastAsia="Arial" w:hAnsi="Arial"/>
          <w:sz w:val="18"/>
          <w:szCs w:val="18"/>
          <w:color w:val="auto"/>
        </w:rPr>
        <w:t xml:space="preserve"> issued by the Committee of Sponsoring Organizations of the Treadway Commission.</w:t>
      </w:r>
    </w:p>
    <w:p>
      <w:pPr>
        <w:spacing w:after="0" w:line="12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the consolidated financial statements and financial statement schedules as of and for the year ended September 30, 2013 of the Company and our report dated November 20, 2013 expressed an unqualified opinion on those consolidated financial statements and financial statement schedules.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20, 2013</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3"/>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2,816.5</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2,799.7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1,831.9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1,864.4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1,769.0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sales—product registration and recall matters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686.3</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Costs related to refinancing</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Income from continuing operations before income taxes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from continuing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167.9</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income per common share:</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2.61</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0.44</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Basic net income per common share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2.60</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income per common share:</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2.58</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0.43</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Diluted net income per common share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2.54</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SCOTTS MIRACLE-GRO COMPANY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1"/>
              </w:rPr>
              <w:t>Year Ended September 30,</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161.1</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7080" w:type="dxa"/>
            <w:vAlign w:val="bottom"/>
          </w:tcPr>
          <w:p>
            <w:pPr>
              <w:ind w:left="500"/>
              <w:spacing w:after="0"/>
              <w:rPr>
                <w:sz w:val="20"/>
                <w:szCs w:val="20"/>
                <w:color w:val="auto"/>
              </w:rPr>
            </w:pPr>
            <w:r>
              <w:rPr>
                <w:rFonts w:ascii="Arial" w:cs="Arial" w:eastAsia="Arial" w:hAnsi="Arial"/>
                <w:sz w:val="18"/>
                <w:szCs w:val="18"/>
                <w:color w:val="auto"/>
                <w:w w:val="91"/>
              </w:rPr>
              <w:t>Net unrealized losses on derivative instruments, net of tax of $2.1, $6.2 and $3.0 for fiscal</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2013, 2012 and 2011, respectively</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0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4"/>
              </w:rPr>
              <w:t>Reclassification of net unrealized losses on derivatives to net income, net of tax of $5.4,</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$5.6 and $2.3 for fiscal 2013, 2012 and 2011, respectively</w:t>
            </w:r>
          </w:p>
        </w:tc>
        <w:tc>
          <w:tcPr>
            <w:tcW w:w="8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r>
      <w:tr>
        <w:trPr>
          <w:trHeight w:val="229"/>
        </w:trPr>
        <w:tc>
          <w:tcPr>
            <w:tcW w:w="7080" w:type="dxa"/>
            <w:vAlign w:val="bottom"/>
          </w:tcPr>
          <w:p>
            <w:pPr>
              <w:ind w:left="500"/>
              <w:spacing w:after="0"/>
              <w:rPr>
                <w:sz w:val="20"/>
                <w:szCs w:val="20"/>
                <w:color w:val="auto"/>
              </w:rPr>
            </w:pPr>
            <w:r>
              <w:rPr>
                <w:rFonts w:ascii="Arial" w:cs="Arial" w:eastAsia="Arial" w:hAnsi="Arial"/>
                <w:sz w:val="18"/>
                <w:szCs w:val="18"/>
                <w:color w:val="auto"/>
                <w:w w:val="94"/>
              </w:rPr>
              <w:t>Net unrealized gains (losses) in pension and other post retirement benefits, net of tax of</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$2.4, $0.4 and $4.7 for fiscal 2013, 2012 and 2011, respectively</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8.3</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0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1"/>
              </w:rPr>
              <w:t>Reclassification of net pension and post-retirement benefit loss to net income, net of tax of</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$2.3, $2.2 and $2.2 for fiscal 2013, 2012 and 2011, respectively</w:t>
            </w:r>
          </w:p>
        </w:tc>
        <w:tc>
          <w:tcPr>
            <w:tcW w:w="8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170.6</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97.2</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7080" w:type="dxa"/>
            <w:vAlign w:val="bottom"/>
            <w:gridSpan w:val="2"/>
          </w:tcPr>
          <w:p>
            <w:pPr>
              <w:spacing w:after="0"/>
              <w:rPr>
                <w:rFonts w:ascii="Arial" w:cs="Arial" w:eastAsia="Arial" w:hAnsi="Arial"/>
                <w:sz w:val="14"/>
                <w:szCs w:val="14"/>
                <w:color w:val="0000FF"/>
              </w:rPr>
            </w:pPr>
            <w:hyperlink w:anchor="page45">
              <w:r>
                <w:rPr>
                  <w:rFonts w:ascii="Arial" w:cs="Arial" w:eastAsia="Arial" w:hAnsi="Arial"/>
                  <w:sz w:val="14"/>
                  <w:szCs w:val="14"/>
                  <w:color w:val="0000FF"/>
                </w:rPr>
                <w:t>Table of Contents</w:t>
              </w:r>
            </w:hyperlink>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447"/>
        </w:trPr>
        <w:tc>
          <w:tcPr>
            <w:tcW w:w="1020" w:type="dxa"/>
            <w:vAlign w:val="bottom"/>
            <w:tcBorders>
              <w:top w:val="single" w:sz="8" w:color="0000FF"/>
            </w:tcBorders>
          </w:tcPr>
          <w:p>
            <w:pPr>
              <w:spacing w:after="0"/>
              <w:rPr>
                <w:sz w:val="24"/>
                <w:szCs w:val="24"/>
                <w:color w:val="auto"/>
              </w:rPr>
            </w:pPr>
          </w:p>
        </w:tc>
        <w:tc>
          <w:tcPr>
            <w:tcW w:w="6940" w:type="dxa"/>
            <w:vAlign w:val="bottom"/>
            <w:gridSpan w:val="2"/>
          </w:tcPr>
          <w:p>
            <w:pPr>
              <w:jc w:val="center"/>
              <w:ind w:left="2359"/>
              <w:spacing w:after="0"/>
              <w:rPr>
                <w:sz w:val="20"/>
                <w:szCs w:val="20"/>
                <w:color w:val="auto"/>
              </w:rPr>
            </w:pPr>
            <w:r>
              <w:rPr>
                <w:rFonts w:ascii="Arial" w:cs="Arial" w:eastAsia="Arial" w:hAnsi="Arial"/>
                <w:sz w:val="16"/>
                <w:szCs w:val="16"/>
                <w:b w:val="1"/>
                <w:bCs w:val="1"/>
                <w:color w:val="auto"/>
              </w:rPr>
              <w:t>THE SCOTTS MIRACLE-GRO COMPANY</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9"/>
        </w:trPr>
        <w:tc>
          <w:tcPr>
            <w:tcW w:w="1020" w:type="dxa"/>
            <w:vAlign w:val="bottom"/>
          </w:tcPr>
          <w:p>
            <w:pPr>
              <w:spacing w:after="0"/>
              <w:rPr>
                <w:sz w:val="21"/>
                <w:szCs w:val="21"/>
                <w:color w:val="auto"/>
              </w:rPr>
            </w:pPr>
          </w:p>
        </w:tc>
        <w:tc>
          <w:tcPr>
            <w:tcW w:w="6060" w:type="dxa"/>
            <w:vAlign w:val="bottom"/>
          </w:tcPr>
          <w:p>
            <w:pPr>
              <w:jc w:val="center"/>
              <w:ind w:left="3259"/>
              <w:spacing w:after="0"/>
              <w:rPr>
                <w:sz w:val="20"/>
                <w:szCs w:val="20"/>
                <w:color w:val="auto"/>
              </w:rPr>
            </w:pPr>
            <w:r>
              <w:rPr>
                <w:rFonts w:ascii="Arial" w:cs="Arial" w:eastAsia="Arial" w:hAnsi="Arial"/>
                <w:sz w:val="16"/>
                <w:szCs w:val="16"/>
                <w:b w:val="1"/>
                <w:bCs w:val="1"/>
                <w:color w:val="auto"/>
                <w:w w:val="89"/>
              </w:rPr>
              <w:t>Consolidated Statements of Cash Flows</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10"/>
        </w:trPr>
        <w:tc>
          <w:tcPr>
            <w:tcW w:w="1020" w:type="dxa"/>
            <w:vAlign w:val="bottom"/>
          </w:tcPr>
          <w:p>
            <w:pPr>
              <w:spacing w:after="0"/>
              <w:rPr>
                <w:sz w:val="18"/>
                <w:szCs w:val="18"/>
                <w:color w:val="auto"/>
              </w:rPr>
            </w:pPr>
          </w:p>
        </w:tc>
        <w:tc>
          <w:tcPr>
            <w:tcW w:w="6060" w:type="dxa"/>
            <w:vAlign w:val="bottom"/>
          </w:tcPr>
          <w:p>
            <w:pPr>
              <w:jc w:val="center"/>
              <w:ind w:left="3239"/>
              <w:spacing w:after="0"/>
              <w:rPr>
                <w:sz w:val="20"/>
                <w:szCs w:val="20"/>
                <w:color w:val="auto"/>
              </w:rPr>
            </w:pPr>
            <w:r>
              <w:rPr>
                <w:rFonts w:ascii="Arial" w:cs="Arial" w:eastAsia="Arial" w:hAnsi="Arial"/>
                <w:sz w:val="16"/>
                <w:szCs w:val="16"/>
                <w:b w:val="1"/>
                <w:bCs w:val="1"/>
                <w:color w:val="auto"/>
                <w:w w:val="95"/>
              </w:rPr>
              <w:t>(In millions)</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65"/>
        </w:trPr>
        <w:tc>
          <w:tcPr>
            <w:tcW w:w="10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20" w:type="dxa"/>
            <w:vAlign w:val="bottom"/>
            <w:gridSpan w:val="6"/>
          </w:tcPr>
          <w:p>
            <w:pPr>
              <w:jc w:val="right"/>
              <w:ind w:right="119"/>
              <w:spacing w:after="0"/>
              <w:rPr>
                <w:sz w:val="20"/>
                <w:szCs w:val="20"/>
                <w:color w:val="auto"/>
              </w:rPr>
            </w:pPr>
            <w:r>
              <w:rPr>
                <w:rFonts w:ascii="Arial" w:cs="Arial" w:eastAsia="Arial" w:hAnsi="Arial"/>
                <w:sz w:val="16"/>
                <w:szCs w:val="16"/>
                <w:b w:val="1"/>
                <w:bCs w:val="1"/>
                <w:color w:val="auto"/>
              </w:rPr>
              <w:t>Year Ended September 30,</w:t>
            </w:r>
          </w:p>
        </w:tc>
        <w:tc>
          <w:tcPr>
            <w:tcW w:w="1040" w:type="dxa"/>
            <w:vAlign w:val="bottom"/>
          </w:tcPr>
          <w:p>
            <w:pPr>
              <w:spacing w:after="0"/>
              <w:rPr>
                <w:sz w:val="24"/>
                <w:szCs w:val="24"/>
                <w:color w:val="auto"/>
              </w:rPr>
            </w:pPr>
          </w:p>
        </w:tc>
      </w:tr>
      <w:tr>
        <w:trPr>
          <w:trHeight w:val="33"/>
        </w:trPr>
        <w:tc>
          <w:tcPr>
            <w:tcW w:w="10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10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2011</w:t>
            </w:r>
          </w:p>
        </w:tc>
      </w:tr>
      <w:tr>
        <w:trPr>
          <w:trHeight w:val="33"/>
        </w:trPr>
        <w:tc>
          <w:tcPr>
            <w:tcW w:w="102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4"/>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60"/>
        </w:trPr>
        <w:tc>
          <w:tcPr>
            <w:tcW w:w="1020" w:type="dxa"/>
            <w:vAlign w:val="bottom"/>
            <w:shd w:val="clear" w:color="auto" w:fill="CCEEFF"/>
          </w:tcPr>
          <w:p>
            <w:pPr>
              <w:spacing w:after="0"/>
              <w:rPr>
                <w:sz w:val="5"/>
                <w:szCs w:val="5"/>
                <w:color w:val="auto"/>
              </w:rPr>
            </w:pPr>
          </w:p>
        </w:tc>
        <w:tc>
          <w:tcPr>
            <w:tcW w:w="60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37"/>
        </w:trPr>
        <w:tc>
          <w:tcPr>
            <w:tcW w:w="7080" w:type="dxa"/>
            <w:vAlign w:val="bottom"/>
            <w:gridSpan w:val="2"/>
          </w:tcPr>
          <w:p>
            <w:pPr>
              <w:ind w:left="380"/>
              <w:spacing w:after="0"/>
              <w:rPr>
                <w:sz w:val="20"/>
                <w:szCs w:val="20"/>
                <w:color w:val="auto"/>
              </w:rPr>
            </w:pPr>
            <w:r>
              <w:rPr>
                <w:rFonts w:ascii="Arial" w:cs="Arial" w:eastAsia="Arial" w:hAnsi="Arial"/>
                <w:sz w:val="16"/>
                <w:szCs w:val="16"/>
                <w:color w:val="auto"/>
              </w:rPr>
              <w:t>Net income</w:t>
            </w: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161.1</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106.5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167.9</w:t>
            </w:r>
          </w:p>
        </w:tc>
      </w:tr>
      <w:tr>
        <w:trPr>
          <w:trHeight w:val="33"/>
        </w:trPr>
        <w:tc>
          <w:tcPr>
            <w:tcW w:w="10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gridSpan w:val="2"/>
          </w:tcPr>
          <w:p>
            <w:pPr>
              <w:ind w:left="720"/>
              <w:spacing w:after="0"/>
              <w:rPr>
                <w:sz w:val="20"/>
                <w:szCs w:val="20"/>
                <w:color w:val="auto"/>
              </w:rPr>
            </w:pPr>
            <w:r>
              <w:rPr>
                <w:rFonts w:ascii="Arial" w:cs="Arial" w:eastAsia="Arial" w:hAnsi="Arial"/>
                <w:sz w:val="16"/>
                <w:szCs w:val="16"/>
                <w:color w:val="auto"/>
              </w:rPr>
              <w:t>Impairment, restructuring and other</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31.8</w:t>
            </w:r>
          </w:p>
        </w:tc>
      </w:tr>
      <w:tr>
        <w:trPr>
          <w:trHeight w:val="33"/>
        </w:trPr>
        <w:tc>
          <w:tcPr>
            <w:tcW w:w="10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Costs related to refinancing</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37"/>
        </w:trPr>
        <w:tc>
          <w:tcPr>
            <w:tcW w:w="7080" w:type="dxa"/>
            <w:vAlign w:val="bottom"/>
            <w:gridSpan w:val="2"/>
          </w:tcPr>
          <w:p>
            <w:pPr>
              <w:ind w:left="720"/>
              <w:spacing w:after="0"/>
              <w:rPr>
                <w:sz w:val="20"/>
                <w:szCs w:val="20"/>
                <w:color w:val="auto"/>
              </w:rPr>
            </w:pPr>
            <w:r>
              <w:rPr>
                <w:rFonts w:ascii="Arial" w:cs="Arial" w:eastAsia="Arial" w:hAnsi="Arial"/>
                <w:sz w:val="16"/>
                <w:szCs w:val="16"/>
                <w:color w:val="auto"/>
              </w:rPr>
              <w:t>Share-based compensation expense</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16.0</w:t>
            </w:r>
          </w:p>
        </w:tc>
      </w:tr>
      <w:tr>
        <w:trPr>
          <w:trHeight w:val="33"/>
        </w:trPr>
        <w:tc>
          <w:tcPr>
            <w:tcW w:w="10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Depreciation</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50.3</w:t>
            </w:r>
          </w:p>
        </w:tc>
      </w:tr>
      <w:tr>
        <w:trPr>
          <w:trHeight w:val="237"/>
        </w:trPr>
        <w:tc>
          <w:tcPr>
            <w:tcW w:w="7080" w:type="dxa"/>
            <w:vAlign w:val="bottom"/>
            <w:gridSpan w:val="2"/>
          </w:tcPr>
          <w:p>
            <w:pPr>
              <w:ind w:left="720"/>
              <w:spacing w:after="0"/>
              <w:rPr>
                <w:sz w:val="20"/>
                <w:szCs w:val="20"/>
                <w:color w:val="auto"/>
              </w:rPr>
            </w:pPr>
            <w:r>
              <w:rPr>
                <w:rFonts w:ascii="Arial" w:cs="Arial" w:eastAsia="Arial" w:hAnsi="Arial"/>
                <w:sz w:val="16"/>
                <w:szCs w:val="16"/>
                <w:color w:val="auto"/>
              </w:rPr>
              <w:t>Amortization</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11.4</w:t>
            </w:r>
          </w:p>
        </w:tc>
      </w:tr>
      <w:tr>
        <w:trPr>
          <w:trHeight w:val="33"/>
        </w:trPr>
        <w:tc>
          <w:tcPr>
            <w:tcW w:w="10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Deferred taxes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37"/>
        </w:trPr>
        <w:tc>
          <w:tcPr>
            <w:tcW w:w="7080" w:type="dxa"/>
            <w:vAlign w:val="bottom"/>
            <w:gridSpan w:val="2"/>
          </w:tcPr>
          <w:p>
            <w:pPr>
              <w:ind w:left="720"/>
              <w:spacing w:after="0"/>
              <w:rPr>
                <w:sz w:val="20"/>
                <w:szCs w:val="20"/>
                <w:color w:val="auto"/>
              </w:rPr>
            </w:pPr>
            <w:r>
              <w:rPr>
                <w:rFonts w:ascii="Arial" w:cs="Arial" w:eastAsia="Arial" w:hAnsi="Arial"/>
                <w:sz w:val="16"/>
                <w:szCs w:val="16"/>
                <w:color w:val="auto"/>
              </w:rPr>
              <w:t>Loss (gain) on sale of long-lived assets</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0.8</w:t>
            </w:r>
          </w:p>
        </w:tc>
      </w:tr>
      <w:tr>
        <w:trPr>
          <w:trHeight w:val="33"/>
        </w:trPr>
        <w:tc>
          <w:tcPr>
            <w:tcW w:w="10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Gain on sale of business</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(93.0)</w:t>
            </w:r>
          </w:p>
        </w:tc>
      </w:tr>
      <w:tr>
        <w:trPr>
          <w:trHeight w:val="237"/>
        </w:trPr>
        <w:tc>
          <w:tcPr>
            <w:tcW w:w="7080" w:type="dxa"/>
            <w:vAlign w:val="bottom"/>
            <w:gridSpan w:val="2"/>
          </w:tcPr>
          <w:p>
            <w:pPr>
              <w:ind w:left="720"/>
              <w:spacing w:after="0"/>
              <w:rPr>
                <w:sz w:val="20"/>
                <w:szCs w:val="20"/>
                <w:color w:val="auto"/>
              </w:rPr>
            </w:pPr>
            <w:r>
              <w:rPr>
                <w:rFonts w:ascii="Arial" w:cs="Arial" w:eastAsia="Arial" w:hAnsi="Arial"/>
                <w:sz w:val="16"/>
                <w:szCs w:val="16"/>
                <w:color w:val="auto"/>
              </w:rPr>
              <w:t>Equity in net loss of unconsolidated affiliates</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0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Changes in assets and liabilities, net of acquired businesses: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1020" w:type="dxa"/>
            <w:vAlign w:val="bottom"/>
          </w:tcPr>
          <w:p>
            <w:pPr>
              <w:spacing w:after="0"/>
              <w:rPr>
                <w:sz w:val="20"/>
                <w:szCs w:val="20"/>
                <w:color w:val="auto"/>
              </w:rPr>
            </w:pPr>
          </w:p>
        </w:tc>
        <w:tc>
          <w:tcPr>
            <w:tcW w:w="6060" w:type="dxa"/>
            <w:vAlign w:val="bottom"/>
          </w:tcPr>
          <w:p>
            <w:pPr>
              <w:ind w:left="120"/>
              <w:spacing w:after="0"/>
              <w:rPr>
                <w:sz w:val="20"/>
                <w:szCs w:val="20"/>
                <w:color w:val="auto"/>
              </w:rPr>
            </w:pPr>
            <w:r>
              <w:rPr>
                <w:rFonts w:ascii="Arial" w:cs="Arial" w:eastAsia="Arial" w:hAnsi="Arial"/>
                <w:sz w:val="16"/>
                <w:szCs w:val="16"/>
                <w:color w:val="auto"/>
              </w:rPr>
              <w:t>Accounts receivable</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10.4</w:t>
            </w:r>
          </w:p>
        </w:tc>
      </w:tr>
      <w:tr>
        <w:trPr>
          <w:trHeight w:val="33"/>
        </w:trPr>
        <w:tc>
          <w:tcPr>
            <w:tcW w:w="10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w:t>
            </w:r>
          </w:p>
        </w:tc>
      </w:tr>
      <w:tr>
        <w:trPr>
          <w:trHeight w:val="237"/>
        </w:trPr>
        <w:tc>
          <w:tcPr>
            <w:tcW w:w="1020" w:type="dxa"/>
            <w:vAlign w:val="bottom"/>
          </w:tcPr>
          <w:p>
            <w:pPr>
              <w:spacing w:after="0"/>
              <w:rPr>
                <w:sz w:val="20"/>
                <w:szCs w:val="20"/>
                <w:color w:val="auto"/>
              </w:rPr>
            </w:pPr>
          </w:p>
        </w:tc>
        <w:tc>
          <w:tcPr>
            <w:tcW w:w="6060" w:type="dxa"/>
            <w:vAlign w:val="bottom"/>
          </w:tcPr>
          <w:p>
            <w:pPr>
              <w:ind w:left="120"/>
              <w:spacing w:after="0"/>
              <w:rPr>
                <w:sz w:val="20"/>
                <w:szCs w:val="20"/>
                <w:color w:val="auto"/>
              </w:rPr>
            </w:pPr>
            <w:r>
              <w:rPr>
                <w:rFonts w:ascii="Arial" w:cs="Arial" w:eastAsia="Arial" w:hAnsi="Arial"/>
                <w:sz w:val="16"/>
                <w:szCs w:val="16"/>
                <w:color w:val="auto"/>
              </w:rPr>
              <w:t>Prepaid and other assets</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33"/>
        </w:trPr>
        <w:tc>
          <w:tcPr>
            <w:tcW w:w="10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r>
      <w:tr>
        <w:trPr>
          <w:trHeight w:val="237"/>
        </w:trPr>
        <w:tc>
          <w:tcPr>
            <w:tcW w:w="1020" w:type="dxa"/>
            <w:vAlign w:val="bottom"/>
          </w:tcPr>
          <w:p>
            <w:pPr>
              <w:spacing w:after="0"/>
              <w:rPr>
                <w:sz w:val="20"/>
                <w:szCs w:val="20"/>
                <w:color w:val="auto"/>
              </w:rPr>
            </w:pPr>
          </w:p>
        </w:tc>
        <w:tc>
          <w:tcPr>
            <w:tcW w:w="606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(76.5)</w:t>
            </w:r>
          </w:p>
        </w:tc>
      </w:tr>
      <w:tr>
        <w:trPr>
          <w:trHeight w:val="33"/>
        </w:trPr>
        <w:tc>
          <w:tcPr>
            <w:tcW w:w="10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Restructuring reserves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w:t>
            </w:r>
          </w:p>
        </w:tc>
      </w:tr>
      <w:tr>
        <w:trPr>
          <w:trHeight w:val="237"/>
        </w:trPr>
        <w:tc>
          <w:tcPr>
            <w:tcW w:w="1020" w:type="dxa"/>
            <w:vAlign w:val="bottom"/>
          </w:tcPr>
          <w:p>
            <w:pPr>
              <w:spacing w:after="0"/>
              <w:rPr>
                <w:sz w:val="20"/>
                <w:szCs w:val="20"/>
                <w:color w:val="auto"/>
              </w:rPr>
            </w:pPr>
          </w:p>
        </w:tc>
        <w:tc>
          <w:tcPr>
            <w:tcW w:w="6060" w:type="dxa"/>
            <w:vAlign w:val="bottom"/>
          </w:tcPr>
          <w:p>
            <w:pPr>
              <w:ind w:left="120"/>
              <w:spacing w:after="0"/>
              <w:rPr>
                <w:sz w:val="20"/>
                <w:szCs w:val="20"/>
                <w:color w:val="auto"/>
              </w:rPr>
            </w:pPr>
            <w:r>
              <w:rPr>
                <w:rFonts w:ascii="Arial" w:cs="Arial" w:eastAsia="Arial" w:hAnsi="Arial"/>
                <w:sz w:val="16"/>
                <w:szCs w:val="16"/>
                <w:color w:val="auto"/>
              </w:rPr>
              <w:t>Other non-current items</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13.0</w:t>
            </w:r>
          </w:p>
        </w:tc>
      </w:tr>
      <w:tr>
        <w:trPr>
          <w:trHeight w:val="33"/>
        </w:trPr>
        <w:tc>
          <w:tcPr>
            <w:tcW w:w="10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1020" w:type="dxa"/>
            <w:vAlign w:val="bottom"/>
            <w:tcBorders>
              <w:bottom w:val="single" w:sz="8" w:color="CCEEFF"/>
            </w:tcBorders>
            <w:shd w:val="clear" w:color="auto" w:fill="CCEEFF"/>
          </w:tcPr>
          <w:p>
            <w:pPr>
              <w:spacing w:after="0"/>
              <w:rPr>
                <w:sz w:val="23"/>
                <w:szCs w:val="23"/>
                <w:color w:val="auto"/>
              </w:rPr>
            </w:pPr>
          </w:p>
        </w:tc>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r>
      <w:tr>
        <w:trPr>
          <w:trHeight w:val="217"/>
        </w:trPr>
        <w:tc>
          <w:tcPr>
            <w:tcW w:w="1020" w:type="dxa"/>
            <w:vAlign w:val="bottom"/>
          </w:tcPr>
          <w:p>
            <w:pPr>
              <w:spacing w:after="0"/>
              <w:rPr>
                <w:sz w:val="18"/>
                <w:szCs w:val="18"/>
                <w:color w:val="auto"/>
              </w:rPr>
            </w:pPr>
          </w:p>
        </w:tc>
        <w:tc>
          <w:tcPr>
            <w:tcW w:w="6060" w:type="dxa"/>
            <w:vAlign w:val="bottom"/>
          </w:tcPr>
          <w:p>
            <w:pPr>
              <w:ind w:left="440"/>
              <w:spacing w:after="0"/>
              <w:rPr>
                <w:sz w:val="20"/>
                <w:szCs w:val="20"/>
                <w:color w:val="auto"/>
              </w:rPr>
            </w:pPr>
            <w:r>
              <w:rPr>
                <w:rFonts w:ascii="Arial" w:cs="Arial" w:eastAsia="Arial" w:hAnsi="Arial"/>
                <w:sz w:val="16"/>
                <w:szCs w:val="16"/>
                <w:color w:val="auto"/>
              </w:rPr>
              <w:t>Net cash provided by operating activities</w:t>
            </w:r>
          </w:p>
        </w:tc>
        <w:tc>
          <w:tcPr>
            <w:tcW w:w="8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4"/>
              </w:rPr>
              <w:t>342.0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122.1</w:t>
            </w:r>
          </w:p>
        </w:tc>
      </w:tr>
      <w:tr>
        <w:trPr>
          <w:trHeight w:val="33"/>
        </w:trPr>
        <w:tc>
          <w:tcPr>
            <w:tcW w:w="102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4"/>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60"/>
        </w:trPr>
        <w:tc>
          <w:tcPr>
            <w:tcW w:w="1020" w:type="dxa"/>
            <w:vAlign w:val="bottom"/>
            <w:shd w:val="clear" w:color="auto" w:fill="CCEEFF"/>
          </w:tcPr>
          <w:p>
            <w:pPr>
              <w:spacing w:after="0"/>
              <w:rPr>
                <w:sz w:val="5"/>
                <w:szCs w:val="5"/>
                <w:color w:val="auto"/>
              </w:rPr>
            </w:pPr>
          </w:p>
        </w:tc>
        <w:tc>
          <w:tcPr>
            <w:tcW w:w="60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37"/>
        </w:trPr>
        <w:tc>
          <w:tcPr>
            <w:tcW w:w="7080" w:type="dxa"/>
            <w:vAlign w:val="bottom"/>
            <w:gridSpan w:val="2"/>
          </w:tcPr>
          <w:p>
            <w:pPr>
              <w:ind w:left="720"/>
              <w:spacing w:after="0"/>
              <w:rPr>
                <w:sz w:val="20"/>
                <w:szCs w:val="20"/>
                <w:color w:val="auto"/>
              </w:rPr>
            </w:pPr>
            <w:r>
              <w:rPr>
                <w:rFonts w:ascii="Arial" w:cs="Arial" w:eastAsia="Arial" w:hAnsi="Arial"/>
                <w:sz w:val="16"/>
                <w:szCs w:val="16"/>
                <w:color w:val="auto"/>
              </w:rPr>
              <w:t>Proceeds from sale of long-lived assets</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0.2</w:t>
            </w:r>
          </w:p>
        </w:tc>
      </w:tr>
      <w:tr>
        <w:trPr>
          <w:trHeight w:val="33"/>
        </w:trPr>
        <w:tc>
          <w:tcPr>
            <w:tcW w:w="10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Proceeds from sale of business, net of transaction costs</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253.6</w:t>
            </w:r>
          </w:p>
        </w:tc>
      </w:tr>
      <w:tr>
        <w:trPr>
          <w:trHeight w:val="237"/>
        </w:trPr>
        <w:tc>
          <w:tcPr>
            <w:tcW w:w="7080" w:type="dxa"/>
            <w:vAlign w:val="bottom"/>
            <w:gridSpan w:val="2"/>
          </w:tcPr>
          <w:p>
            <w:pPr>
              <w:ind w:left="720"/>
              <w:spacing w:after="0"/>
              <w:rPr>
                <w:sz w:val="20"/>
                <w:szCs w:val="20"/>
                <w:color w:val="auto"/>
              </w:rPr>
            </w:pPr>
            <w:r>
              <w:rPr>
                <w:rFonts w:ascii="Arial" w:cs="Arial" w:eastAsia="Arial" w:hAnsi="Arial"/>
                <w:sz w:val="16"/>
                <w:szCs w:val="16"/>
                <w:color w:val="auto"/>
              </w:rPr>
              <w:t>Investments in property, plant and equipment</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(60.1)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(72.7)</w:t>
            </w:r>
          </w:p>
        </w:tc>
      </w:tr>
      <w:tr>
        <w:trPr>
          <w:trHeight w:val="33"/>
        </w:trPr>
        <w:tc>
          <w:tcPr>
            <w:tcW w:w="10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Contingent consideration and related payments</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37"/>
        </w:trPr>
        <w:tc>
          <w:tcPr>
            <w:tcW w:w="7080" w:type="dxa"/>
            <w:vAlign w:val="bottom"/>
            <w:gridSpan w:val="2"/>
          </w:tcPr>
          <w:p>
            <w:pPr>
              <w:ind w:left="720"/>
              <w:spacing w:after="0"/>
              <w:rPr>
                <w:sz w:val="20"/>
                <w:szCs w:val="20"/>
                <w:color w:val="auto"/>
              </w:rPr>
            </w:pPr>
            <w:r>
              <w:rPr>
                <w:rFonts w:ascii="Arial" w:cs="Arial" w:eastAsia="Arial" w:hAnsi="Arial"/>
                <w:sz w:val="16"/>
                <w:szCs w:val="16"/>
                <w:color w:val="auto"/>
              </w:rPr>
              <w:t>Investment in unconsolidated affiliates</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0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Investments in acquired businesses, net of cash acquired</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17"/>
        </w:trPr>
        <w:tc>
          <w:tcPr>
            <w:tcW w:w="1020" w:type="dxa"/>
            <w:vAlign w:val="bottom"/>
          </w:tcPr>
          <w:p>
            <w:pPr>
              <w:spacing w:after="0"/>
              <w:rPr>
                <w:sz w:val="18"/>
                <w:szCs w:val="18"/>
                <w:color w:val="auto"/>
              </w:rPr>
            </w:pPr>
          </w:p>
        </w:tc>
        <w:tc>
          <w:tcPr>
            <w:tcW w:w="6060" w:type="dxa"/>
            <w:vAlign w:val="bottom"/>
          </w:tcPr>
          <w:p>
            <w:pPr>
              <w:ind w:left="440"/>
              <w:spacing w:after="0"/>
              <w:rPr>
                <w:sz w:val="20"/>
                <w:szCs w:val="20"/>
                <w:color w:val="auto"/>
              </w:rPr>
            </w:pPr>
            <w:r>
              <w:rPr>
                <w:rFonts w:ascii="Arial" w:cs="Arial" w:eastAsia="Arial" w:hAnsi="Arial"/>
                <w:sz w:val="16"/>
                <w:szCs w:val="16"/>
                <w:color w:val="auto"/>
              </w:rPr>
              <w:t>Net cash (used in) provided by investing activities</w:t>
            </w:r>
          </w:p>
        </w:tc>
        <w:tc>
          <w:tcPr>
            <w:tcW w:w="8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153.5</w:t>
            </w:r>
          </w:p>
        </w:tc>
      </w:tr>
      <w:tr>
        <w:trPr>
          <w:trHeight w:val="33"/>
        </w:trPr>
        <w:tc>
          <w:tcPr>
            <w:tcW w:w="102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4"/>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60"/>
        </w:trPr>
        <w:tc>
          <w:tcPr>
            <w:tcW w:w="1020" w:type="dxa"/>
            <w:vAlign w:val="bottom"/>
            <w:shd w:val="clear" w:color="auto" w:fill="CCEEFF"/>
          </w:tcPr>
          <w:p>
            <w:pPr>
              <w:spacing w:after="0"/>
              <w:rPr>
                <w:sz w:val="5"/>
                <w:szCs w:val="5"/>
                <w:color w:val="auto"/>
              </w:rPr>
            </w:pPr>
          </w:p>
        </w:tc>
        <w:tc>
          <w:tcPr>
            <w:tcW w:w="60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bl>
    <w:p>
      <w:pPr>
        <w:spacing w:after="0" w:line="17" w:lineRule="exact"/>
        <w:rPr>
          <w:sz w:val="20"/>
          <w:szCs w:val="20"/>
          <w:color w:val="auto"/>
        </w:rPr>
      </w:pPr>
    </w:p>
    <w:p>
      <w:pPr>
        <w:sectPr>
          <w:pgSz w:w="11900" w:h="16838" w:orient="portrait"/>
          <w:cols w:equalWidth="0" w:num="1">
            <w:col w:w="11420"/>
          </w:cols>
          <w:pgMar w:left="240" w:top="114" w:right="239" w:bottom="501" w:gutter="0" w:footer="0" w:header="0"/>
        </w:sectPr>
      </w:pPr>
    </w:p>
    <w:p>
      <w:pPr>
        <w:jc w:val="both"/>
        <w:ind w:left="380" w:right="2280"/>
        <w:spacing w:after="0" w:line="352" w:lineRule="auto"/>
        <w:rPr>
          <w:sz w:val="20"/>
          <w:szCs w:val="20"/>
          <w:color w:val="auto"/>
        </w:rPr>
      </w:pPr>
      <w:r>
        <w:rPr>
          <w:rFonts w:ascii="Arial" w:cs="Arial" w:eastAsia="Arial" w:hAnsi="Arial"/>
          <w:sz w:val="16"/>
          <w:szCs w:val="16"/>
          <w:color w:val="auto"/>
        </w:rPr>
        <w:t>Borrowings under revolving and bank lines of credit and term loans Repayments under revolving and bank lines of credit and term loans Proceeds from issuance of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6"/>
          <w:szCs w:val="16"/>
          <w:color w:val="auto"/>
        </w:rPr>
        <w:t>Financing and issuance fees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Purchase of common shares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Payments on sellers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Excess tax benefits from share-based payment arrangements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Cash received from exercise of stock options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040" w:type="dxa"/>
            <w:vAlign w:val="bottom"/>
          </w:tcPr>
          <w:p>
            <w:pPr>
              <w:jc w:val="right"/>
              <w:ind w:right="419"/>
              <w:spacing w:after="0"/>
              <w:rPr>
                <w:sz w:val="20"/>
                <w:szCs w:val="20"/>
                <w:color w:val="auto"/>
              </w:rPr>
            </w:pPr>
            <w:r>
              <w:rPr>
                <w:rFonts w:ascii="Arial" w:cs="Arial" w:eastAsia="Arial" w:hAnsi="Arial"/>
                <w:sz w:val="16"/>
                <w:szCs w:val="16"/>
                <w:color w:val="auto"/>
                <w:w w:val="97"/>
              </w:rPr>
              <w:t>1,474.8</w:t>
            </w:r>
          </w:p>
        </w:tc>
        <w:tc>
          <w:tcPr>
            <w:tcW w:w="1480" w:type="dxa"/>
            <w:vAlign w:val="bottom"/>
          </w:tcPr>
          <w:p>
            <w:pPr>
              <w:jc w:val="right"/>
              <w:ind w:right="399"/>
              <w:spacing w:after="0"/>
              <w:rPr>
                <w:sz w:val="20"/>
                <w:szCs w:val="20"/>
                <w:color w:val="auto"/>
              </w:rPr>
            </w:pPr>
            <w:r>
              <w:rPr>
                <w:rFonts w:ascii="Arial" w:cs="Arial" w:eastAsia="Arial" w:hAnsi="Arial"/>
                <w:sz w:val="16"/>
                <w:szCs w:val="16"/>
                <w:color w:val="auto"/>
              </w:rPr>
              <w:t>1,684.0</w:t>
            </w:r>
          </w:p>
        </w:tc>
        <w:tc>
          <w:tcPr>
            <w:tcW w:w="1020" w:type="dxa"/>
            <w:vAlign w:val="bottom"/>
          </w:tcPr>
          <w:p>
            <w:pPr>
              <w:jc w:val="right"/>
              <w:spacing w:after="0"/>
              <w:rPr>
                <w:sz w:val="20"/>
                <w:szCs w:val="20"/>
                <w:color w:val="auto"/>
              </w:rPr>
            </w:pPr>
            <w:r>
              <w:rPr>
                <w:rFonts w:ascii="Arial" w:cs="Arial" w:eastAsia="Arial" w:hAnsi="Arial"/>
                <w:sz w:val="16"/>
                <w:szCs w:val="16"/>
                <w:color w:val="auto"/>
              </w:rPr>
              <w:t>1,610.1</w:t>
            </w:r>
          </w:p>
        </w:tc>
      </w:tr>
      <w:tr>
        <w:trPr>
          <w:trHeight w:val="270"/>
        </w:trPr>
        <w:tc>
          <w:tcPr>
            <w:tcW w:w="1040" w:type="dxa"/>
            <w:vAlign w:val="bottom"/>
          </w:tcPr>
          <w:p>
            <w:pPr>
              <w:jc w:val="right"/>
              <w:ind w:right="379"/>
              <w:spacing w:after="0"/>
              <w:rPr>
                <w:sz w:val="20"/>
                <w:szCs w:val="20"/>
                <w:color w:val="auto"/>
              </w:rPr>
            </w:pPr>
            <w:r>
              <w:rPr>
                <w:rFonts w:ascii="Arial" w:cs="Arial" w:eastAsia="Arial" w:hAnsi="Arial"/>
                <w:sz w:val="16"/>
                <w:szCs w:val="16"/>
                <w:color w:val="auto"/>
                <w:w w:val="87"/>
              </w:rPr>
              <w:t>(1,682.1)</w:t>
            </w:r>
          </w:p>
        </w:tc>
        <w:tc>
          <w:tcPr>
            <w:tcW w:w="1480" w:type="dxa"/>
            <w:vAlign w:val="bottom"/>
          </w:tcPr>
          <w:p>
            <w:pPr>
              <w:jc w:val="right"/>
              <w:ind w:right="359"/>
              <w:spacing w:after="0"/>
              <w:rPr>
                <w:sz w:val="20"/>
                <w:szCs w:val="20"/>
                <w:color w:val="auto"/>
              </w:rPr>
            </w:pPr>
            <w:r>
              <w:rPr>
                <w:rFonts w:ascii="Arial" w:cs="Arial" w:eastAsia="Arial" w:hAnsi="Arial"/>
                <w:sz w:val="16"/>
                <w:szCs w:val="16"/>
                <w:color w:val="auto"/>
              </w:rPr>
              <w:t>(1,694.6)</w:t>
            </w:r>
          </w:p>
        </w:tc>
        <w:tc>
          <w:tcPr>
            <w:tcW w:w="1020" w:type="dxa"/>
            <w:vAlign w:val="bottom"/>
          </w:tcPr>
          <w:p>
            <w:pPr>
              <w:jc w:val="right"/>
              <w:spacing w:after="0"/>
              <w:rPr>
                <w:sz w:val="20"/>
                <w:szCs w:val="20"/>
                <w:color w:val="auto"/>
              </w:rPr>
            </w:pPr>
            <w:r>
              <w:rPr>
                <w:rFonts w:ascii="Arial" w:cs="Arial" w:eastAsia="Arial" w:hAnsi="Arial"/>
                <w:sz w:val="16"/>
                <w:szCs w:val="16"/>
                <w:color w:val="auto"/>
              </w:rPr>
              <w:t>(1,632.1)</w:t>
            </w:r>
          </w:p>
        </w:tc>
      </w:tr>
      <w:tr>
        <w:trPr>
          <w:trHeight w:val="270"/>
        </w:trPr>
        <w:tc>
          <w:tcPr>
            <w:tcW w:w="10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200.0</w:t>
            </w:r>
          </w:p>
        </w:tc>
      </w:tr>
      <w:tr>
        <w:trPr>
          <w:trHeight w:val="270"/>
        </w:trPr>
        <w:tc>
          <w:tcPr>
            <w:tcW w:w="10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(18.9)</w:t>
            </w:r>
          </w:p>
        </w:tc>
      </w:tr>
      <w:tr>
        <w:trPr>
          <w:trHeight w:val="270"/>
        </w:trPr>
        <w:tc>
          <w:tcPr>
            <w:tcW w:w="1040" w:type="dxa"/>
            <w:vAlign w:val="bottom"/>
          </w:tcPr>
          <w:p>
            <w:pPr>
              <w:jc w:val="right"/>
              <w:ind w:right="379"/>
              <w:spacing w:after="0"/>
              <w:rPr>
                <w:sz w:val="20"/>
                <w:szCs w:val="20"/>
                <w:color w:val="auto"/>
              </w:rPr>
            </w:pPr>
            <w:r>
              <w:rPr>
                <w:rFonts w:ascii="Arial" w:cs="Arial" w:eastAsia="Arial" w:hAnsi="Arial"/>
                <w:sz w:val="16"/>
                <w:szCs w:val="16"/>
                <w:color w:val="auto"/>
              </w:rPr>
              <w:t>(87.8)</w:t>
            </w:r>
          </w:p>
        </w:tc>
        <w:tc>
          <w:tcPr>
            <w:tcW w:w="1480" w:type="dxa"/>
            <w:vAlign w:val="bottom"/>
          </w:tcPr>
          <w:p>
            <w:pPr>
              <w:jc w:val="right"/>
              <w:ind w:right="359"/>
              <w:spacing w:after="0"/>
              <w:rPr>
                <w:sz w:val="20"/>
                <w:szCs w:val="20"/>
                <w:color w:val="auto"/>
              </w:rPr>
            </w:pPr>
            <w:r>
              <w:rPr>
                <w:rFonts w:ascii="Arial" w:cs="Arial" w:eastAsia="Arial" w:hAnsi="Arial"/>
                <w:sz w:val="16"/>
                <w:szCs w:val="16"/>
                <w:color w:val="auto"/>
              </w:rPr>
              <w:t>(75.4)</w:t>
            </w:r>
          </w:p>
        </w:tc>
        <w:tc>
          <w:tcPr>
            <w:tcW w:w="1020" w:type="dxa"/>
            <w:vAlign w:val="bottom"/>
          </w:tcPr>
          <w:p>
            <w:pPr>
              <w:jc w:val="right"/>
              <w:spacing w:after="0"/>
              <w:rPr>
                <w:sz w:val="20"/>
                <w:szCs w:val="20"/>
                <w:color w:val="auto"/>
              </w:rPr>
            </w:pPr>
            <w:r>
              <w:rPr>
                <w:rFonts w:ascii="Arial" w:cs="Arial" w:eastAsia="Arial" w:hAnsi="Arial"/>
                <w:sz w:val="16"/>
                <w:szCs w:val="16"/>
                <w:color w:val="auto"/>
              </w:rPr>
              <w:t>(67.9)</w:t>
            </w:r>
          </w:p>
        </w:tc>
      </w:tr>
      <w:tr>
        <w:trPr>
          <w:trHeight w:val="270"/>
        </w:trPr>
        <w:tc>
          <w:tcPr>
            <w:tcW w:w="10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59"/>
              <w:spacing w:after="0"/>
              <w:rPr>
                <w:sz w:val="20"/>
                <w:szCs w:val="20"/>
                <w:color w:val="auto"/>
              </w:rPr>
            </w:pPr>
            <w:r>
              <w:rPr>
                <w:rFonts w:ascii="Arial" w:cs="Arial" w:eastAsia="Arial" w:hAnsi="Arial"/>
                <w:sz w:val="16"/>
                <w:szCs w:val="16"/>
                <w:color w:val="auto"/>
              </w:rPr>
              <w:t>(17.5)</w:t>
            </w:r>
          </w:p>
        </w:tc>
        <w:tc>
          <w:tcPr>
            <w:tcW w:w="1020" w:type="dxa"/>
            <w:vAlign w:val="bottom"/>
          </w:tcPr>
          <w:p>
            <w:pPr>
              <w:jc w:val="right"/>
              <w:spacing w:after="0"/>
              <w:rPr>
                <w:sz w:val="20"/>
                <w:szCs w:val="20"/>
                <w:color w:val="auto"/>
              </w:rPr>
            </w:pPr>
            <w:r>
              <w:rPr>
                <w:rFonts w:ascii="Arial" w:cs="Arial" w:eastAsia="Arial" w:hAnsi="Arial"/>
                <w:sz w:val="16"/>
                <w:szCs w:val="16"/>
                <w:color w:val="auto"/>
              </w:rPr>
              <w:t>(358.7)</w:t>
            </w:r>
          </w:p>
        </w:tc>
      </w:tr>
      <w:tr>
        <w:trPr>
          <w:trHeight w:val="270"/>
        </w:trPr>
        <w:tc>
          <w:tcPr>
            <w:tcW w:w="1040" w:type="dxa"/>
            <w:vAlign w:val="bottom"/>
          </w:tcPr>
          <w:p>
            <w:pPr>
              <w:jc w:val="right"/>
              <w:ind w:right="379"/>
              <w:spacing w:after="0"/>
              <w:rPr>
                <w:sz w:val="20"/>
                <w:szCs w:val="20"/>
                <w:color w:val="auto"/>
              </w:rPr>
            </w:pPr>
            <w:r>
              <w:rPr>
                <w:rFonts w:ascii="Arial" w:cs="Arial" w:eastAsia="Arial" w:hAnsi="Arial"/>
                <w:sz w:val="16"/>
                <w:szCs w:val="16"/>
                <w:color w:val="auto"/>
              </w:rPr>
              <w:t>(0.8)</w:t>
            </w:r>
          </w:p>
        </w:tc>
        <w:tc>
          <w:tcPr>
            <w:tcW w:w="14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70"/>
        </w:trPr>
        <w:tc>
          <w:tcPr>
            <w:tcW w:w="1040" w:type="dxa"/>
            <w:vAlign w:val="bottom"/>
          </w:tcPr>
          <w:p>
            <w:pPr>
              <w:jc w:val="right"/>
              <w:ind w:right="419"/>
              <w:spacing w:after="0"/>
              <w:rPr>
                <w:sz w:val="20"/>
                <w:szCs w:val="20"/>
                <w:color w:val="auto"/>
              </w:rPr>
            </w:pPr>
            <w:r>
              <w:rPr>
                <w:rFonts w:ascii="Arial" w:cs="Arial" w:eastAsia="Arial" w:hAnsi="Arial"/>
                <w:sz w:val="16"/>
                <w:szCs w:val="16"/>
                <w:color w:val="auto"/>
              </w:rPr>
              <w:t>2.0</w:t>
            </w:r>
          </w:p>
        </w:tc>
        <w:tc>
          <w:tcPr>
            <w:tcW w:w="1480" w:type="dxa"/>
            <w:vAlign w:val="bottom"/>
          </w:tcPr>
          <w:p>
            <w:pPr>
              <w:jc w:val="right"/>
              <w:ind w:right="399"/>
              <w:spacing w:after="0"/>
              <w:rPr>
                <w:sz w:val="20"/>
                <w:szCs w:val="20"/>
                <w:color w:val="auto"/>
              </w:rPr>
            </w:pPr>
            <w:r>
              <w:rPr>
                <w:rFonts w:ascii="Arial" w:cs="Arial" w:eastAsia="Arial" w:hAnsi="Arial"/>
                <w:sz w:val="16"/>
                <w:szCs w:val="16"/>
                <w:color w:val="auto"/>
              </w:rPr>
              <w:t>6.6</w:t>
            </w:r>
          </w:p>
        </w:tc>
        <w:tc>
          <w:tcPr>
            <w:tcW w:w="102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70"/>
        </w:trPr>
        <w:tc>
          <w:tcPr>
            <w:tcW w:w="1040" w:type="dxa"/>
            <w:vAlign w:val="bottom"/>
          </w:tcPr>
          <w:p>
            <w:pPr>
              <w:jc w:val="right"/>
              <w:ind w:right="419"/>
              <w:spacing w:after="0"/>
              <w:rPr>
                <w:sz w:val="20"/>
                <w:szCs w:val="20"/>
                <w:color w:val="auto"/>
              </w:rPr>
            </w:pPr>
            <w:r>
              <w:rPr>
                <w:rFonts w:ascii="Arial" w:cs="Arial" w:eastAsia="Arial" w:hAnsi="Arial"/>
                <w:sz w:val="16"/>
                <w:szCs w:val="16"/>
                <w:color w:val="auto"/>
              </w:rPr>
              <w:t>13.3</w:t>
            </w:r>
          </w:p>
        </w:tc>
        <w:tc>
          <w:tcPr>
            <w:tcW w:w="1480" w:type="dxa"/>
            <w:vAlign w:val="bottom"/>
          </w:tcPr>
          <w:p>
            <w:pPr>
              <w:jc w:val="right"/>
              <w:ind w:right="399"/>
              <w:spacing w:after="0"/>
              <w:rPr>
                <w:sz w:val="20"/>
                <w:szCs w:val="20"/>
                <w:color w:val="auto"/>
              </w:rPr>
            </w:pPr>
            <w:r>
              <w:rPr>
                <w:rFonts w:ascii="Arial" w:cs="Arial" w:eastAsia="Arial" w:hAnsi="Arial"/>
                <w:sz w:val="16"/>
                <w:szCs w:val="16"/>
                <w:color w:val="auto"/>
              </w:rPr>
              <w:t>17.6</w:t>
            </w:r>
          </w:p>
        </w:tc>
        <w:tc>
          <w:tcPr>
            <w:tcW w:w="1020" w:type="dxa"/>
            <w:vAlign w:val="bottom"/>
          </w:tcPr>
          <w:p>
            <w:pPr>
              <w:jc w:val="right"/>
              <w:spacing w:after="0"/>
              <w:rPr>
                <w:sz w:val="20"/>
                <w:szCs w:val="20"/>
                <w:color w:val="auto"/>
              </w:rPr>
            </w:pPr>
            <w:r>
              <w:rPr>
                <w:rFonts w:ascii="Arial" w:cs="Arial" w:eastAsia="Arial" w:hAnsi="Arial"/>
                <w:sz w:val="16"/>
                <w:szCs w:val="16"/>
                <w:color w:val="auto"/>
              </w:rPr>
              <w:t>31.5</w:t>
            </w:r>
          </w:p>
        </w:tc>
      </w:tr>
    </w:tbl>
    <w:p>
      <w:pPr>
        <w:spacing w:after="0" w:line="13" w:lineRule="exact"/>
        <w:rPr>
          <w:sz w:val="20"/>
          <w:szCs w:val="20"/>
          <w:color w:val="auto"/>
        </w:rPr>
      </w:pPr>
    </w:p>
    <w:p>
      <w:pPr>
        <w:sectPr>
          <w:pgSz w:w="11900" w:h="16838" w:orient="portrait"/>
          <w:cols w:equalWidth="0" w:num="2">
            <w:col w:w="7100" w:space="720"/>
            <w:col w:w="3600"/>
          </w:cols>
          <w:pgMar w:left="240" w:top="114" w:right="239" w:bottom="501"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7080" w:type="dxa"/>
            <w:vAlign w:val="bottom"/>
            <w:tcBorders>
              <w:top w:val="single" w:sz="8" w:color="CCEEFF"/>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Net cash used in financing activities</w:t>
            </w:r>
          </w:p>
        </w:tc>
        <w:tc>
          <w:tcPr>
            <w:tcW w:w="480" w:type="dxa"/>
            <w:vAlign w:val="bottom"/>
            <w:tcBorders>
              <w:top w:val="single" w:sz="8" w:color="auto"/>
              <w:bottom w:val="single" w:sz="8" w:color="CCEEFF"/>
            </w:tcBorders>
            <w:shd w:val="clear" w:color="auto" w:fill="CCEEFF"/>
          </w:tcPr>
          <w:p>
            <w:pPr>
              <w:spacing w:after="0"/>
              <w:rPr>
                <w:sz w:val="23"/>
                <w:szCs w:val="23"/>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CCEEFF"/>
            </w:tcBorders>
            <w:shd w:val="clear" w:color="auto" w:fill="CCEEFF"/>
          </w:tcPr>
          <w:p>
            <w:pPr>
              <w:spacing w:after="0"/>
              <w:rPr>
                <w:sz w:val="23"/>
                <w:szCs w:val="23"/>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80" w:type="dxa"/>
            <w:vAlign w:val="bottom"/>
            <w:tcBorders>
              <w:top w:val="single" w:sz="8" w:color="auto"/>
              <w:bottom w:val="single" w:sz="8" w:color="CCEEFF"/>
            </w:tcBorders>
            <w:shd w:val="clear" w:color="auto" w:fill="CCEEFF"/>
          </w:tcPr>
          <w:p>
            <w:pPr>
              <w:spacing w:after="0"/>
              <w:rPr>
                <w:sz w:val="23"/>
                <w:szCs w:val="23"/>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(230.7)</w:t>
            </w:r>
          </w:p>
        </w:tc>
        <w:tc>
          <w:tcPr>
            <w:tcW w:w="0" w:type="dxa"/>
            <w:vAlign w:val="bottom"/>
          </w:tcPr>
          <w:p>
            <w:pPr>
              <w:spacing w:after="0"/>
              <w:rPr>
                <w:sz w:val="1"/>
                <w:szCs w:val="1"/>
                <w:color w:val="auto"/>
              </w:rPr>
            </w:pPr>
          </w:p>
        </w:tc>
      </w:tr>
      <w:tr>
        <w:trPr>
          <w:trHeight w:val="217"/>
        </w:trPr>
        <w:tc>
          <w:tcPr>
            <w:tcW w:w="708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4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48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131.9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130.9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88.1</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130.9</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SUPPLEMENTAL CASH FLOW INFORMATION</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080" w:type="dxa"/>
            <w:vAlign w:val="bottom"/>
          </w:tcPr>
          <w:p>
            <w:pPr>
              <w:spacing w:after="0"/>
              <w:rPr>
                <w:sz w:val="6"/>
                <w:szCs w:val="6"/>
                <w:color w:val="auto"/>
              </w:rPr>
            </w:pPr>
          </w:p>
        </w:tc>
        <w:tc>
          <w:tcPr>
            <w:tcW w:w="4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paid</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Income taxes paid</w:t>
            </w: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(115.1)</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14" w:right="239" w:bottom="501"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14" w:right="239" w:bottom="501" w:gutter="0" w:footer="0" w:header="0"/>
          <w:type w:val="continuous"/>
        </w:sectPr>
      </w:pPr>
    </w:p>
    <w:bookmarkStart w:id="52" w:name="page53"/>
    <w:bookmarkEnd w:id="52"/>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stated value per share)</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36"/>
        </w:trPr>
        <w:tc>
          <w:tcPr>
            <w:tcW w:w="834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 less allowances of $9.5 in 2013 and $10.5 in 2012</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330.9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pledged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324.9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881.0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315.1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309.4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1,937.2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2,074.4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760"/>
              <w:spacing w:after="0"/>
              <w:rPr>
                <w:sz w:val="20"/>
                <w:szCs w:val="20"/>
                <w:color w:val="auto"/>
              </w:rPr>
            </w:pPr>
            <w:r>
              <w:rPr>
                <w:rFonts w:ascii="Arial" w:cs="Arial" w:eastAsia="Arial" w:hAnsi="Arial"/>
                <w:sz w:val="18"/>
                <w:szCs w:val="18"/>
                <w:b w:val="1"/>
                <w:bCs w:val="1"/>
                <w:color w:val="auto"/>
              </w:rPr>
              <w:t>LIABILITIES AND SHAREHOLDERS’ EQUITY</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279.7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478.1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781.1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1,226.7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1,472.5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(Notes 16, 17 and 18)</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Common shares and capital in excess of $.01 stated value per share; shares outstanding of 62.0 in 2013 and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61.3 in 2012</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703.4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630.2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shares, at cost; 6.1 shares in 2013 and 6.8 shares in 2012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shareholders’ equity</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601.9</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1,937.2</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right"/>
        <w:ind w:right="382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 w:right="600"/>
        <w:spacing w:after="0" w:line="321" w:lineRule="auto"/>
        <w:rPr>
          <w:sz w:val="20"/>
          <w:szCs w:val="20"/>
          <w:color w:val="auto"/>
        </w:rPr>
      </w:pPr>
      <w:r>
        <w:rPr>
          <w:rFonts w:ascii="Arial" w:cs="Arial" w:eastAsia="Arial" w:hAnsi="Arial"/>
          <w:sz w:val="18"/>
          <w:szCs w:val="18"/>
          <w:color w:val="auto"/>
        </w:rPr>
        <w:t>Balance at September 30, 2010 Net income</w:t>
      </w:r>
    </w:p>
    <w:p>
      <w:pPr>
        <w:ind w:left="40"/>
        <w:spacing w:after="0"/>
        <w:rPr>
          <w:sz w:val="20"/>
          <w:szCs w:val="20"/>
          <w:color w:val="auto"/>
        </w:rPr>
      </w:pPr>
      <w:r>
        <w:rPr>
          <w:rFonts w:ascii="Arial" w:cs="Arial" w:eastAsia="Arial" w:hAnsi="Arial"/>
          <w:sz w:val="18"/>
          <w:szCs w:val="18"/>
          <w:color w:val="auto"/>
        </w:rPr>
        <w:t>Other comprehensive loss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Share-based compensation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Dividends declared ($1.05 per share)</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Treasury share purchases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Treasury share issuances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September 30, 2011</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comprehensive loss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Share-based compensation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Dividends declared ($1.225 per share)</w:t>
      </w:r>
    </w:p>
    <w:p>
      <w:pPr>
        <w:spacing w:after="0" w:line="86" w:lineRule="exact"/>
        <w:rPr>
          <w:sz w:val="20"/>
          <w:szCs w:val="20"/>
          <w:color w:val="auto"/>
        </w:rPr>
      </w:pPr>
    </w:p>
    <w:p>
      <w:pPr>
        <w:jc w:val="both"/>
        <w:ind w:left="40" w:right="1040"/>
        <w:spacing w:after="0" w:line="331" w:lineRule="auto"/>
        <w:rPr>
          <w:sz w:val="20"/>
          <w:szCs w:val="20"/>
          <w:color w:val="auto"/>
        </w:rPr>
      </w:pPr>
      <w:r>
        <w:rPr>
          <w:rFonts w:ascii="Arial" w:cs="Arial" w:eastAsia="Arial" w:hAnsi="Arial"/>
          <w:sz w:val="17"/>
          <w:szCs w:val="17"/>
          <w:color w:val="auto"/>
        </w:rPr>
        <w:t>Treasury share purchases Treasury share issuances Other</w:t>
      </w:r>
    </w:p>
    <w:p>
      <w:pPr>
        <w:spacing w:after="0" w:line="2" w:lineRule="exact"/>
        <w:rPr>
          <w:sz w:val="20"/>
          <w:szCs w:val="20"/>
          <w:color w:val="auto"/>
        </w:rPr>
      </w:pPr>
    </w:p>
    <w:p>
      <w:pPr>
        <w:ind w:left="40" w:right="600"/>
        <w:spacing w:after="0" w:line="321" w:lineRule="auto"/>
        <w:rPr>
          <w:sz w:val="20"/>
          <w:szCs w:val="20"/>
          <w:color w:val="auto"/>
        </w:rPr>
      </w:pPr>
      <w:r>
        <w:rPr>
          <w:rFonts w:ascii="Arial" w:cs="Arial" w:eastAsia="Arial" w:hAnsi="Arial"/>
          <w:sz w:val="18"/>
          <w:szCs w:val="18"/>
          <w:color w:val="auto"/>
        </w:rPr>
        <w:t>Balance at September 30, 2012 Net income</w:t>
      </w:r>
    </w:p>
    <w:p>
      <w:pPr>
        <w:ind w:left="40"/>
        <w:spacing w:after="0"/>
        <w:rPr>
          <w:sz w:val="20"/>
          <w:szCs w:val="20"/>
          <w:color w:val="auto"/>
        </w:rPr>
      </w:pPr>
      <w:r>
        <w:rPr>
          <w:rFonts w:ascii="Arial" w:cs="Arial" w:eastAsia="Arial" w:hAnsi="Arial"/>
          <w:sz w:val="18"/>
          <w:szCs w:val="18"/>
          <w:color w:val="auto"/>
        </w:rPr>
        <w:t>Other comprehensive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Share-based compensation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Dividends declared ($1.4125 per share)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Treasury share issuances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September 30, 2013</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Common Shares</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 in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Treasury Shares</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Accumulated Other</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85"/>
              </w:rPr>
              <w:t>Excess of</w:t>
            </w:r>
          </w:p>
        </w:tc>
        <w:tc>
          <w:tcPr>
            <w:tcW w:w="140" w:type="dxa"/>
            <w:vAlign w:val="bottom"/>
          </w:tcPr>
          <w:p>
            <w:pPr>
              <w:spacing w:after="0"/>
              <w:rPr>
                <w:sz w:val="4"/>
                <w:szCs w:val="4"/>
                <w:color w:val="auto"/>
              </w:rPr>
            </w:pPr>
          </w:p>
        </w:tc>
        <w:tc>
          <w:tcPr>
            <w:tcW w:w="86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Retained</w:t>
            </w: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5"/>
                <w:szCs w:val="5"/>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Stated Value</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2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433.7</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499.6</w:t>
            </w:r>
          </w:p>
        </w:tc>
        <w:tc>
          <w:tcPr>
            <w:tcW w:w="100" w:type="dxa"/>
            <w:vAlign w:val="bottom"/>
          </w:tcPr>
          <w:p>
            <w:pPr>
              <w:spacing w:after="0"/>
              <w:rPr>
                <w:sz w:val="21"/>
                <w:szCs w:val="21"/>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764.5</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167.9</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(358.7)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(358.7)</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Pr>
          <w:p>
            <w:pPr>
              <w:jc w:val="right"/>
              <w:ind w:right="56"/>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426.8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599.2</w:t>
            </w:r>
          </w:p>
        </w:tc>
        <w:tc>
          <w:tcPr>
            <w:tcW w:w="10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Pr>
          <w:p>
            <w:pPr>
              <w:jc w:val="right"/>
              <w:ind w:right="56"/>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408.3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630.2</w:t>
            </w:r>
          </w:p>
        </w:tc>
        <w:tc>
          <w:tcPr>
            <w:tcW w:w="10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601.9</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Pr>
          <w:p>
            <w:pPr>
              <w:jc w:val="right"/>
              <w:ind w:right="56"/>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397.2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703.4</w:t>
            </w:r>
          </w:p>
        </w:tc>
        <w:tc>
          <w:tcPr>
            <w:tcW w:w="10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(312.6)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710.5</w:t>
            </w:r>
          </w:p>
        </w:tc>
        <w:tc>
          <w:tcPr>
            <w:tcW w:w="0" w:type="dxa"/>
            <w:vAlign w:val="bottom"/>
          </w:tcPr>
          <w:p>
            <w:pPr>
              <w:spacing w:after="0"/>
              <w:rPr>
                <w:sz w:val="1"/>
                <w:szCs w:val="1"/>
                <w:color w:val="auto"/>
              </w:rPr>
            </w:pPr>
          </w:p>
        </w:tc>
      </w:tr>
      <w:tr>
        <w:trPr>
          <w:trHeight w:val="27"/>
        </w:trPr>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-4175760</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-3823970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-3481070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-3138170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-2795270</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-2443480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-2100580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-1757680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-1414145</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-1062990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-719455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-376555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9" w:lineRule="exact"/>
        <w:rPr>
          <w:sz w:val="20"/>
          <w:szCs w:val="20"/>
          <w:color w:val="auto"/>
        </w:rPr>
      </w:pPr>
    </w:p>
    <w:p>
      <w:pPr>
        <w:jc w:val="center"/>
        <w:ind w:right="3200"/>
        <w:spacing w:after="0"/>
        <w:rPr>
          <w:sz w:val="20"/>
          <w:szCs w:val="20"/>
          <w:color w:val="auto"/>
        </w:rPr>
      </w:pPr>
      <w:r>
        <w:rPr>
          <w:rFonts w:ascii="Arial" w:cs="Arial" w:eastAsia="Arial" w:hAnsi="Arial"/>
          <w:sz w:val="16"/>
          <w:szCs w:val="16"/>
          <w:color w:val="auto"/>
        </w:rPr>
        <w:t>See Notes to Consolidated Financial Statements.</w:t>
      </w:r>
    </w:p>
    <w:p>
      <w:pPr>
        <w:spacing w:after="0" w:line="24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54</w:t>
      </w:r>
    </w:p>
    <w:p>
      <w:pPr>
        <w:sectPr>
          <w:pgSz w:w="11900" w:h="16838" w:orient="portrait"/>
          <w:cols w:equalWidth="0" w:num="2">
            <w:col w:w="2880" w:space="320"/>
            <w:col w:w="8220"/>
          </w:cols>
          <w:pgMar w:left="240" w:top="122" w:right="239" w:bottom="1440" w:gutter="0" w:footer="0" w:header="0"/>
          <w:type w:val="continuous"/>
        </w:sectPr>
      </w:pPr>
    </w:p>
    <w:bookmarkStart w:id="54" w:name="page55"/>
    <w:bookmarkEnd w:id="54"/>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90"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7"/>
          <w:szCs w:val="17"/>
          <w:color w:val="auto"/>
        </w:rPr>
        <w:t>The Scotts Miracle-Gro Company (“Scotts Miracle-Gro” and, together with its subsidiaries, the “Company”) are engaged in the manufacturing, marketing and sale of branded products for consumer lawn and garden care. The Company’s primary customers include home centers, mass merchandisers, warehouse clubs, large hardware chains, independent hardware stores, nurseries, garden centers and food and drug stores. The Company’s products are sold primarily in North America and the European Union. The Company also operates the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which provides residential and commercial lawn care, tree and shrub care and limited pest control services in the United States.</w:t>
      </w:r>
    </w:p>
    <w:p>
      <w:pPr>
        <w:spacing w:after="0" w:line="13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February 28, 2011, the Company completed the sale of a significant majority of the assets of its Global Professional business (excluding the non-European professional seed business, “Global Pro”) to Israel Chemicals Ltd. (“ICL”). As a result of the then-pending sale, effective in the Company’s first quarter of fiscal 2011, the Company classified Global Pro as discontinued operations. In the fourth quarter of fiscal year 2012, the Company completed the wind down of the Company's professional seed business (“Pro Seed”). As a result, effective in its fourth quarter of fiscal 2012, the Company classified Pro Seed as a discontinued operation.</w:t>
      </w:r>
    </w:p>
    <w:p>
      <w:pPr>
        <w:spacing w:after="0" w:line="13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fiscal 2012 and fiscal 2011 the Company incurred product registration and recall costs of $8.2 million and $14.6 million, respectively. Fiscal 2012 and fiscal 2011 costs include reserves that were established in connection with the previously disclosed U.S. EPA and U.S. DOJ investigations into pesticide product registration issues, which, as previously disclosed in the Company's Annual Report on Form 10-K for the fiscal year ended September 30, 2012, were settled in the fourth quarter of fiscal year 2012. The Company does not expect to incur any additional costs related to these investigations.</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Due to the nature of the consumer lawn and garden business, the majority of sales to customers occur in the Company’s second and third fiscal quarters.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On a combined basis, net sales for the second and third quarters of the last three fiscal years represented in excess of 75% of annual net sales.</w:t>
      </w:r>
    </w:p>
    <w:p>
      <w:pPr>
        <w:spacing w:after="0" w:line="24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Company’s consolidated financial statements are presented in accordance with accounting principles generally accepted in the United States of America (“GAAP”). The consolidated financial statements include the accounts of Scotts Miracle-Gro and all wholly-owned and majority-owned subsidiaries. All intercompany transactions and accounts are eliminated in consolidation. The Company’s consolidation criteria are based on majority ownership (as evidenced by a majority voting interest in the entity) and an objective evaluation and determination of effective management control.</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consolidated financial statements and accompanying notes. Although these estimates are based on management’s best knowledge of current events and actions the Company may undertake in the future, actual results ultimately may differ from the estimates.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Revenue is recognized when title and risk of loss transfer, which generally occurs when products or services are received by the customer. Provisions for estimated returns and allowances are recorded at the time revenue is recognized based on historical rates and are periodically adjusted for known changes in return levels. Outbound shipping and handling costs are included in cost of sales.</w:t>
      </w:r>
    </w:p>
    <w:p>
      <w:pPr>
        <w:spacing w:after="0" w:line="127" w:lineRule="exact"/>
        <w:rPr>
          <w:sz w:val="20"/>
          <w:szCs w:val="20"/>
          <w:color w:val="auto"/>
        </w:rPr>
      </w:pPr>
    </w:p>
    <w:p>
      <w:pPr>
        <w:jc w:val="both"/>
        <w:ind w:firstLine="432"/>
        <w:spacing w:after="0" w:line="230" w:lineRule="auto"/>
        <w:rPr>
          <w:sz w:val="20"/>
          <w:szCs w:val="20"/>
          <w:color w:val="auto"/>
        </w:rPr>
      </w:pPr>
      <w:r>
        <w:rPr>
          <w:rFonts w:ascii="Arial" w:cs="Arial" w:eastAsia="Arial" w:hAnsi="Arial"/>
          <w:sz w:val="17"/>
          <w:szCs w:val="17"/>
          <w:color w:val="auto"/>
        </w:rPr>
        <w:t>Under the terms of the Amended and Restated Exclusive Agency and Marketing Agreement (the “Marketing Agreement”) between the Company and Monsanto Company (“Monsanto”), the Company, in its role as exclusive agent, performs certain functions, primarily manufacturing conversion, distribution and logistics, and selling and marketing support on behalf of Monsanto in the conduct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The actual costs incurred by the Company on behalf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are recovered from Monsanto through the terms of the Marketing Agreement. The reimbursement of costs for which the Company is considered the primary obligor is included in net sales.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Promotional Allowances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promotes its branded products through, among other things, cooperative advertising programs with retailers. Retailers may also be offered in-store promotional allowances and rebates based on sales volumes. Certain products are promoted with direct consumer rebate programs and special purchasing incentives. Promotion costs (including allowances and rebates) incurred during the year are expensed to interim periods in relation to revenues and are recorded as a reduction of net sales. Accruals for expected payouts under these programs are included in the “Other current liabilities” line in the Consolidated Balance Sheets.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Advertising</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Advertising costs incurred during the year by our Global Consumer segment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w:t>
      </w:r>
    </w:p>
    <w:p>
      <w:pPr>
        <w:spacing w:after="0" w:line="127"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6"/>
          <w:szCs w:val="16"/>
          <w:color w:val="auto"/>
        </w:rPr>
        <w:t>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promotes its service offerings primarily through direct mail campaigns. External costs associated with these campaigns that qualify as direct response advertising costs are deferred and recognized as advertising expense in proportion to revenues over a period not beyond the end of the subsequent calendar year. Costs that do not qualify as direct response advertising costs are expensed within the fiscal year incurred on a monthly basis in proportion to net sales. There were no costs deferred at September 30, 2013. The costs deferred at September 30, 2012 were $1.1 million.</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Advertising expenses were $142.2 million in fiscal 2013, $168.9 million in fiscal 2012 and $140.7 million in fiscal 2011.</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9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All costs associated with research and development are charged to expense as incurred. Expenses for fiscal 2013, fiscal 2012 and fiscal 2011 were $46.7 million, $50.8 million and $50.9 million, respectively, including product registration costs of $12.4 million, $14.0 million and $14.6 million, respectively.</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Environmental Costs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recognizes environmental liabilities when conditions requiring remediation are probable and the amounts can be reasonably estimated. Expenditures which extend the life of the related property or mitigate or prevent future environmental contamination are capitalized. Environmental liabilities are not discounted or reduced for possible recoveries from insurance carriers.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Share-Based Compensation Awards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fair value of awards is expensed over the requisite service period which is typically the vesting period, generally three years, except in cases where employees are eligible for accelerated vesting based on having satisfied retirement requirements relating to age and years of service. Performance-based awards are expensed over the requisite service period based on achievement of performance criteria. The Company uses a binomial model to determine the fair value of its option grants. The Company classifies share-based compensation expense within selling, general and administrative expenses to correspond with the same line item as cash compensation paid to employees.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Earnings per Common Share</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Basic earnings per common share is computed based on the weighted-average number of common shares outstanding each period. Diluted earnings per common share is computed based on the weighted-average number of common shares and dilutive potential common shares (stock options, stock appreciation rights, performance shares, restricted stock and restricted stock unit awards) outstanding each period.</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considers all highly liquid financial instruments with original maturities of three months or less to be cash equivalents. The Company maintains cash deposits in banks which from time to time exceed the amount of deposit insurance available. Management periodically assesses the financial condition of the Company’s banks and believes that the risk of any potential credit loss is minimal.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Accounts Receivable and Allowances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Trade accounts receivable are recorded at the invoiced amount and do not bear interest. Allowances for doubtful accounts reflect the Company’s best estimate of amounts in its existing accounts receivable that may not be collected due to customer claims or customer inability or unwillingness to pay. The allowance is determined based on a combination of factors, including the Company’s risk assessment regarding the credit worthiness of its customers, historical collection experience and length of time the receivables are past due. Account balances are charged off against the allowance when the Company believes it is probable the receivable will not be recovered.</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9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Inventories are stated at the lower of cost or market, principally determined by the first in, first out method of accounting. Inventories include the cost of raw materials, labor, manufacturing overhead and freight and in-bound handling costs incurred to pre-position goods in the Company’s warehouse network. The Company makes provisions for obsolete or slow-moving inventories as necessary to properly reflect inventory at the lower of cost or market value. Adjustments to reflect inventories at net realizable values were $19.7 million and $21.0 million at September 30, 2013 and 2012, respectively.</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Long-lived Assets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Property, plant and equipment are stated at cost. Interest capitalized in property, plant and equipment amounted to $0.8 million, $0.9 million and $0.1 million during fiscal 2013, fiscal 2012 and fiscal 2011, respectively. Expenditures for maintenance and repairs are charged to expense as incurred. When properties are retired or otherwise disposed of, the cost of the asset and the related accumulated depreciation are removed from the accounts with the resulting gain or loss being reflected in income from operations.</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Depreciation of property, plant and equipment is provided on the straight-line method and is based on the estimated useful economic lives of the assets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improvements</w:t>
            </w:r>
          </w:p>
        </w:tc>
        <w:tc>
          <w:tcPr>
            <w:tcW w:w="4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 years</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Buildings</w:t>
            </w:r>
          </w:p>
        </w:tc>
        <w:tc>
          <w:tcPr>
            <w:tcW w:w="4480" w:type="dxa"/>
            <w:vAlign w:val="bottom"/>
          </w:tcPr>
          <w:p>
            <w:pPr>
              <w:jc w:val="right"/>
              <w:spacing w:after="0"/>
              <w:rPr>
                <w:sz w:val="20"/>
                <w:szCs w:val="20"/>
                <w:color w:val="auto"/>
              </w:rPr>
            </w:pPr>
            <w:r>
              <w:rPr>
                <w:rFonts w:ascii="Arial" w:cs="Arial" w:eastAsia="Arial" w:hAnsi="Arial"/>
                <w:sz w:val="18"/>
                <w:szCs w:val="18"/>
                <w:color w:val="auto"/>
              </w:rPr>
              <w:t>10</w:t>
            </w:r>
          </w:p>
        </w:tc>
        <w:tc>
          <w:tcPr>
            <w:tcW w:w="740" w:type="dxa"/>
            <w:vAlign w:val="bottom"/>
          </w:tcPr>
          <w:p>
            <w:pPr>
              <w:jc w:val="right"/>
              <w:spacing w:after="0"/>
              <w:rPr>
                <w:sz w:val="20"/>
                <w:szCs w:val="20"/>
                <w:color w:val="auto"/>
              </w:rPr>
            </w:pPr>
            <w:r>
              <w:rPr>
                <w:rFonts w:ascii="Arial" w:cs="Arial" w:eastAsia="Arial" w:hAnsi="Arial"/>
                <w:sz w:val="18"/>
                <w:szCs w:val="18"/>
                <w:color w:val="auto"/>
                <w:w w:val="88"/>
              </w:rPr>
              <w:t>–40 years</w:t>
            </w:r>
          </w:p>
        </w:tc>
      </w:tr>
      <w:tr>
        <w:trPr>
          <w:trHeight w:val="27"/>
        </w:trPr>
        <w:tc>
          <w:tcPr>
            <w:tcW w:w="62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4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–15 years</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4480" w:type="dxa"/>
            <w:vAlign w:val="bottom"/>
          </w:tcPr>
          <w:p>
            <w:pPr>
              <w:jc w:val="right"/>
              <w:spacing w:after="0"/>
              <w:rPr>
                <w:sz w:val="20"/>
                <w:szCs w:val="20"/>
                <w:color w:val="auto"/>
              </w:rPr>
            </w:pPr>
            <w:r>
              <w:rPr>
                <w:rFonts w:ascii="Arial" w:cs="Arial" w:eastAsia="Arial" w:hAnsi="Arial"/>
                <w:sz w:val="18"/>
                <w:szCs w:val="18"/>
                <w:color w:val="auto"/>
              </w:rPr>
              <w:t>6</w:t>
            </w:r>
          </w:p>
        </w:tc>
        <w:tc>
          <w:tcPr>
            <w:tcW w:w="740" w:type="dxa"/>
            <w:vAlign w:val="bottom"/>
          </w:tcPr>
          <w:p>
            <w:pPr>
              <w:jc w:val="right"/>
              <w:spacing w:after="0"/>
              <w:rPr>
                <w:sz w:val="20"/>
                <w:szCs w:val="20"/>
                <w:color w:val="auto"/>
              </w:rPr>
            </w:pPr>
            <w:r>
              <w:rPr>
                <w:rFonts w:ascii="Arial" w:cs="Arial" w:eastAsia="Arial" w:hAnsi="Arial"/>
                <w:sz w:val="18"/>
                <w:szCs w:val="18"/>
                <w:color w:val="auto"/>
                <w:w w:val="88"/>
              </w:rPr>
              <w:t>–10 years</w:t>
            </w:r>
          </w:p>
        </w:tc>
      </w:tr>
      <w:tr>
        <w:trPr>
          <w:trHeight w:val="27"/>
        </w:trPr>
        <w:tc>
          <w:tcPr>
            <w:tcW w:w="620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r>
      <w:tr>
        <w:trPr>
          <w:trHeight w:val="243"/>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 8 years</w:t>
            </w:r>
          </w:p>
        </w:tc>
      </w:tr>
      <w:tr>
        <w:trPr>
          <w:trHeight w:val="27"/>
        </w:trPr>
        <w:tc>
          <w:tcPr>
            <w:tcW w:w="6200" w:type="dxa"/>
            <w:vAlign w:val="bottom"/>
            <w:shd w:val="clear" w:color="auto" w:fill="CCEEFF"/>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Intangible assets with finite lives, and therefore subject to amortization, include technology such as patents, customer relationships, non-compete agreements and certain tradenames. These intangible assets are being amortized over their estimated useful economic lives, which typically range from 3 to 25 years. The Company’s fixed assets and intangible assets subject to amortization are required to be tested for recoverability whenever events or changes in circumstances indicate that carrying amounts may not be recoverable. If an evaluation of recoverability was required, the estimated undiscounted future cash flows associated with the asset would be compared to the asset’s carrying amount to determine if a write-down is required. If the undiscounted cash flows are less than the carrying amount, an impairment loss is recorded to the extent that the carrying amount exceeds fair value and classified as “Impairment, restructuring and other charges” in the Consolidated Statements of Operations.</w:t>
      </w:r>
    </w:p>
    <w:p>
      <w:pPr>
        <w:spacing w:after="0" w:line="12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had noncash investing activities of $7.3 million, $17.3 million and $8.7 million respectively, representing unpaid liabilities incurred during fiscal 2013, fiscal 2012 and fiscal 2011 to acquire property, plant and equipment.</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Internal Use Software</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costs of internal use software are expensed or capitalized depending on whether they are incurred in the preliminary project stage, application development stage or the post-implementation/operation stage. As of September 30, 2013 and September 30, 2012, the Company had $17.5 million and $18.6 million, respectively, in unamortized capitalized internal use computer software costs. Amortization of these costs was $7.3 million, $8.0 million and $9.0 million during fiscal 2013, fiscal 2012 and fiscal 2011,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Goodwill and Indefinite-lived Intangible Assets</w:t>
      </w:r>
    </w:p>
    <w:p>
      <w:pPr>
        <w:spacing w:after="0" w:line="9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Goodwill and indefinite-lived intangible assets are not subject to amortization. Goodwill and indefinite-lived intangible assets are reviewed for impairment by applying a fair-value based test on an annual basis, as of the first day of the Company’s fiscal fourth quarter, or more frequently if circumstances indicate impairment may have occurred. With respect to goodwill, the Company performs either a qualitative or quantitative evaluation for each of its reporting units. Factors considered in the qualitative test include reporting unit specific operating results as well as new events and circumstances impacting the operations of the reporting units. For the quantitative test, the Company assesses goodwill for impairment by comparing the carrying value of its reporting units to their respective fair values and reviewing the Company’s market value of invested capital. A reporting unit is defined as an operating segment or one level below an operating segment. The Company has identified six reporting units. The Company determines the fair value of its reporting units under the income-based approach utilizing discounted cash flows and incorporates assumptions it believes marketplace participants would utilize. The Company also uses a comparative market-based approach using market multiples and other factors to corroborate the discounted cash flow results used.</w:t>
      </w:r>
    </w:p>
    <w:p>
      <w:pPr>
        <w:spacing w:after="0" w:line="32"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With respect to indefinite-lived intangible assets, the Company performs either a qualitative or quantitative evaluation for each of its indefinite-lived intangible assets. Factors considered in the qualitative test include indefinite-lived intangible asset specific operating results as well as new events and circumstances impacting the cash flows of the indefinite-lived intangible assets. For the quantitative test, the value of all indefinite-lived tradenames was determined using a royalty savings methodology similar to that employed when the associated businesses were acquired but using updated estimates of sales, cash flow and profitability. If it is determined that an impairment has occurred, an impairment loss is recognized for the amount by which the carrying value of the asset exceeds its estimated fair value and classified as “Impairment, restructuring and other charges” in the Consolidated Statements of Operations.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Insurance and Self-Insurance</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maintains insurance for certain risks, including workers’ compensation, general liability and vehicle liability, and is self-insured for employee-related health care benefits up to a specified level for individual claims. The Company accrues for the expected costs associated with these risks by considering historical claims experience, demographic factors, severity factors and other relevant information. Costs are recognized in the period the claim is incurred, and accruals include an actuarially determined estimate of claims incurred but not yet reported.</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uses the asset and liability method to account for income taxes. Deferred tax assets and liabilities are recognized for the anticipated future tax consequences attributable to differences between financial statement amounts and their respective tax bases. Management reviews the Company’s deferred tax assets to determine whether their value can be realized based upon available evidence. A valuation allowance is established when management believes that it is more likely than not that some portion of its deferred tax assets will not be realized. Changes in valuation allowances from period to period are included in the Company’s tax provision in the period of change.</w:t>
      </w:r>
    </w:p>
    <w:p>
      <w:pPr>
        <w:spacing w:after="0" w:line="13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establishes a liability for tax return positions in which there is uncertainty as to whether or not the position will ultimately be sustained. Amounts for uncertain tax positions are adjusted in quarters when new information becomes available or when positions are effectively settled. The Company recognizes interest expense and penalties related to these unrecognized tax benefits within income tax expense.</w:t>
      </w:r>
    </w:p>
    <w:p>
      <w:pPr>
        <w:spacing w:after="0" w:line="11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U.S. income tax expense and foreign withholding taxes are provided on unremitted foreign earnings that are not indefinitely reinvested at the time the earnings are generated. Where foreign earnings are indefinitely reinvested, no provision for U.S. income or foreign withholding taxes is made. When circumstances change and the Company determines that some or all of the undistributed earnings will be remitted in the foreseeable future, the Company accrues an expense in the current period for U.S. income taxes and foreign withholding taxes attributable to the anticipated remittance.</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Translation of Foreign Currencies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functional currency for each Scotts Miracle-Gro subsidiary is generally its local currency. Assets and liabilities of these subsidiaries are translated at the exchange rate in effect at each year-end. Income and expense accounts are translated at the average rate of exchange prevailing during the year. Translation gains and losses arising from the use of differing exchange rates from period to period are included in accumulated other comprehensive income (loss) within shareholders’ equity. Foreign currency transaction gains and losses are included in the determination of net income and classified as “Other (income) expense, net” in the Consolidated Statements of Operations.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Derivative Instruments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the normal course of business, the Company is exposed to fluctuations in interest rates, the value of foreign currencies and the cost of commodities. A variety of financial instruments, including forward and swap contracts, are used to manage these exposures. These financial instruments are recognized at fair value on the balance sheet, and all changes in fair value are recognized in net income or shareholders’ equity through accumulated other comprehensive income (loss). The Company’s objective in managing these exposures is to better control these elements of cost and mitigate the earnings and cash flow volatility associated with changes in the applicable rates and prices.</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established policies and procedures that encompass risk-management philosophy and objectives, guidelines for derivative-instrument usage, counterparty credit approval, and the monitoring and reporting of derivative activity. The Company does not enter into derivative instruments for the purpose of speculation.</w:t>
      </w:r>
    </w:p>
    <w:p>
      <w:pPr>
        <w:spacing w:after="0" w:line="12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 formally designates and documents instruments at inception that qualify for hedge accounting of underlying exposures in accordance with GAAP. The Company formally assesses, both at inception and at least quarterly, whether the financial instruments used in hedging transactions are effective at offsetting changes in cash flows of the related underlying exposure. Fluctuations in the value of these instruments generally are offset by changes in the cash flows of the underlying exposures being hedged. This offset is driven by the high degree of effectiveness between the exposure being hedged and the hedging instrument. GAAP requires all derivative instruments to be recognized as either assets or liabilities at fair value in the Consolidated Balance Sheets. The Company designates commodity hedges as cash flow hedges of forecasted purchases of commodities and interest rate swap agreements as cash flow hedges of interest payments on variable rate borrowings. Any ineffective portion of a change in the fair value of a qualifying instrument is immediately recognized in earnings. The amounts recorded in earnings related to ineffectiveness of derivative hedges for the years ended September 30, 2013, September 30, 2012 and September 30, 2011 were not significant.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Comprehensive Income</w:t>
      </w:r>
    </w:p>
    <w:p>
      <w:pPr>
        <w:spacing w:after="0" w:line="9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June 2011, the FASB issued amended accounting guidance on the presentation of comprehensive income. The amended guidance requires that all non-owner changes in stockholders’ equity be presented either in a single continuous statement of comprehensive income or in two separate but consecutive statements. The provisions were effective for the Company’s financial statements for the fiscal year beginning October 1, 2012 and the Company elected to present net income and other comprehensive income in two separate but consecutive statements. The adoption of the amended guidance did not have a significant impact on the Company's financial statements and related disclosures.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Balance Sheet Offsetting</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December 2011, the FASB issued an amendment to accounting guidance on the presentation of offsetting of derivatives, and financial assets and liabilities. The amended guidance requires quantitative disclosures regarding the gross amounts and their location within the statement of financial position. The provisions are effective for the Company's financial statements for the fiscal year beginning October 1, 2013. The adoption of the amended guidance will not have a significant impact on the Company's financial statements and related disclosures.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Reporting of Amounts Reclassified Out of Accumulated Other Comprehensive Income</w:t>
      </w:r>
    </w:p>
    <w:p>
      <w:pPr>
        <w:spacing w:after="0" w:line="14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 February 2013, the FASB issued an amendment to accounting guidance on the reporting of amounts reclassified out of accumulated other comprehensive income. The amended guidance requires presentation of reclassification adjustments from each component of accumulated other comprehensive income either in a single note or parenthetically on the face of the financial statements, for those amounts required to be reclassified into net income in their entirety in the same reporting period. For amounts that are not required to be reclassified in their entirety in the same reporting period, cross-reference to other disclosures is required. The provisions are effective for the Company's financial statements for the fiscal year beginning October 1, 2013. The Company elected to early adopt the amended guidance for the financial statements presented. The adoption of the amended guidance did not have a significant impact on the Company's financial statements and related disclosures.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 Seed</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the fourth quarter of fiscal year 2012, the Company completed the wind down of the Company's professional seed business. As a result, effective in its fourth quarter of fiscal 2012, the Company classified its results of operations for all periods presented to reflect the professional seed business as a discontinued operation. In 2013, the Company recorded a $0.1 million loss related to the wind-down of the professional seed business. The Company recorded restructuring and other charges of $0.1 million and $3.4 million in fiscal 2012 and fiscal 2011, respectively related to termination benefits provided to employees and other restructuring charges. The company also recorded a $0.5 million impairment charge related to the investment in Turf-Seed (Europe) Limited in fiscal 2012.</w:t>
      </w:r>
    </w:p>
    <w:p>
      <w:pPr>
        <w:spacing w:after="0" w:line="5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On May 26, 2011, the Company and the former owners of Turf-Seed, Inc. agreed to an early settlement of the contingent consideration associated with the Company’s fiscal 2006 acquisition of Turf-Seed, Inc. Concurrently, several other contracts and agreements between the Company and the former owners of Turf-Seed, Inc. were terminated or amended. The Company agreed to pay a total of $21.3 million to resolve these matters, resulting in a net charge of $10.3 million after consideration of previously recorded liabilities and other aspects of the agreements. In the fourth quarter of fiscal 2011, the Company also recorded impairment and other charges of $6.5 million related to the investment in Turf-Seed (Europe) Limited.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Global Pro</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February 28, 2011, the Company completed the sale of Global Pro to ICL for $270 million. After agreed upon adjustments (including post-closing adjustments), the Company received $270.9 million net proceeds, or $253.6 million after transaction costs. Results from discontinued operations for fiscal 2011 include an after-tax gain on the sale of Global Pro of $39.5 million, which includes transaction costs. In addition, in fiscal 2012, the Company recorded an adjustment of $1.7 million as a change in estimate on the tax due on the sale of Global Pro.</w:t>
      </w:r>
    </w:p>
    <w:p>
      <w:pPr>
        <w:spacing w:after="0" w:line="106"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Pursuant to the terms of the indenture governing the Company’s 7.25% Senior Notes due 2018 and the indenture governing the Company’s 6.625% Senior Notes due 2020, the Company had a period of 360 days to apply an amount equal to the net proceeds received from the sale of Global Pro or any other asset sales to repay indebtedness, acquire equity interests in certain entities, make capital expenditures, acquire other assets useful in a related business and/or make investments in certain joint ventures. Any amount not so applied must be used to make an offer to repurchase the Senior Notes, provided that such repurchase offer may be deferred until such time as the unutilized net proceeds from the sale of Global Pro and any other asset sales exceed $50 million (at which time the entire unutilized net proceeds, and not just the amount in excess of $50 million, shall be applied to make such repurchase offer). As of September 30, 2013, the Company had applied all but approximately $45 million of the net proceeds from the sale of Global Pro to one or more of the uses permitted by the indentures. The Company has no unutilized net proceeds from any other asset sales.</w:t>
      </w:r>
    </w:p>
    <w:p>
      <w:pPr>
        <w:spacing w:after="0" w:line="98"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The Company’s decision to exit the professional ornamental horticulture, turf and specialty agriculture markets and sell Global Pro was another step in its strategy to evolve its business portfolio to better leverage growth opportunities within its Global Consumer and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segments.</w:t>
      </w:r>
    </w:p>
    <w:p>
      <w:pPr>
        <w:spacing w:after="0" w:line="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conjunction with the transaction, The Scotts Company LLC (“Scotts LLC”), a wholly owned subsidiary of Scotts Miracle-Gro, and ICL entered into several product supply agreements which are generally up to five years in duration, as well as various trademark and technology licensing agreements with varying durations. The purpose of these agreements is to allow each party to continue leveraging existing production capabilities and intellectual property to meet customer demand for their respective products. Scotts LLC estimates that it will supply ICL with approximately $30 million of product under these agreements, as well as purchase approximately $15 million of materials from ICL, each on an annualized basis.</w:t>
      </w:r>
    </w:p>
    <w:p>
      <w:pPr>
        <w:spacing w:after="0" w:line="9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Company’s continuing cash inflows and outflows related to these agreements are not considered to be significant in relation to the overall cash flows of Global Pro. Furthermore, none of these agreements permit the Company to influence the operating or financial policies of Global Pro under the ownership of ICL. Therefore, Global Pro met the criteria for presentation as discontinued operations. As such, effective in the first quarter of fiscal 2011, the Company classified Global Pro as discontinued operations for all periods presented. The Global Pro results from discontinued operations include an allocation of interest expense relating to the amount of our then existing credit facilities that was required to be repaid from the sale proceeds.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results of Pro Seed and Global Pro as discontinued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2"/>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costs</w:t>
            </w: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122.5</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Gain on sale of Global Pro business</w:t>
            </w: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(93.0)</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Pro sale related transaction costs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before income taxes</w:t>
            </w:r>
          </w:p>
        </w:tc>
        <w:tc>
          <w:tcPr>
            <w:tcW w:w="10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57.0</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from discontinued operations</w:t>
            </w: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1020" w:type="dxa"/>
            <w:vAlign w:val="bottom"/>
            <w:tcBorders>
              <w:top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28.0</w:t>
            </w:r>
          </w:p>
        </w:tc>
      </w:tr>
      <w:tr>
        <w:trPr>
          <w:trHeight w:val="27"/>
        </w:trPr>
        <w:tc>
          <w:tcPr>
            <w:tcW w:w="67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IMPAIRMENT, RESTRUCTURING AND OTHER</w:t>
      </w:r>
    </w:p>
    <w:p>
      <w:pPr>
        <w:spacing w:after="0" w:line="9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table details impairment, restructuring and other and rolls forward the restructuring and other accrued in fiscal 2013, fiscal 2012 and fiscal 2011:</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Restructuring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plant and equipment 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Goodwill and intangible asset impairments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impairment, restructuring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675005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Amounts reserved for restructuring and other at beginning of year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Restructuring and other in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Restructuring and other in discontinued operations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Payments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Amounts reserved for restructuring and other at end of year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152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29673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r>
      <w:tr>
        <w:trPr>
          <w:trHeight w:val="244"/>
        </w:trPr>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5"/>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27.4</w:t>
            </w:r>
          </w:p>
        </w:tc>
      </w:tr>
      <w:tr>
        <w:trPr>
          <w:trHeight w:val="270"/>
        </w:trPr>
        <w:tc>
          <w:tcPr>
            <w:tcW w:w="380" w:type="dxa"/>
            <w:vAlign w:val="bottom"/>
          </w:tcPr>
          <w:p>
            <w:pPr>
              <w:spacing w:after="0"/>
              <w:rPr>
                <w:sz w:val="23"/>
                <w:szCs w:val="23"/>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9.1</w:t>
            </w:r>
          </w:p>
        </w:tc>
      </w:tr>
      <w:tr>
        <w:trPr>
          <w:trHeight w:val="270"/>
        </w:trPr>
        <w:tc>
          <w:tcPr>
            <w:tcW w:w="380" w:type="dxa"/>
            <w:vAlign w:val="bottom"/>
          </w:tcPr>
          <w:p>
            <w:pPr>
              <w:spacing w:after="0"/>
              <w:rPr>
                <w:sz w:val="23"/>
                <w:szCs w:val="23"/>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19.4</w:t>
            </w:r>
          </w:p>
        </w:tc>
      </w:tr>
      <w:tr>
        <w:trPr>
          <w:trHeight w:val="27"/>
        </w:trPr>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20.3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55.9</w:t>
            </w:r>
          </w:p>
        </w:tc>
      </w:tr>
      <w:tr>
        <w:trPr>
          <w:trHeight w:val="27"/>
        </w:trPr>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80"/>
        </w:trPr>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r>
      <w:tr>
        <w:trPr>
          <w:trHeight w:val="244"/>
        </w:trPr>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5"/>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0.5</w:t>
            </w:r>
          </w:p>
        </w:tc>
      </w:tr>
      <w:tr>
        <w:trPr>
          <w:trHeight w:val="270"/>
        </w:trPr>
        <w:tc>
          <w:tcPr>
            <w:tcW w:w="380" w:type="dxa"/>
            <w:vAlign w:val="bottom"/>
          </w:tcPr>
          <w:p>
            <w:pPr>
              <w:spacing w:after="0"/>
              <w:rPr>
                <w:sz w:val="23"/>
                <w:szCs w:val="23"/>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27.4</w:t>
            </w:r>
          </w:p>
        </w:tc>
      </w:tr>
      <w:tr>
        <w:trPr>
          <w:trHeight w:val="270"/>
        </w:trPr>
        <w:tc>
          <w:tcPr>
            <w:tcW w:w="380" w:type="dxa"/>
            <w:vAlign w:val="bottom"/>
          </w:tcPr>
          <w:p>
            <w:pPr>
              <w:spacing w:after="0"/>
              <w:rPr>
                <w:sz w:val="23"/>
                <w:szCs w:val="23"/>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20.2</w:t>
            </w:r>
          </w:p>
        </w:tc>
      </w:tr>
      <w:tr>
        <w:trPr>
          <w:trHeight w:val="270"/>
        </w:trPr>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7"/>
        </w:trPr>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29.6</w:t>
            </w:r>
          </w:p>
        </w:tc>
      </w:tr>
      <w:tr>
        <w:trPr>
          <w:trHeight w:val="27"/>
        </w:trPr>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20" w:space="720"/>
            <w:col w:w="4680"/>
          </w:cols>
          <w:pgMar w:left="240" w:top="122" w:right="239" w:bottom="1440" w:gutter="0" w:footer="0" w:header="0"/>
          <w:type w:val="continuous"/>
        </w:sectPr>
      </w:pPr>
    </w:p>
    <w:p>
      <w:pPr>
        <w:spacing w:after="0" w:line="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Included in the restructuring reserves as of September 30, 2013, is $3.1 million that is classified as long-term. Payments against the long-term reserves will be incurred as the employees covered by the 2011 restructuring plan retire. The remaining amounts reserved will be paid out over the course of fiscal 2014.</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2013</w:t>
      </w:r>
    </w:p>
    <w:p>
      <w:pPr>
        <w:spacing w:after="0" w:line="144" w:lineRule="exact"/>
        <w:rPr>
          <w:sz w:val="20"/>
          <w:szCs w:val="20"/>
          <w:color w:val="auto"/>
        </w:rPr>
      </w:pPr>
    </w:p>
    <w:p>
      <w:pPr>
        <w:jc w:val="both"/>
        <w:ind w:firstLine="405"/>
        <w:spacing w:after="0" w:line="242" w:lineRule="auto"/>
        <w:rPr>
          <w:sz w:val="20"/>
          <w:szCs w:val="20"/>
          <w:color w:val="auto"/>
        </w:rPr>
      </w:pPr>
      <w:r>
        <w:rPr>
          <w:rFonts w:ascii="Arial" w:cs="Arial" w:eastAsia="Arial" w:hAnsi="Arial"/>
          <w:sz w:val="18"/>
          <w:szCs w:val="18"/>
          <w:color w:val="auto"/>
        </w:rPr>
        <w:t>During the first quarter of fiscal 2013, the Company recognized income of $4.7 million related to the reimbursement by a vendor for a portion of the costs incurred for the development and commercialization of products including the active ingredient MAT 28 for the Global Consumer segment. During the first quarter of 2013, the Company also recognized a $4.3 million asset impairment charge as a result of issues with the commercialization of an insect repellent technology for the Global Consumer segment. Also, as a result of the Company's annual impairment review performed in the fourth quarter of fiscal 2013, the Company recognized an impairment charge for a non-recurring fair value adjustment of $11.6 million within the Global Consumer segment related to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and certain sub-brands of Ortho</w:t>
      </w:r>
      <w:r>
        <w:rPr>
          <w:rFonts w:ascii="Arial" w:cs="Arial" w:eastAsia="Arial" w:hAnsi="Arial"/>
          <w:sz w:val="25"/>
          <w:szCs w:val="25"/>
          <w:color w:val="auto"/>
          <w:vertAlign w:val="superscript"/>
        </w:rPr>
        <w:t>®</w:t>
      </w:r>
      <w:r>
        <w:rPr>
          <w:rFonts w:ascii="Arial" w:cs="Arial" w:eastAsia="Arial" w:hAnsi="Arial"/>
          <w:sz w:val="18"/>
          <w:szCs w:val="18"/>
          <w:color w:val="auto"/>
        </w:rPr>
        <w:t>. The fair value was calculated based upon the evaluation of the historical performance and future growth of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w:t>
      </w:r>
    </w:p>
    <w:p>
      <w:pPr>
        <w:sectPr>
          <w:pgSz w:w="11900" w:h="16838" w:orient="portrait"/>
          <w:cols w:equalWidth="0" w:num="1">
            <w:col w:w="11420"/>
          </w:cols>
          <w:pgMar w:left="240" w:top="122" w:right="239" w:bottom="1440" w:gutter="0" w:footer="0" w:header="0"/>
          <w:type w:val="continuous"/>
        </w:sectPr>
      </w:pP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2" w:right="239" w:bottom="1440" w:gutter="0" w:footer="0" w:header="0"/>
          <w:type w:val="continuous"/>
        </w:sectPr>
      </w:pPr>
    </w:p>
    <w:bookmarkStart w:id="61" w:name="page62"/>
    <w:bookmarkEnd w:id="61"/>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fiscal 2013, the Company recognized $9.1 million in restructuring costs related to termination benefits provided to international employees in relation to the profitability improvement initiative announced in December 2012, associated with the international restructuring plan to reduce headcount and streamline management decision making within the Global Consumer segment.</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2012</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During fiscal 2012, in continuation of the 2011 restructuring plan, the Company incurred an additional $1.6 million in restructuring costs related to termination benefits provided to employees who accepted voluntary retirement and special termination benefits provided to certain employees upon future separation as well as $0.2 million related to curtailment charges for its U.S. defined benefit pension and U.S. retiree medical plans.</w:t>
      </w:r>
    </w:p>
    <w:p>
      <w:pPr>
        <w:spacing w:after="0" w:line="8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year ended September 30, 2012, the Company recognized a $5.3 million asset impairment charge as a result of issues with commercialization of products including the active ingredient MAT 28 for the Global Consumer segment.</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2011</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August 8, 2011, the Company announced a restructuring plan designed to streamline management decision making and continue the regionalization of the Company’s operating structure, with the objective of reinvesting the savings generated in innovation and growth initiatives. During fiscal 2011, the Company incurred $23.7 million in restructuring costs related to termination benefits provided to employees who were involuntarily terminated and special termination benefits provided to certain employees upon future separation, as well as $2.3 million related to curtailment charges for its U.S. defined benefit pension and U.S. retiree medical plans.</w:t>
      </w:r>
    </w:p>
    <w:p>
      <w:pPr>
        <w:spacing w:after="0" w:line="13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connection with the Company’s annual impairment review, the Company recognized impairment charges related to the Wild Bird Food reporting unit of $9.1 million for property, plant and equipment, $16.8 million for intangible assets and $0.3 million for goodwill, based on their respective estimated fair values. Losses generated by this business over the past two years, combined with a revised long-term outlook have negatively impacted the value of this business.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addition, the Company recognized charges of $2.3 million for other intangible asset impairments and $1.4 million for restructuring and other charges.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INTANGIBLE ASSETS, NET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displays a rollforward of the carrying amount of goodwill by reportable segment, as well as Corporate &amp; Other:</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Global</w:t>
            </w:r>
          </w:p>
        </w:tc>
        <w:tc>
          <w:tcPr>
            <w:tcW w:w="26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Scotts</w:t>
            </w:r>
          </w:p>
        </w:tc>
        <w:tc>
          <w:tcPr>
            <w:tcW w:w="32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Corporate &amp;</w:t>
            </w:r>
          </w:p>
        </w:tc>
        <w:tc>
          <w:tcPr>
            <w:tcW w:w="400" w:type="dxa"/>
            <w:vAlign w:val="bottom"/>
          </w:tcPr>
          <w:p>
            <w:pPr>
              <w:spacing w:after="0"/>
              <w:rPr>
                <w:sz w:val="14"/>
                <w:szCs w:val="14"/>
                <w:color w:val="auto"/>
              </w:rPr>
            </w:pPr>
          </w:p>
        </w:tc>
        <w:tc>
          <w:tcPr>
            <w:tcW w:w="126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Consumer</w:t>
            </w: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LawnService</w:t>
            </w:r>
            <w:r>
              <w:rPr>
                <w:rFonts w:ascii="Arial" w:cs="Arial" w:eastAsia="Arial" w:hAnsi="Arial"/>
                <w:sz w:val="12"/>
                <w:szCs w:val="12"/>
                <w:b w:val="1"/>
                <w:bCs w:val="1"/>
                <w:color w:val="auto"/>
                <w:w w:val="93"/>
              </w:rPr>
              <w:t>®</w:t>
            </w: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244.6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396.5</w:t>
            </w:r>
          </w:p>
        </w:tc>
        <w:tc>
          <w:tcPr>
            <w:tcW w:w="0" w:type="dxa"/>
            <w:vAlign w:val="bottom"/>
          </w:tcPr>
          <w:p>
            <w:pPr>
              <w:spacing w:after="0"/>
              <w:rPr>
                <w:sz w:val="1"/>
                <w:szCs w:val="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Accumulated impairment losses</w:t>
            </w:r>
          </w:p>
        </w:tc>
        <w:tc>
          <w:tcPr>
            <w:tcW w:w="140" w:type="dxa"/>
            <w:vAlign w:val="bottom"/>
          </w:tcPr>
          <w:p>
            <w:pPr>
              <w:spacing w:after="0"/>
              <w:rPr>
                <w:sz w:val="21"/>
                <w:szCs w:val="21"/>
                <w:color w:val="auto"/>
              </w:rPr>
            </w:pP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Balance at September 30, 2011</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181.8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Acquisitions, net of purchase price adjustments</w:t>
            </w:r>
          </w:p>
        </w:tc>
        <w:tc>
          <w:tcPr>
            <w:tcW w:w="140" w:type="dxa"/>
            <w:vAlign w:val="bottom"/>
          </w:tcPr>
          <w:p>
            <w:pPr>
              <w:spacing w:after="0"/>
              <w:rPr>
                <w:sz w:val="21"/>
                <w:szCs w:val="21"/>
                <w:color w:val="auto"/>
              </w:rPr>
            </w:pPr>
          </w:p>
        </w:tc>
        <w:tc>
          <w:tcPr>
            <w:tcW w:w="1560" w:type="dxa"/>
            <w:vAlign w:val="bottom"/>
          </w:tcPr>
          <w:p>
            <w:pPr>
              <w:jc w:val="right"/>
              <w:ind w:right="15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Goodwill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54"/>
              <w:spacing w:after="0"/>
              <w:rPr>
                <w:sz w:val="20"/>
                <w:szCs w:val="20"/>
                <w:color w:val="auto"/>
              </w:rPr>
            </w:pPr>
            <w:r>
              <w:rPr>
                <w:rFonts w:ascii="Arial" w:cs="Arial" w:eastAsia="Arial" w:hAnsi="Arial"/>
                <w:sz w:val="18"/>
                <w:szCs w:val="18"/>
                <w:color w:val="auto"/>
              </w:rPr>
              <w:t>244.9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3"/>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Accumulated impairment losses</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37"/>
        </w:trPr>
        <w:tc>
          <w:tcPr>
            <w:tcW w:w="4440" w:type="dxa"/>
            <w:vAlign w:val="bottom"/>
          </w:tcPr>
          <w:p>
            <w:pPr>
              <w:ind w:left="160"/>
              <w:spacing w:after="0"/>
              <w:rPr>
                <w:sz w:val="20"/>
                <w:szCs w:val="20"/>
                <w:color w:val="auto"/>
              </w:rPr>
            </w:pPr>
            <w:r>
              <w:rPr>
                <w:rFonts w:ascii="Arial" w:cs="Arial" w:eastAsia="Arial" w:hAnsi="Arial"/>
                <w:sz w:val="18"/>
                <w:szCs w:val="18"/>
                <w:b w:val="1"/>
                <w:bCs w:val="1"/>
                <w:color w:val="auto"/>
              </w:rPr>
              <w:t>Balance at September 30, 2012</w:t>
            </w: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309.4</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Acquisitions, net of purchase price adjustments</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97"/>
        </w:trPr>
        <w:tc>
          <w:tcPr>
            <w:tcW w:w="4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245.9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Accumulated impairment losses</w:t>
            </w:r>
          </w:p>
        </w:tc>
        <w:tc>
          <w:tcPr>
            <w:tcW w:w="140" w:type="dxa"/>
            <w:vAlign w:val="bottom"/>
          </w:tcPr>
          <w:p>
            <w:pPr>
              <w:spacing w:after="0"/>
              <w:rPr>
                <w:sz w:val="21"/>
                <w:szCs w:val="21"/>
                <w:color w:val="auto"/>
              </w:rPr>
            </w:pP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Balance at September 30,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183.1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jc w:val="right"/>
              <w:ind w:right="27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intangible assets,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w w:val="96"/>
              </w:rPr>
              <w:t>September 30, 2013</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30, 2012</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11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2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88"/>
              </w:rPr>
              <w:t>Net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ind w:right="118"/>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110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gridSpan w:val="4"/>
          </w:tcPr>
          <w:p>
            <w:pPr>
              <w:jc w:val="right"/>
              <w:ind w:right="718"/>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Finite-lived intangible assets:</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Technology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61.8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(53.8)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8.0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60.9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(47.1)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accounts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81.2</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(65.0)</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82.6</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(65.6)</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Tradenames</w:t>
            </w:r>
          </w:p>
        </w:tc>
        <w:tc>
          <w:tcPr>
            <w:tcW w:w="22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47.0</w:t>
            </w:r>
          </w:p>
        </w:tc>
        <w:tc>
          <w:tcPr>
            <w:tcW w:w="260" w:type="dxa"/>
            <w:vAlign w:val="bottom"/>
          </w:tcPr>
          <w:p>
            <w:pPr>
              <w:spacing w:after="0"/>
              <w:rPr>
                <w:sz w:val="21"/>
                <w:szCs w:val="21"/>
                <w:color w:val="auto"/>
              </w:rPr>
            </w:pP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(24.8)</w:t>
            </w:r>
          </w:p>
        </w:tc>
        <w:tc>
          <w:tcPr>
            <w:tcW w:w="20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47.0</w:t>
            </w:r>
          </w:p>
        </w:tc>
        <w:tc>
          <w:tcPr>
            <w:tcW w:w="260" w:type="dxa"/>
            <w:vAlign w:val="bottom"/>
          </w:tcPr>
          <w:p>
            <w:pPr>
              <w:spacing w:after="0"/>
              <w:rPr>
                <w:sz w:val="21"/>
                <w:szCs w:val="21"/>
                <w:color w:val="auto"/>
              </w:rPr>
            </w:pP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(22.7)</w:t>
            </w: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103.9</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(88.2)</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101.2</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(81.5)</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8"/>
                <w:szCs w:val="18"/>
                <w:color w:val="auto"/>
              </w:rPr>
              <w:t>Total finite-lived intangible assets, net</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tradenames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222.3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8"/>
                <w:szCs w:val="18"/>
                <w:color w:val="auto"/>
              </w:rPr>
              <w:t>Total intangible assets, net</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284.4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2013</w:t>
      </w:r>
    </w:p>
    <w:p>
      <w:pPr>
        <w:spacing w:after="0" w:line="225" w:lineRule="exact"/>
        <w:rPr>
          <w:sz w:val="20"/>
          <w:szCs w:val="20"/>
          <w:color w:val="auto"/>
        </w:rPr>
      </w:pPr>
    </w:p>
    <w:p>
      <w:pPr>
        <w:jc w:val="both"/>
        <w:ind w:firstLine="405"/>
        <w:spacing w:after="0" w:line="267" w:lineRule="auto"/>
        <w:rPr>
          <w:sz w:val="20"/>
          <w:szCs w:val="20"/>
          <w:color w:val="auto"/>
        </w:rPr>
      </w:pPr>
      <w:r>
        <w:rPr>
          <w:rFonts w:ascii="Arial" w:cs="Arial" w:eastAsia="Arial" w:hAnsi="Arial"/>
          <w:sz w:val="16"/>
          <w:szCs w:val="16"/>
          <w:color w:val="auto"/>
        </w:rPr>
        <w:t>During the first quarter of 2013, the Company recognized a $4.3 million asset impairment charge as a result of issues with the commercialization of an insect repellent technology for the Global Consumer segment. During the fourth quarter of fiscal 2013, the Company completed its annual impairment review and recognized an impairment charge for a non-recurring fair value adjustment of $11.6 million, which includes $11.1 million for indefinite-lived tradenames and $0.5 million for finite-lived tradenames, within the Global Consumer segment related to the Ortho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and certain sub-brands of Ortho</w:t>
      </w:r>
      <w:r>
        <w:rPr>
          <w:rFonts w:ascii="Arial" w:cs="Arial" w:eastAsia="Arial" w:hAnsi="Arial"/>
          <w:sz w:val="22"/>
          <w:szCs w:val="22"/>
          <w:color w:val="auto"/>
          <w:vertAlign w:val="superscript"/>
        </w:rPr>
        <w:t>®</w:t>
      </w:r>
      <w:r>
        <w:rPr>
          <w:rFonts w:ascii="Arial" w:cs="Arial" w:eastAsia="Arial" w:hAnsi="Arial"/>
          <w:sz w:val="16"/>
          <w:szCs w:val="16"/>
          <w:color w:val="auto"/>
        </w:rPr>
        <w:t>. The impact of the fair value adjustment was to reduce the carrying value of the indefinite-lived Ortho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and sub-brands from $137.1 million to $126.0 million. The impairment charge is discussed further in “NOTE 3. IMPAIRMENT, RESTRUCTURING AND OTHER CHARGES.” As a result of the annual impairment review, the Company also determined that no other charges for impairment of goodwill or intangible assets were required. The estimated fair value of each reporting unit was substantially in excess of its carrying value as of the annual test date. Each of the indefinite-lived tradenames had an estimated fair value substantially in excess of its carrying value as of the annual test date, with the exception of the Ortho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2012</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recognized a $3.2 million impairment charge related to an intangible asset associated with the active ingredient MAT 28. The impairment charge is discussed further in “NOTE 3. IMPAIRMENT, RESTRUCTURING AND OTHER CHARGES.”</w:t>
      </w:r>
    </w:p>
    <w:p>
      <w:pPr>
        <w:spacing w:after="0" w:line="35" w:lineRule="exact"/>
        <w:rPr>
          <w:sz w:val="20"/>
          <w:szCs w:val="20"/>
          <w:color w:val="auto"/>
        </w:rPr>
      </w:pPr>
    </w:p>
    <w:p>
      <w:pPr>
        <w:jc w:val="both"/>
        <w:ind w:firstLine="432"/>
        <w:spacing w:after="0" w:line="227" w:lineRule="auto"/>
        <w:rPr>
          <w:sz w:val="20"/>
          <w:szCs w:val="20"/>
          <w:color w:val="auto"/>
        </w:rPr>
      </w:pPr>
      <w:r>
        <w:rPr>
          <w:rFonts w:ascii="Arial" w:cs="Arial" w:eastAsia="Arial" w:hAnsi="Arial"/>
          <w:sz w:val="17"/>
          <w:szCs w:val="17"/>
          <w:color w:val="auto"/>
        </w:rPr>
        <w:t>During the fourth quarter of fiscal 2012, the Company completed its annual impairment analysis and determined that no additional charges for impairment of goodwill or intangible assets were required. The estimated fair value of each reporting unit was substantially in excess of its carrying value as of the annual test date. Each of the indefinite-lived tradenames had an estimated fair value substantially in excess of its carrying value as of the annual test date, with the exception of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tradename and French tradenames of KB</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Fertiligene</w:t>
      </w:r>
      <w:r>
        <w:rPr>
          <w:rFonts w:ascii="Arial" w:cs="Arial" w:eastAsia="Arial" w:hAnsi="Arial"/>
          <w:sz w:val="24"/>
          <w:szCs w:val="24"/>
          <w:color w:val="auto"/>
          <w:vertAlign w:val="superscript"/>
        </w:rPr>
        <w:t>®</w:t>
      </w:r>
      <w:r>
        <w:rPr>
          <w:rFonts w:ascii="Arial" w:cs="Arial" w:eastAsia="Arial" w:hAnsi="Arial"/>
          <w:sz w:val="17"/>
          <w:szCs w:val="17"/>
          <w:color w:val="auto"/>
        </w:rPr>
        <w:t>. The carrying value of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tradename and French tradenames (KB</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Fertiligene</w:t>
      </w:r>
      <w:r>
        <w:rPr>
          <w:rFonts w:ascii="Arial" w:cs="Arial" w:eastAsia="Arial" w:hAnsi="Arial"/>
          <w:sz w:val="24"/>
          <w:szCs w:val="24"/>
          <w:color w:val="auto"/>
          <w:vertAlign w:val="superscript"/>
        </w:rPr>
        <w:t>®</w:t>
      </w:r>
      <w:r>
        <w:rPr>
          <w:rFonts w:ascii="Arial" w:cs="Arial" w:eastAsia="Arial" w:hAnsi="Arial"/>
          <w:sz w:val="17"/>
          <w:szCs w:val="17"/>
          <w:color w:val="auto"/>
        </w:rPr>
        <w:t>) at September 30, 2012 were $137.1 million and $17.7 million, respectively. The excess fair value over the carrying value of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tradename and French tradenames were 7.4% and 14.1%, respectively. If future analyses indicate that fair value has declined below carrying value, the result will be an impairment of a portion of the indefinite-lived intangible asset value.</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2011</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connection with the Company’s annual impairment review, the Company recognized impairment charges related to the Wild Bird Food reporting unit of $16.8 million for intangible assets and $0.3 million for goodwill, based on their respective estimated fair values. The impairment charges are discussed further in “NOTE 3. IMPAIRMENT, RESTRUCTURING AND OTHER CHARGES.”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Total amortization expense for the years ended September 30, 2013, 2012, and 2011 was $11.2 million, $10.9 million and $11.4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is estimated to be as follows for the years ending September 30 (in millions):</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4980" w:type="dxa"/>
            <w:vAlign w:val="bottom"/>
            <w:shd w:val="clear" w:color="auto" w:fill="CCEEFF"/>
          </w:tcPr>
          <w:p>
            <w:pPr>
              <w:jc w:val="right"/>
              <w:ind w:right="4510"/>
              <w:spacing w:after="0"/>
              <w:rPr>
                <w:sz w:val="20"/>
                <w:szCs w:val="20"/>
                <w:color w:val="auto"/>
              </w:rPr>
            </w:pPr>
            <w:r>
              <w:rPr>
                <w:rFonts w:ascii="Arial" w:cs="Arial" w:eastAsia="Arial" w:hAnsi="Arial"/>
                <w:sz w:val="18"/>
                <w:szCs w:val="18"/>
                <w:color w:val="auto"/>
                <w:w w:val="89"/>
              </w:rPr>
              <w:t>2014</w:t>
            </w:r>
          </w:p>
        </w:tc>
        <w:tc>
          <w:tcPr>
            <w:tcW w:w="53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r>
      <w:tr>
        <w:trPr>
          <w:trHeight w:val="243"/>
        </w:trPr>
        <w:tc>
          <w:tcPr>
            <w:tcW w:w="4980" w:type="dxa"/>
            <w:vAlign w:val="bottom"/>
          </w:tcPr>
          <w:p>
            <w:pPr>
              <w:jc w:val="right"/>
              <w:ind w:right="4510"/>
              <w:spacing w:after="0"/>
              <w:rPr>
                <w:sz w:val="20"/>
                <w:szCs w:val="20"/>
                <w:color w:val="auto"/>
              </w:rPr>
            </w:pPr>
            <w:r>
              <w:rPr>
                <w:rFonts w:ascii="Arial" w:cs="Arial" w:eastAsia="Arial" w:hAnsi="Arial"/>
                <w:sz w:val="18"/>
                <w:szCs w:val="18"/>
                <w:color w:val="auto"/>
                <w:w w:val="89"/>
              </w:rPr>
              <w:t>2015</w:t>
            </w:r>
          </w:p>
        </w:tc>
        <w:tc>
          <w:tcPr>
            <w:tcW w:w="53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9.7</w:t>
            </w:r>
          </w:p>
        </w:tc>
      </w:tr>
      <w:tr>
        <w:trPr>
          <w:trHeight w:val="27"/>
        </w:trPr>
        <w:tc>
          <w:tcPr>
            <w:tcW w:w="49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jc w:val="right"/>
              <w:ind w:right="4510"/>
              <w:spacing w:after="0"/>
              <w:rPr>
                <w:sz w:val="20"/>
                <w:szCs w:val="20"/>
                <w:color w:val="auto"/>
              </w:rPr>
            </w:pPr>
            <w:r>
              <w:rPr>
                <w:rFonts w:ascii="Arial" w:cs="Arial" w:eastAsia="Arial" w:hAnsi="Arial"/>
                <w:sz w:val="18"/>
                <w:szCs w:val="18"/>
                <w:color w:val="auto"/>
                <w:w w:val="89"/>
              </w:rPr>
              <w:t>2016</w:t>
            </w:r>
          </w:p>
        </w:tc>
        <w:tc>
          <w:tcPr>
            <w:tcW w:w="5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r>
      <w:tr>
        <w:trPr>
          <w:trHeight w:val="243"/>
        </w:trPr>
        <w:tc>
          <w:tcPr>
            <w:tcW w:w="4980" w:type="dxa"/>
            <w:vAlign w:val="bottom"/>
          </w:tcPr>
          <w:p>
            <w:pPr>
              <w:jc w:val="right"/>
              <w:ind w:right="4510"/>
              <w:spacing w:after="0"/>
              <w:rPr>
                <w:sz w:val="20"/>
                <w:szCs w:val="20"/>
                <w:color w:val="auto"/>
              </w:rPr>
            </w:pPr>
            <w:r>
              <w:rPr>
                <w:rFonts w:ascii="Arial" w:cs="Arial" w:eastAsia="Arial" w:hAnsi="Arial"/>
                <w:sz w:val="18"/>
                <w:szCs w:val="18"/>
                <w:color w:val="auto"/>
                <w:w w:val="89"/>
              </w:rPr>
              <w:t>2017</w:t>
            </w:r>
          </w:p>
        </w:tc>
        <w:tc>
          <w:tcPr>
            <w:tcW w:w="53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49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4980" w:type="dxa"/>
            <w:vAlign w:val="bottom"/>
            <w:shd w:val="clear" w:color="auto" w:fill="CCEEFF"/>
          </w:tcPr>
          <w:p>
            <w:pPr>
              <w:jc w:val="right"/>
              <w:ind w:right="4510"/>
              <w:spacing w:after="0"/>
              <w:rPr>
                <w:sz w:val="20"/>
                <w:szCs w:val="20"/>
                <w:color w:val="auto"/>
              </w:rPr>
            </w:pPr>
            <w:r>
              <w:rPr>
                <w:rFonts w:ascii="Arial" w:cs="Arial" w:eastAsia="Arial" w:hAnsi="Arial"/>
                <w:sz w:val="18"/>
                <w:szCs w:val="18"/>
                <w:color w:val="auto"/>
                <w:w w:val="89"/>
              </w:rPr>
              <w:t>2018</w:t>
            </w:r>
          </w:p>
        </w:tc>
        <w:tc>
          <w:tcPr>
            <w:tcW w:w="5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4980" w:type="dxa"/>
            <w:vAlign w:val="bottom"/>
            <w:shd w:val="clear" w:color="auto" w:fill="CCEEFF"/>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DETAIL OF CERTAIN FINANCIAL STATEMENT ACCOUNTS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detail of certain financial statement accounts: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1180"/>
              <w:spacing w:after="0"/>
              <w:rPr>
                <w:sz w:val="20"/>
                <w:szCs w:val="20"/>
                <w:color w:val="auto"/>
              </w:rPr>
            </w:pPr>
            <w:r>
              <w:rPr>
                <w:rFonts w:ascii="Arial" w:cs="Arial" w:eastAsia="Arial" w:hAnsi="Arial"/>
                <w:sz w:val="14"/>
                <w:szCs w:val="14"/>
                <w:b w:val="1"/>
                <w:bCs w:val="1"/>
                <w:color w:val="auto"/>
              </w:rPr>
              <w:t>September 30,</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80" w:type="dxa"/>
            <w:vAlign w:val="bottom"/>
            <w:gridSpan w:val="5"/>
          </w:tcPr>
          <w:p>
            <w:pPr>
              <w:jc w:val="right"/>
              <w:ind w:right="190"/>
              <w:spacing w:after="0"/>
              <w:rPr>
                <w:sz w:val="20"/>
                <w:szCs w:val="20"/>
                <w:color w:val="auto"/>
              </w:rPr>
            </w:pPr>
            <w:r>
              <w:rPr>
                <w:rFonts w:ascii="Arial" w:cs="Arial" w:eastAsia="Arial" w:hAnsi="Arial"/>
                <w:sz w:val="14"/>
                <w:szCs w:val="14"/>
                <w:b w:val="1"/>
                <w:bCs w:val="1"/>
                <w:color w:val="auto"/>
              </w:rPr>
              <w:t>(In millions)</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INVENTORIES: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Finished goods</w:t>
            </w:r>
          </w:p>
        </w:tc>
        <w:tc>
          <w:tcPr>
            <w:tcW w:w="306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182.6</w:t>
            </w:r>
          </w:p>
        </w:tc>
        <w:tc>
          <w:tcPr>
            <w:tcW w:w="20" w:type="dxa"/>
            <w:vAlign w:val="bottom"/>
          </w:tcPr>
          <w:p>
            <w:pPr>
              <w:spacing w:after="0"/>
              <w:rPr>
                <w:sz w:val="21"/>
                <w:szCs w:val="21"/>
                <w:color w:val="auto"/>
              </w:rPr>
            </w:pPr>
          </w:p>
        </w:tc>
        <w:tc>
          <w:tcPr>
            <w:tcW w:w="66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224.6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Work-in-progress</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Raw materials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99.6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306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324.9</w:t>
            </w:r>
          </w:p>
        </w:tc>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PREPAID AND OTHER ASSETS:</w:t>
            </w:r>
          </w:p>
        </w:tc>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tax asset</w:t>
            </w:r>
          </w:p>
        </w:tc>
        <w:tc>
          <w:tcPr>
            <w:tcW w:w="306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67.1</w:t>
            </w: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Accounts receivable, non-trade</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620" w:type="dxa"/>
            <w:vAlign w:val="bottom"/>
            <w:gridSpan w:val="2"/>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113.0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4"/>
                <w:szCs w:val="14"/>
                <w:b w:val="1"/>
                <w:bCs w:val="1"/>
                <w:color w:val="auto"/>
              </w:rPr>
              <w:t>September 30,</w:t>
            </w: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80" w:type="dxa"/>
            <w:vAlign w:val="bottom"/>
            <w:gridSpan w:val="5"/>
          </w:tcPr>
          <w:p>
            <w:pPr>
              <w:ind w:left="1180"/>
              <w:spacing w:after="0"/>
              <w:rPr>
                <w:sz w:val="20"/>
                <w:szCs w:val="20"/>
                <w:color w:val="auto"/>
              </w:rPr>
            </w:pPr>
            <w:r>
              <w:rPr>
                <w:rFonts w:ascii="Arial" w:cs="Arial" w:eastAsia="Arial" w:hAnsi="Arial"/>
                <w:sz w:val="14"/>
                <w:szCs w:val="14"/>
                <w:b w:val="1"/>
                <w:bCs w:val="1"/>
                <w:color w:val="auto"/>
              </w:rPr>
              <w:t>(In millions)</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Land and improvements</w:t>
            </w:r>
          </w:p>
        </w:tc>
        <w:tc>
          <w:tcPr>
            <w:tcW w:w="3060" w:type="dxa"/>
            <w:vAlign w:val="bottom"/>
            <w:gridSpan w:val="3"/>
          </w:tcPr>
          <w:p>
            <w:pPr>
              <w:jc w:val="right"/>
              <w:ind w:right="3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Buildings</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216.3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Machinery and equipment</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508.7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462.9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Furniture and fixtures</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Software</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Aircraft</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Construction in progress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995.7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970.0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Less: accumulated depreciation</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(573.4)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(542.6)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3060" w:type="dxa"/>
            <w:vAlign w:val="bottom"/>
            <w:tcBorders>
              <w:bottom w:val="single" w:sz="8" w:color="CCEEFF"/>
            </w:tcBorders>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422.3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bottom w:val="single" w:sz="8" w:color="CCEEFF"/>
            </w:tcBorders>
            <w:vMerge w:val="restart"/>
          </w:tcPr>
          <w:p>
            <w:pPr>
              <w:jc w:val="right"/>
              <w:ind w:right="1310"/>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70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200" w:type="dxa"/>
            <w:vAlign w:val="bottom"/>
          </w:tcPr>
          <w:p>
            <w:pPr>
              <w:spacing w:after="0"/>
              <w:rPr>
                <w:sz w:val="22"/>
                <w:szCs w:val="22"/>
                <w:color w:val="auto"/>
              </w:rPr>
            </w:pPr>
          </w:p>
        </w:tc>
        <w:tc>
          <w:tcPr>
            <w:tcW w:w="13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7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4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13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Payroll and other compensation accruals</w:t>
            </w:r>
          </w:p>
        </w:tc>
        <w:tc>
          <w:tcPr>
            <w:tcW w:w="1360" w:type="dxa"/>
            <w:vAlign w:val="bottom"/>
          </w:tcPr>
          <w:p>
            <w:pPr>
              <w:jc w:val="right"/>
              <w:ind w:right="115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Advertising and promotional accruals</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Other</w:t>
            </w:r>
          </w:p>
        </w:tc>
        <w:tc>
          <w:tcPr>
            <w:tcW w:w="136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5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279.7</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pension and postretirement liabilities</w:t>
            </w:r>
          </w:p>
        </w:tc>
        <w:tc>
          <w:tcPr>
            <w:tcW w:w="1360" w:type="dxa"/>
            <w:vAlign w:val="bottom"/>
            <w:tcBorders>
              <w:bottom w:val="single" w:sz="8" w:color="CCEEFF"/>
            </w:tcBorders>
            <w:shd w:val="clear" w:color="auto" w:fill="CCEEFF"/>
          </w:tcPr>
          <w:p>
            <w:pPr>
              <w:jc w:val="right"/>
              <w:ind w:right="115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Deferred tax liability</w:t>
            </w:r>
          </w:p>
        </w:tc>
        <w:tc>
          <w:tcPr>
            <w:tcW w:w="136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1360" w:type="dxa"/>
            <w:vAlign w:val="bottom"/>
            <w:tcBorders>
              <w:top w:val="single" w:sz="8" w:color="auto"/>
            </w:tcBorders>
          </w:tcPr>
          <w:p>
            <w:pPr>
              <w:jc w:val="right"/>
              <w:ind w:right="1154"/>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r>
      <w:tr>
        <w:trPr>
          <w:trHeight w:val="196"/>
        </w:trPr>
        <w:tc>
          <w:tcPr>
            <w:tcW w:w="7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8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Unrecognized loss on derivatives, net of tax of $7.1, $10.6 and $9.6</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Pension and other postretirement liabilities, net of tax of $31.4, $36.1 and $33.5</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(77.8)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MARKETING AGREEMENT</w:t>
      </w:r>
    </w:p>
    <w:p>
      <w:pPr>
        <w:spacing w:after="0" w:line="94"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8"/>
          <w:szCs w:val="18"/>
          <w:color w:val="auto"/>
        </w:rPr>
        <w:t>The Company is Monsanto’s exclusive agent for the marketing and distribution of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herbicide products (with additional rights to new products containing glyphosate or other similar non-selective herbicides) in the consumer lawn and garden market within the United States and other specified countries, including Australia, Austria, Belgium, Canada, France, Germany, the Netherlands and the United Kingdom. Under the terms of the Marketing Agreement, the Company is entitled to receive an annual commission from Monsanto as consideration for the performance of the Company’s duties as agent. The annual gross commission under the Marketing Agreement is calculated as a percentage of the actual earnings before interest and income taxes (EBIT)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in the markets covered by the Marketing Agreement and is based on the achievement of two earnings thresholds, as defined in the Marketing Agreement. The Marketing Agreement also requires the Company to make annual payments to Monsanto as a contribution against the overall expenses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The annual contribution payment is defined in the Marketing Agreement as $20 million.</w:t>
      </w:r>
    </w:p>
    <w:p>
      <w:pPr>
        <w:spacing w:after="0" w:line="1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consideration for the rights granted to the Company under the Marketing Agreement for North America, the Company was required to pay a marketing fee of $32 million to Monsanto. The Company has deferred this amount on the basis that the payment will provide a future benefit through commissions that will be earned under the Marketing Agreement. The economic useful life over which the marketing fee is being amortized is 20 years, with a remaining amortization period of five years as of September 30, 2013.</w:t>
      </w:r>
    </w:p>
    <w:p>
      <w:pPr>
        <w:spacing w:after="0" w:line="133"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8"/>
          <w:szCs w:val="18"/>
          <w:color w:val="auto"/>
        </w:rPr>
        <w:t>Under the terms of the Marketing Agreement, the Company performs certain functions, primarily manufacturing conversion, distribution and logistics, and selling and marketing support, on behalf of Monsanto in the conduct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The actual costs incurred for these activities are charged to and reimbursed by Monsanto. The Company records costs incurred under the Marketing Agreement for which the Company is the primary obligor on a gross basis, recognizing such costs in “Cost of sales” and the reimbursement of these costs in “Net sales,” with no effect on gross profit or net income.</w:t>
      </w:r>
    </w:p>
    <w:p>
      <w:pPr>
        <w:spacing w:after="0" w:line="15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gross commission earned under the Marketing Agreement, the contribution payments to Monsanto and the amortization of the initial marketing fee paid to Monsanto are included in the calculation of net sales in the Company’s Consolidated Statements of Operations. The elements of the net commission earned under the Marketing Agreement and reimbursements associated with the Marketing Agreement and included in “Net sales” were as follows: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2"/>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commission</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81.8</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Contribution expenses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marketing fee</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Net commission income</w:t>
            </w:r>
          </w:p>
        </w:tc>
        <w:tc>
          <w:tcPr>
            <w:tcW w:w="9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57.1</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Reimbursements associated with Marketing Agreement</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63.7</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net sales associated with Marketing Agreement</w:t>
            </w:r>
          </w:p>
        </w:tc>
        <w:tc>
          <w:tcPr>
            <w:tcW w:w="96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123.0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120.8</w:t>
            </w: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The Marketing Agreement has no definite term except as it relates to the European Union countries (the “EU term”). The current EU term extends through September 30, 2015. Thereafter, the Marketing Agreement provides that the parties may agree to renew the EU term for an additional three years.</w:t>
      </w:r>
    </w:p>
    <w:p>
      <w:pPr>
        <w:spacing w:after="0" w:line="70" w:lineRule="exact"/>
        <w:rPr>
          <w:sz w:val="20"/>
          <w:szCs w:val="20"/>
          <w:color w:val="auto"/>
        </w:rPr>
      </w:pPr>
    </w:p>
    <w:p>
      <w:pPr>
        <w:jc w:val="both"/>
        <w:ind w:firstLine="432"/>
        <w:spacing w:after="0" w:line="245" w:lineRule="auto"/>
        <w:rPr>
          <w:sz w:val="20"/>
          <w:szCs w:val="20"/>
          <w:color w:val="auto"/>
        </w:rPr>
      </w:pPr>
      <w:r>
        <w:rPr>
          <w:rFonts w:ascii="Arial" w:cs="Arial" w:eastAsia="Arial" w:hAnsi="Arial"/>
          <w:sz w:val="16"/>
          <w:szCs w:val="16"/>
          <w:color w:val="auto"/>
        </w:rPr>
        <w:t>The Marketing Agreement provides Monsanto with the right to terminate the Marketing Agreement upon an event of default (as defined in the Marketing Agreement) by the Company, a change in control of Monsanto or the sale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The Marketing Agreement provides the Company with the right to terminate the Marketing Agreement in certain circumstances, including an event of default by Monsanto or the sale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Unless Monsanto terminates the Marketing Agreement due to an event of default by the Company, Monsanto is required to pay a termination fee to the Company that varies by program year. The termination fee is calculated as a percentage of the value of the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exceeding a certain threshold, but in no event will the termination fee be less than $16 million. Monsanto may also be able to terminate the Marketing Agreement within a given region, including North America, without paying a termination fee if unit volume sales to consumers in that region decline:</w:t>
      </w:r>
    </w:p>
    <w:p>
      <w:pPr>
        <w:spacing w:after="0" w:line="1" w:lineRule="exact"/>
        <w:rPr>
          <w:sz w:val="20"/>
          <w:szCs w:val="20"/>
          <w:color w:val="auto"/>
        </w:rPr>
      </w:pPr>
    </w:p>
    <w:p>
      <w:pPr>
        <w:jc w:val="both"/>
        <w:ind w:firstLine="8"/>
        <w:spacing w:after="0" w:line="255" w:lineRule="auto"/>
        <w:tabs>
          <w:tab w:leader="none" w:pos="258"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 a cumulative three-fiscal-year period; or (2) by more than 5% for each of two consecutive years. If the Marketing Agreement was terminated for any reason, the Company would also lose all, or a substantial portion, of the significant source of earnings and overhead expense absorption the Marketing Agreement provides.</w:t>
      </w:r>
    </w:p>
    <w:p>
      <w:pPr>
        <w:spacing w:after="0" w:line="136" w:lineRule="exact"/>
        <w:rPr>
          <w:sz w:val="20"/>
          <w:szCs w:val="20"/>
          <w:color w:val="auto"/>
        </w:rPr>
      </w:pPr>
    </w:p>
    <w:p>
      <w:pPr>
        <w:jc w:val="both"/>
        <w:ind w:firstLine="432"/>
        <w:spacing w:after="0" w:line="221" w:lineRule="auto"/>
        <w:rPr>
          <w:sz w:val="20"/>
          <w:szCs w:val="20"/>
          <w:color w:val="auto"/>
        </w:rPr>
      </w:pPr>
      <w:r>
        <w:rPr>
          <w:rFonts w:ascii="Arial" w:cs="Arial" w:eastAsia="Arial" w:hAnsi="Arial"/>
          <w:sz w:val="17"/>
          <w:szCs w:val="17"/>
          <w:color w:val="auto"/>
        </w:rPr>
        <w:t>Under the Marketing Agreement, Monsanto must provide the Company with notice of any proposed sale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allow the Company to participate in the sale process and negotiate in good faith with the Company with respect to any such proposed sale. In the event the Company acquires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in such a sale, the Company would receive as a credit against the purchase price the amount of the termination fee that would have been paid to the Company if Monsanto had exercised its right to terminate the Marketing Agreement in connection with a sale to another party. If Monsanto decides to sell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to another party, the Company must let Monsanto know whether the Company intends to terminate the Marketing Agreement and forfeit any right to a termination fee. For additional details regarding the Marketing Agreement, see “ITEM 1A. RISK FACTORS - If Monsanto were to terminate the Marketing Agreement for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we would lose a substantial source of future earnings and overhead expense absorption” of this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ACQUISITIONS</w:t>
      </w:r>
    </w:p>
    <w:p>
      <w:pPr>
        <w:spacing w:after="0" w:line="94"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During fiscal 2013, 2012 and 2011, the Company completed several acquisition within its controls, growing media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businesses that individually and in the aggregate were not significant. The aggregate purchase price of these acquisitions was $7.2 million, $6.7 million and $10.9 million in fiscal 2013, fiscal 2012 and fiscal 2011, respectively. The Consolidated Financial Statements include the results of operations from these business combinations from the date of each acquisition.</w:t>
      </w:r>
    </w:p>
    <w:p>
      <w:pPr>
        <w:spacing w:after="0" w:line="67" w:lineRule="exact"/>
        <w:rPr>
          <w:sz w:val="20"/>
          <w:szCs w:val="20"/>
          <w:color w:val="auto"/>
        </w:rPr>
      </w:pPr>
    </w:p>
    <w:p>
      <w:pPr>
        <w:jc w:val="both"/>
        <w:ind w:firstLine="432"/>
        <w:spacing w:after="0" w:line="203" w:lineRule="auto"/>
        <w:rPr>
          <w:sz w:val="20"/>
          <w:szCs w:val="20"/>
          <w:color w:val="auto"/>
        </w:rPr>
      </w:pPr>
      <w:r>
        <w:rPr>
          <w:rFonts w:ascii="Arial" w:cs="Arial" w:eastAsia="Arial" w:hAnsi="Arial"/>
          <w:sz w:val="18"/>
          <w:szCs w:val="18"/>
          <w:color w:val="auto"/>
        </w:rPr>
        <w:t>On October 14, 2013, the Company acquired substantially all of the assets of the Tomcat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consumer rodent control business from Bell Laboratories, Inc. located in Madison, Wisconsin for $60 million. The initial purchase price accounting for the Tomcat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acquisition will be provided during the first quarter of fiscal 2014.</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RETIREMENT PLANS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sponsors a defined contribution 401(k) plan for substantially all U.S. associates. The Company matches 150% of associates’ initial 4% contribution and 50% of their remaining contribution up to 6%. The Company recorded charges of $13.1 million, $12.9 million and $13.2 million under the plan in fiscal 2013, fiscal 2012 and fiscal 2011, respectively.</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sponsors two defined benefit plans for certain U.S. associates. Benefits under these plans have been frozen and closed to new associates since 1997. The benefits under the primary plan are based on years of service and the associates’ average final compensation or stated amounts. The Company’s funding policy, consistent with statutory requirements and tax</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considerations, is based on actuarial computations using the Projected Unit Credit method. The second frozen plan is a non-qualified supplemental pension plan. This plan provides for incremental pension payments so that total pension payments equal amounts that would have been payable from the Company’s pension plan if it were not for limitations imposed by the income tax regulations. In connection with the restructuring plan discussed in “NOTE 3. IMPAIRMENT, RESTRUCTURING AND OTHER CHARGES,” the Company recognized a plan curtailment gain of $0.5 million in fiscal 2013 and charge of $0.2 million in fiscal 2012 for a change in the benefit obligations associated with these plans.</w:t>
      </w:r>
    </w:p>
    <w:p>
      <w:pPr>
        <w:spacing w:after="0" w:line="11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sponsors defined benefit pension plans associated with its international businesses in the United Kingdom, Germany, France and the Netherlands. These plans generally cover all associates of the respective businesses, with retirement benefits primarily based on years of service and compensation levels. In fiscal 2013 the Company's remaining obligations were settled for the defined benefit pension plan associated with its Netherlands business. Two of the Company’s previously-sponsored international defined benefit plans were transferred to ICL in connection with the sale of Global Pro on February 28, 2011. On July 1, 2010, the Company froze its two U.K. defined benefit pension plans and transferred participants to an amended defined contribution plan. Under the frozen plans, participants are no longer credited for future service; however, future salary increases will continue to be factored into each participant’s final pension benefit.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tables present information about benefit obligations, plan assets, annual expense, assumptions and other information about the Company’s defined benefit pension plans. The defined benefit plans are valued using a September 30 measurement date.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3"/>
            <w:vMerge w:val="restart"/>
          </w:tcPr>
          <w:p>
            <w:pPr>
              <w:jc w:val="right"/>
              <w:ind w:right="30"/>
              <w:spacing w:after="0"/>
              <w:rPr>
                <w:sz w:val="20"/>
                <w:szCs w:val="20"/>
                <w:color w:val="auto"/>
              </w:rPr>
            </w:pPr>
            <w:r>
              <w:rPr>
                <w:rFonts w:ascii="Arial" w:cs="Arial" w:eastAsia="Arial" w:hAnsi="Arial"/>
                <w:sz w:val="14"/>
                <w:szCs w:val="14"/>
                <w:b w:val="1"/>
                <w:bCs w:val="1"/>
                <w:color w:val="auto"/>
              </w:rPr>
              <w:t>U.S. Defined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gridSpan w:val="3"/>
          </w:tcPr>
          <w:p>
            <w:pPr>
              <w:jc w:val="center"/>
              <w:ind w:left="412"/>
              <w:spacing w:after="0"/>
              <w:rPr>
                <w:sz w:val="20"/>
                <w:szCs w:val="20"/>
                <w:color w:val="auto"/>
              </w:rPr>
            </w:pPr>
            <w:r>
              <w:rPr>
                <w:rFonts w:ascii="Arial" w:cs="Arial" w:eastAsia="Arial" w:hAnsi="Arial"/>
                <w:sz w:val="14"/>
                <w:szCs w:val="14"/>
                <w:b w:val="1"/>
                <w:bCs w:val="1"/>
                <w:color w:val="auto"/>
                <w:w w:val="97"/>
              </w:rPr>
              <w:t>International</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gridSpan w:val="3"/>
          </w:tcPr>
          <w:p>
            <w:pPr>
              <w:jc w:val="center"/>
              <w:ind w:left="432"/>
              <w:spacing w:after="0" w:line="149" w:lineRule="exact"/>
              <w:rPr>
                <w:sz w:val="20"/>
                <w:szCs w:val="20"/>
                <w:color w:val="auto"/>
              </w:rPr>
            </w:pPr>
            <w:r>
              <w:rPr>
                <w:rFonts w:ascii="Arial" w:cs="Arial" w:eastAsia="Arial" w:hAnsi="Arial"/>
                <w:sz w:val="14"/>
                <w:szCs w:val="14"/>
                <w:b w:val="1"/>
                <w:bCs w:val="1"/>
                <w:color w:val="auto"/>
                <w:w w:val="93"/>
              </w:rPr>
              <w:t>Defined</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Benefit Plans</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12"/>
              <w:spacing w:after="0"/>
              <w:rPr>
                <w:sz w:val="20"/>
                <w:szCs w:val="20"/>
                <w:color w:val="auto"/>
              </w:rPr>
            </w:pPr>
            <w:r>
              <w:rPr>
                <w:rFonts w:ascii="Arial" w:cs="Arial" w:eastAsia="Arial" w:hAnsi="Arial"/>
                <w:sz w:val="14"/>
                <w:szCs w:val="14"/>
                <w:b w:val="1"/>
                <w:bCs w:val="1"/>
                <w:color w:val="auto"/>
                <w:w w:val="92"/>
              </w:rPr>
              <w:t>Benefit Plans</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projected benefit obligation</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Benefit obligation at beginning of year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188.0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(gain) loss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 loss (gain)</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Settlement (gain)</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 at end of year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Accumulated benefit obligation at end of year</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106.7</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184.8</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Change in plan assets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139.8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return on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Employer contribution</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Settlement</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Underfunded status at end of year</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562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w w:val="90"/>
              </w:rPr>
              <w:t>Information for pension plans with an accumulated benefit obligation in</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excess of plan assets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Projected benefit obligation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106.7</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190.7</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benefit obligation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148.8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5"/>
              </w:rPr>
              <w:t>Amounts recognized in the Consolidated Balance Sheets consist of:</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amount accrued</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562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w w:val="91"/>
              </w:rPr>
              <w:t>Amounts recognized in accumulated other comprehensive loss consist</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of:</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Actuarial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Prior service cost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amount recognized</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2" w:right="239" w:bottom="1440" w:gutter="0" w:footer="0" w:header="0"/>
          <w:type w:val="continuous"/>
        </w:sectPr>
      </w:pPr>
    </w:p>
    <w:bookmarkStart w:id="68" w:name="page69"/>
    <w:bookmarkEnd w:id="68"/>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U.S. Defined</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5"/>
          </w:tcPr>
          <w:p>
            <w:pPr>
              <w:jc w:val="center"/>
              <w:ind w:left="273"/>
              <w:spacing w:after="0"/>
              <w:rPr>
                <w:sz w:val="20"/>
                <w:szCs w:val="20"/>
                <w:color w:val="auto"/>
              </w:rPr>
            </w:pPr>
            <w:r>
              <w:rPr>
                <w:rFonts w:ascii="Arial" w:cs="Arial" w:eastAsia="Arial" w:hAnsi="Arial"/>
                <w:sz w:val="14"/>
                <w:szCs w:val="14"/>
                <w:b w:val="1"/>
                <w:bCs w:val="1"/>
                <w:color w:val="auto"/>
                <w:w w:val="95"/>
              </w:rPr>
              <w:t>International</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5"/>
          </w:tcPr>
          <w:p>
            <w:pPr>
              <w:jc w:val="center"/>
              <w:ind w:left="273"/>
              <w:spacing w:after="0" w:line="149" w:lineRule="exact"/>
              <w:rPr>
                <w:sz w:val="20"/>
                <w:szCs w:val="20"/>
                <w:color w:val="auto"/>
              </w:rPr>
            </w:pPr>
            <w:r>
              <w:rPr>
                <w:rFonts w:ascii="Arial" w:cs="Arial" w:eastAsia="Arial" w:hAnsi="Arial"/>
                <w:sz w:val="14"/>
                <w:szCs w:val="14"/>
                <w:b w:val="1"/>
                <w:bCs w:val="1"/>
                <w:color w:val="auto"/>
                <w:w w:val="93"/>
              </w:rPr>
              <w:t>Defined</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Benefit Plans</w:t>
            </w: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jc w:val="center"/>
              <w:ind w:left="273"/>
              <w:spacing w:after="0"/>
              <w:rPr>
                <w:sz w:val="20"/>
                <w:szCs w:val="20"/>
                <w:color w:val="auto"/>
              </w:rPr>
            </w:pPr>
            <w:r>
              <w:rPr>
                <w:rFonts w:ascii="Arial" w:cs="Arial" w:eastAsia="Arial" w:hAnsi="Arial"/>
                <w:sz w:val="14"/>
                <w:szCs w:val="14"/>
                <w:b w:val="1"/>
                <w:bCs w:val="1"/>
                <w:color w:val="auto"/>
                <w:w w:val="90"/>
              </w:rPr>
              <w:t>Benefit Plans</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gridSpan w:val="5"/>
          </w:tcPr>
          <w:p>
            <w:pPr>
              <w:jc w:val="right"/>
              <w:spacing w:after="0"/>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gridSpan w:val="3"/>
          </w:tcPr>
          <w:p>
            <w:pPr>
              <w:jc w:val="right"/>
              <w:ind w:right="49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47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060" w:type="dxa"/>
            <w:vAlign w:val="bottom"/>
            <w:tcBorders>
              <w:top w:val="single" w:sz="8" w:color="auto"/>
            </w:tcBorders>
            <w:gridSpan w:val="11"/>
          </w:tcPr>
          <w:p>
            <w:pPr>
              <w:jc w:val="right"/>
              <w:ind w:right="380"/>
              <w:spacing w:after="0"/>
              <w:rPr>
                <w:sz w:val="20"/>
                <w:szCs w:val="20"/>
                <w:color w:val="auto"/>
              </w:rPr>
            </w:pPr>
            <w:r>
              <w:rPr>
                <w:rFonts w:ascii="Arial" w:cs="Arial" w:eastAsia="Arial" w:hAnsi="Arial"/>
                <w:sz w:val="14"/>
                <w:szCs w:val="14"/>
                <w:b w:val="1"/>
                <w:bCs w:val="1"/>
                <w:color w:val="auto"/>
              </w:rPr>
              <w:t>(In millions, except percentage figures)</w:t>
            </w: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Total change in other comprehensive loss attributable to:</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Pension benefit gain (loss) during the period</w:t>
            </w: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520" w:type="dxa"/>
            <w:vAlign w:val="bottom"/>
            <w:gridSpan w:val="2"/>
          </w:tcPr>
          <w:p>
            <w:pPr>
              <w:jc w:val="right"/>
              <w:ind w:right="77"/>
              <w:spacing w:after="0"/>
              <w:rPr>
                <w:sz w:val="20"/>
                <w:szCs w:val="20"/>
                <w:color w:val="auto"/>
              </w:rPr>
            </w:pPr>
            <w:r>
              <w:rPr>
                <w:rFonts w:ascii="Arial" w:cs="Arial" w:eastAsia="Arial" w:hAnsi="Arial"/>
                <w:sz w:val="18"/>
                <w:szCs w:val="18"/>
                <w:color w:val="auto"/>
              </w:rPr>
              <w:t>7.1</w:t>
            </w:r>
          </w:p>
        </w:tc>
        <w:tc>
          <w:tcPr>
            <w:tcW w:w="740" w:type="dxa"/>
            <w:vAlign w:val="bottom"/>
            <w:gridSpan w:val="3"/>
          </w:tcPr>
          <w:p>
            <w:pPr>
              <w:jc w:val="right"/>
              <w:ind w:right="4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5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414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2"/>
              </w:rPr>
              <w:t>Reclassification of pension benefit losses to net income</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Curtailment gain during the period</w:t>
            </w: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8"/>
                <w:szCs w:val="18"/>
                <w:color w:val="auto"/>
              </w:rPr>
              <w:t>Total change in other comprehensive loss</w:t>
            </w: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gridSpan w:val="2"/>
          </w:tcPr>
          <w:p>
            <w:pPr>
              <w:jc w:val="right"/>
              <w:ind w:right="77"/>
              <w:spacing w:after="0"/>
              <w:rPr>
                <w:sz w:val="20"/>
                <w:szCs w:val="20"/>
                <w:color w:val="auto"/>
              </w:rPr>
            </w:pPr>
            <w:r>
              <w:rPr>
                <w:rFonts w:ascii="Arial" w:cs="Arial" w:eastAsia="Arial" w:hAnsi="Arial"/>
                <w:sz w:val="18"/>
                <w:szCs w:val="18"/>
                <w:color w:val="auto"/>
                <w:w w:val="96"/>
              </w:rPr>
              <w:t>11.9</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3"/>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67"/>
        </w:trPr>
        <w:tc>
          <w:tcPr>
            <w:tcW w:w="5000" w:type="dxa"/>
            <w:vAlign w:val="bottom"/>
            <w:tcBorders>
              <w:bottom w:val="single" w:sz="8" w:color="CCEEFF"/>
            </w:tcBorders>
            <w:gridSpan w:val="3"/>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5100" w:type="dxa"/>
            <w:vAlign w:val="bottom"/>
            <w:gridSpan w:val="4"/>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w w:val="87"/>
              </w:rPr>
              <w:t>Amounts in accumulated other comprehensive loss expected to be</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60" w:type="dxa"/>
            <w:vAlign w:val="bottom"/>
            <w:gridSpan w:val="5"/>
            <w:shd w:val="clear" w:color="auto" w:fill="CCEEFF"/>
          </w:tcPr>
          <w:p>
            <w:pPr>
              <w:ind w:left="40"/>
              <w:spacing w:after="0"/>
              <w:rPr>
                <w:sz w:val="20"/>
                <w:szCs w:val="20"/>
                <w:color w:val="auto"/>
              </w:rPr>
            </w:pPr>
            <w:r>
              <w:rPr>
                <w:rFonts w:ascii="Arial" w:cs="Arial" w:eastAsia="Arial" w:hAnsi="Arial"/>
                <w:sz w:val="18"/>
                <w:szCs w:val="18"/>
                <w:b w:val="1"/>
                <w:bCs w:val="1"/>
                <w:color w:val="auto"/>
                <w:w w:val="89"/>
              </w:rPr>
              <w:t>recognized as components of net periodic benefit cost in fiscal 2014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are as follows:</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Actuarial loss</w:t>
            </w: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520" w:type="dxa"/>
            <w:vAlign w:val="bottom"/>
            <w:gridSpan w:val="2"/>
          </w:tcPr>
          <w:p>
            <w:pPr>
              <w:jc w:val="right"/>
              <w:ind w:right="77"/>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Prior service cost</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140" w:type="dxa"/>
            <w:vAlign w:val="bottom"/>
            <w:gridSpan w:val="2"/>
          </w:tcPr>
          <w:p>
            <w:pPr>
              <w:ind w:left="40"/>
              <w:spacing w:after="0"/>
              <w:rPr>
                <w:sz w:val="20"/>
                <w:szCs w:val="20"/>
                <w:color w:val="auto"/>
              </w:rPr>
            </w:pPr>
            <w:r>
              <w:rPr>
                <w:rFonts w:ascii="Arial" w:cs="Arial" w:eastAsia="Arial" w:hAnsi="Arial"/>
                <w:sz w:val="18"/>
                <w:szCs w:val="18"/>
                <w:color w:val="auto"/>
                <w:w w:val="97"/>
              </w:rPr>
              <w:t>Amount to be amortized into net periodic benefit cost</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gridSpan w:val="2"/>
          </w:tcPr>
          <w:p>
            <w:pPr>
              <w:jc w:val="right"/>
              <w:ind w:right="77"/>
              <w:spacing w:after="0"/>
              <w:rPr>
                <w:sz w:val="20"/>
                <w:szCs w:val="20"/>
                <w:color w:val="auto"/>
              </w:rPr>
            </w:pPr>
            <w:r>
              <w:rPr>
                <w:rFonts w:ascii="Arial" w:cs="Arial" w:eastAsia="Arial" w:hAnsi="Arial"/>
                <w:sz w:val="18"/>
                <w:szCs w:val="18"/>
                <w:color w:val="auto"/>
              </w:rPr>
              <w:t>3.6</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5000" w:type="dxa"/>
            <w:vAlign w:val="bottom"/>
            <w:tcBorders>
              <w:bottom w:val="single" w:sz="8" w:color="CCEEFF"/>
            </w:tcBorders>
            <w:gridSpan w:val="3"/>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5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96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5100" w:type="dxa"/>
            <w:vAlign w:val="bottom"/>
            <w:gridSpan w:val="4"/>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w w:val="89"/>
              </w:rPr>
              <w:t>Weighted average assumptions used in development of projected</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benefit obligation</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3"/>
              </w:rPr>
              <w:t>4.32%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0"/>
              </w:rPr>
              <w:t>3.39%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n/a</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n/a</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477"/>
        </w:trPr>
        <w:tc>
          <w:tcPr>
            <w:tcW w:w="3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U.S. Defined</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International</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0"/>
              </w:rPr>
              <w:t>Benefit Plans</w:t>
            </w: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7"/>
          </w:tcPr>
          <w:p>
            <w:pPr>
              <w:jc w:val="center"/>
              <w:ind w:right="90"/>
              <w:spacing w:after="0"/>
              <w:rPr>
                <w:sz w:val="20"/>
                <w:szCs w:val="20"/>
                <w:color w:val="auto"/>
              </w:rPr>
            </w:pPr>
            <w:r>
              <w:rPr>
                <w:rFonts w:ascii="Arial" w:cs="Arial" w:eastAsia="Arial" w:hAnsi="Arial"/>
                <w:sz w:val="14"/>
                <w:szCs w:val="14"/>
                <w:b w:val="1"/>
                <w:bCs w:val="1"/>
                <w:color w:val="auto"/>
                <w:w w:val="91"/>
              </w:rPr>
              <w:t>Defined Benefit Plans</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4"/>
                <w:szCs w:val="14"/>
                <w:b w:val="1"/>
                <w:bCs w:val="1"/>
                <w:color w:val="auto"/>
                <w:w w:val="96"/>
              </w:rPr>
              <w:t>2012</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3"/>
          </w:tcPr>
          <w:p>
            <w:pPr>
              <w:jc w:val="right"/>
              <w:ind w:right="353"/>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60" w:type="dxa"/>
            <w:vAlign w:val="bottom"/>
            <w:gridSpan w:val="10"/>
          </w:tcPr>
          <w:p>
            <w:pPr>
              <w:jc w:val="right"/>
              <w:spacing w:after="0"/>
              <w:rPr>
                <w:sz w:val="20"/>
                <w:szCs w:val="20"/>
                <w:color w:val="auto"/>
              </w:rPr>
            </w:pPr>
            <w:r>
              <w:rPr>
                <w:rFonts w:ascii="Arial" w:cs="Arial" w:eastAsia="Arial" w:hAnsi="Arial"/>
                <w:sz w:val="14"/>
                <w:szCs w:val="14"/>
                <w:b w:val="1"/>
                <w:bCs w:val="1"/>
                <w:color w:val="auto"/>
                <w:w w:val="93"/>
              </w:rPr>
              <w:t>(In millions, except percentage figures)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Components of net periodic benefit cost</w:t>
            </w: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3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21"/>
                <w:szCs w:val="21"/>
                <w:color w:val="auto"/>
              </w:rPr>
            </w:pPr>
          </w:p>
        </w:tc>
        <w:tc>
          <w:tcPr>
            <w:tcW w:w="500" w:type="dxa"/>
            <w:vAlign w:val="bottom"/>
            <w:gridSpan w:val="3"/>
          </w:tcPr>
          <w:p>
            <w:pPr>
              <w:jc w:val="right"/>
              <w:ind w:right="90"/>
              <w:spacing w:after="0"/>
              <w:rPr>
                <w:sz w:val="20"/>
                <w:szCs w:val="20"/>
                <w:color w:val="auto"/>
              </w:rPr>
            </w:pPr>
            <w:r>
              <w:rPr>
                <w:rFonts w:ascii="Arial" w:cs="Arial" w:eastAsia="Arial" w:hAnsi="Arial"/>
                <w:sz w:val="18"/>
                <w:szCs w:val="18"/>
                <w:color w:val="auto"/>
              </w:rPr>
              <w:t>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4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113"/>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gridSpan w:val="3"/>
          </w:tcPr>
          <w:p>
            <w:pPr>
              <w:jc w:val="right"/>
              <w:ind w:right="53"/>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gridSpan w:val="3"/>
          </w:tcPr>
          <w:p>
            <w:pPr>
              <w:jc w:val="right"/>
              <w:ind w:right="30"/>
              <w:spacing w:after="0"/>
              <w:rPr>
                <w:sz w:val="20"/>
                <w:szCs w:val="20"/>
                <w:color w:val="auto"/>
              </w:rPr>
            </w:pPr>
            <w:r>
              <w:rPr>
                <w:rFonts w:ascii="Arial" w:cs="Arial" w:eastAsia="Arial" w:hAnsi="Arial"/>
                <w:sz w:val="18"/>
                <w:szCs w:val="18"/>
                <w:color w:val="auto"/>
                <w:w w:val="97"/>
              </w:rPr>
              <w:t>(8.7)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ind w:right="113"/>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3"/>
          </w:tcPr>
          <w:p>
            <w:pPr>
              <w:jc w:val="right"/>
              <w:ind w:right="113"/>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 loss (gain)</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11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97"/>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Settlement</w:t>
            </w:r>
          </w:p>
        </w:tc>
        <w:tc>
          <w:tcPr>
            <w:tcW w:w="320" w:type="dxa"/>
            <w:vAlign w:val="bottom"/>
          </w:tcPr>
          <w:p>
            <w:pPr>
              <w:spacing w:after="0"/>
              <w:rPr>
                <w:sz w:val="21"/>
                <w:szCs w:val="21"/>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gridSpan w:val="3"/>
          </w:tcPr>
          <w:p>
            <w:pPr>
              <w:jc w:val="right"/>
              <w:ind w:right="30"/>
              <w:spacing w:after="0"/>
              <w:rPr>
                <w:sz w:val="20"/>
                <w:szCs w:val="20"/>
                <w:color w:val="auto"/>
              </w:rPr>
            </w:pPr>
            <w:r>
              <w:rPr>
                <w:rFonts w:ascii="Arial" w:cs="Arial" w:eastAsia="Arial" w:hAnsi="Arial"/>
                <w:sz w:val="18"/>
                <w:szCs w:val="18"/>
                <w:color w:val="auto"/>
                <w:w w:val="97"/>
              </w:rPr>
              <w:t>(0.5)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termination benefits</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8"/>
                <w:szCs w:val="18"/>
                <w:color w:val="auto"/>
              </w:rPr>
              <w:t>Total benefit cost</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top w:val="single" w:sz="8" w:color="auto"/>
            </w:tcBorders>
          </w:tcPr>
          <w:p>
            <w:pPr>
              <w:jc w:val="right"/>
              <w:ind w:right="237"/>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gridSpan w:val="3"/>
          </w:tcPr>
          <w:p>
            <w:pPr>
              <w:jc w:val="right"/>
              <w:ind w:right="113"/>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67"/>
        </w:trPr>
        <w:tc>
          <w:tcPr>
            <w:tcW w:w="38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382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rPr>
              <w:t>Weighted average assumptions used in</w:t>
            </w: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development of net periodic benefit cost</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6"/>
              </w:rPr>
              <w:t>4.45%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6.52%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320" w:type="dxa"/>
            <w:vAlign w:val="bottom"/>
          </w:tcPr>
          <w:p>
            <w:pPr>
              <w:spacing w:after="0"/>
              <w:rPr>
                <w:sz w:val="21"/>
                <w:szCs w:val="21"/>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86"/>
        </w:trPr>
        <w:tc>
          <w:tcPr>
            <w:tcW w:w="3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center"/>
              <w:ind w:right="30"/>
              <w:spacing w:after="0"/>
              <w:rPr>
                <w:sz w:val="20"/>
                <w:szCs w:val="20"/>
                <w:color w:val="auto"/>
              </w:rPr>
            </w:pPr>
            <w:r>
              <w:rPr>
                <w:rFonts w:ascii="Arial" w:cs="Arial" w:eastAsia="Arial" w:hAnsi="Arial"/>
                <w:sz w:val="18"/>
                <w:szCs w:val="18"/>
                <w:color w:val="auto"/>
                <w:w w:val="89"/>
              </w:rPr>
              <w:t>69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U.S. Defined</w:t>
            </w:r>
          </w:p>
        </w:tc>
        <w:tc>
          <w:tcPr>
            <w:tcW w:w="580" w:type="dxa"/>
            <w:vAlign w:val="bottom"/>
          </w:tcPr>
          <w:p>
            <w:pPr>
              <w:spacing w:after="0"/>
              <w:rPr>
                <w:sz w:val="14"/>
                <w:szCs w:val="14"/>
                <w:color w:val="auto"/>
              </w:rPr>
            </w:pPr>
          </w:p>
        </w:tc>
        <w:tc>
          <w:tcPr>
            <w:tcW w:w="1520" w:type="dxa"/>
            <w:vAlign w:val="bottom"/>
          </w:tcPr>
          <w:p>
            <w:pPr>
              <w:jc w:val="center"/>
              <w:ind w:left="521"/>
              <w:spacing w:after="0"/>
              <w:rPr>
                <w:sz w:val="20"/>
                <w:szCs w:val="20"/>
                <w:color w:val="auto"/>
              </w:rPr>
            </w:pPr>
            <w:r>
              <w:rPr>
                <w:rFonts w:ascii="Arial" w:cs="Arial" w:eastAsia="Arial" w:hAnsi="Arial"/>
                <w:sz w:val="14"/>
                <w:szCs w:val="14"/>
                <w:b w:val="1"/>
                <w:bCs w:val="1"/>
                <w:color w:val="auto"/>
                <w:w w:val="95"/>
              </w:rPr>
              <w:t>International</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tcPr>
          <w:p>
            <w:pPr>
              <w:jc w:val="center"/>
              <w:ind w:left="521"/>
              <w:spacing w:after="0" w:line="149" w:lineRule="exact"/>
              <w:rPr>
                <w:sz w:val="20"/>
                <w:szCs w:val="20"/>
                <w:color w:val="auto"/>
              </w:rPr>
            </w:pPr>
            <w:r>
              <w:rPr>
                <w:rFonts w:ascii="Arial" w:cs="Arial" w:eastAsia="Arial" w:hAnsi="Arial"/>
                <w:sz w:val="14"/>
                <w:szCs w:val="14"/>
                <w:b w:val="1"/>
                <w:bCs w:val="1"/>
                <w:color w:val="auto"/>
                <w:w w:val="93"/>
              </w:rPr>
              <w:t>Defined</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Benefit Plans</w:t>
            </w:r>
          </w:p>
        </w:tc>
        <w:tc>
          <w:tcPr>
            <w:tcW w:w="5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left="521"/>
              <w:spacing w:after="0"/>
              <w:rPr>
                <w:sz w:val="20"/>
                <w:szCs w:val="20"/>
                <w:color w:val="auto"/>
              </w:rPr>
            </w:pPr>
            <w:r>
              <w:rPr>
                <w:rFonts w:ascii="Arial" w:cs="Arial" w:eastAsia="Arial" w:hAnsi="Arial"/>
                <w:sz w:val="14"/>
                <w:szCs w:val="14"/>
                <w:b w:val="1"/>
                <w:bCs w:val="1"/>
                <w:color w:val="auto"/>
                <w:w w:val="90"/>
              </w:rPr>
              <w:t>Benefit Plans</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3560" w:type="dxa"/>
            <w:vAlign w:val="bottom"/>
            <w:gridSpan w:val="3"/>
          </w:tcPr>
          <w:p>
            <w:pPr>
              <w:jc w:val="right"/>
              <w:ind w:right="221"/>
              <w:spacing w:after="0"/>
              <w:rPr>
                <w:sz w:val="20"/>
                <w:szCs w:val="20"/>
                <w:color w:val="auto"/>
              </w:rPr>
            </w:pPr>
            <w:r>
              <w:rPr>
                <w:rFonts w:ascii="Arial" w:cs="Arial" w:eastAsia="Arial" w:hAnsi="Arial"/>
                <w:sz w:val="14"/>
                <w:szCs w:val="14"/>
                <w:b w:val="1"/>
                <w:bCs w:val="1"/>
                <w:color w:val="auto"/>
              </w:rPr>
              <w:t>(In millions, except percentage figures)</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information:</w:t>
            </w:r>
          </w:p>
        </w:tc>
        <w:tc>
          <w:tcPr>
            <w:tcW w:w="28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Plan asset allocations:</w:t>
            </w:r>
          </w:p>
        </w:tc>
        <w:tc>
          <w:tcPr>
            <w:tcW w:w="28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Target for September 30, 2014:</w:t>
            </w:r>
          </w:p>
        </w:tc>
        <w:tc>
          <w:tcPr>
            <w:tcW w:w="28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720"/>
              <w:spacing w:after="0"/>
              <w:rPr>
                <w:sz w:val="20"/>
                <w:szCs w:val="20"/>
                <w:color w:val="auto"/>
              </w:rPr>
            </w:pPr>
            <w:r>
              <w:rPr>
                <w:rFonts w:ascii="Arial" w:cs="Arial" w:eastAsia="Arial" w:hAnsi="Arial"/>
                <w:sz w:val="18"/>
                <w:szCs w:val="18"/>
                <w:color w:val="auto"/>
              </w:rPr>
              <w:t>Equity securities</w:t>
            </w:r>
          </w:p>
        </w:tc>
        <w:tc>
          <w:tcPr>
            <w:tcW w:w="28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15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Debt securities</w:t>
            </w:r>
          </w:p>
        </w:tc>
        <w:tc>
          <w:tcPr>
            <w:tcW w:w="28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5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4520" w:type="dxa"/>
            <w:vAlign w:val="bottom"/>
          </w:tcPr>
          <w:p>
            <w:pPr>
              <w:ind w:left="720"/>
              <w:spacing w:after="0"/>
              <w:rPr>
                <w:sz w:val="20"/>
                <w:szCs w:val="20"/>
                <w:color w:val="auto"/>
              </w:rPr>
            </w:pPr>
            <w:r>
              <w:rPr>
                <w:rFonts w:ascii="Arial" w:cs="Arial" w:eastAsia="Arial" w:hAnsi="Arial"/>
                <w:sz w:val="18"/>
                <w:szCs w:val="18"/>
                <w:color w:val="auto"/>
              </w:rPr>
              <w:t>Cash and cash equivalents</w:t>
            </w:r>
          </w:p>
        </w:tc>
        <w:tc>
          <w:tcPr>
            <w:tcW w:w="28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Insurance Contracts</w:t>
            </w:r>
          </w:p>
        </w:tc>
        <w:tc>
          <w:tcPr>
            <w:tcW w:w="28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520" w:type="dxa"/>
            <w:vAlign w:val="bottom"/>
          </w:tcPr>
          <w:p>
            <w:pPr>
              <w:ind w:left="380"/>
              <w:spacing w:after="0"/>
              <w:rPr>
                <w:sz w:val="20"/>
                <w:szCs w:val="20"/>
                <w:color w:val="auto"/>
              </w:rPr>
            </w:pPr>
            <w:r>
              <w:rPr>
                <w:rFonts w:ascii="Arial" w:cs="Arial" w:eastAsia="Arial" w:hAnsi="Arial"/>
                <w:sz w:val="18"/>
                <w:szCs w:val="18"/>
                <w:color w:val="auto"/>
              </w:rPr>
              <w:t>September 30, 2013:</w:t>
            </w:r>
          </w:p>
        </w:tc>
        <w:tc>
          <w:tcPr>
            <w:tcW w:w="28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 securities</w:t>
            </w:r>
          </w:p>
        </w:tc>
        <w:tc>
          <w:tcPr>
            <w:tcW w:w="28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5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520" w:type="dxa"/>
            <w:vAlign w:val="bottom"/>
          </w:tcPr>
          <w:p>
            <w:pPr>
              <w:ind w:left="720"/>
              <w:spacing w:after="0"/>
              <w:rPr>
                <w:sz w:val="20"/>
                <w:szCs w:val="20"/>
                <w:color w:val="auto"/>
              </w:rPr>
            </w:pPr>
            <w:r>
              <w:rPr>
                <w:rFonts w:ascii="Arial" w:cs="Arial" w:eastAsia="Arial" w:hAnsi="Arial"/>
                <w:sz w:val="18"/>
                <w:szCs w:val="18"/>
                <w:color w:val="auto"/>
              </w:rPr>
              <w:t>Debt securities</w:t>
            </w:r>
          </w:p>
        </w:tc>
        <w:tc>
          <w:tcPr>
            <w:tcW w:w="28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w:t>
            </w:r>
          </w:p>
        </w:tc>
        <w:tc>
          <w:tcPr>
            <w:tcW w:w="15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28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20" w:type="dxa"/>
            <w:vAlign w:val="bottom"/>
          </w:tcPr>
          <w:p>
            <w:pPr>
              <w:ind w:left="720"/>
              <w:spacing w:after="0"/>
              <w:rPr>
                <w:sz w:val="20"/>
                <w:szCs w:val="20"/>
                <w:color w:val="auto"/>
              </w:rPr>
            </w:pPr>
            <w:r>
              <w:rPr>
                <w:rFonts w:ascii="Arial" w:cs="Arial" w:eastAsia="Arial" w:hAnsi="Arial"/>
                <w:sz w:val="18"/>
                <w:szCs w:val="18"/>
                <w:color w:val="auto"/>
              </w:rPr>
              <w:t>Insurance Contracts</w:t>
            </w:r>
          </w:p>
        </w:tc>
        <w:tc>
          <w:tcPr>
            <w:tcW w:w="28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September 30, 2012:</w:t>
            </w:r>
          </w:p>
        </w:tc>
        <w:tc>
          <w:tcPr>
            <w:tcW w:w="28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720"/>
              <w:spacing w:after="0"/>
              <w:rPr>
                <w:sz w:val="20"/>
                <w:szCs w:val="20"/>
                <w:color w:val="auto"/>
              </w:rPr>
            </w:pPr>
            <w:r>
              <w:rPr>
                <w:rFonts w:ascii="Arial" w:cs="Arial" w:eastAsia="Arial" w:hAnsi="Arial"/>
                <w:sz w:val="18"/>
                <w:szCs w:val="18"/>
                <w:color w:val="auto"/>
              </w:rPr>
              <w:t>Equity securities</w:t>
            </w:r>
          </w:p>
        </w:tc>
        <w:tc>
          <w:tcPr>
            <w:tcW w:w="28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c>
          <w:tcPr>
            <w:tcW w:w="15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Debt securities</w:t>
            </w:r>
          </w:p>
        </w:tc>
        <w:tc>
          <w:tcPr>
            <w:tcW w:w="28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5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4520" w:type="dxa"/>
            <w:vAlign w:val="bottom"/>
          </w:tcPr>
          <w:p>
            <w:pPr>
              <w:ind w:left="720"/>
              <w:spacing w:after="0"/>
              <w:rPr>
                <w:sz w:val="20"/>
                <w:szCs w:val="20"/>
                <w:color w:val="auto"/>
              </w:rPr>
            </w:pPr>
            <w:r>
              <w:rPr>
                <w:rFonts w:ascii="Arial" w:cs="Arial" w:eastAsia="Arial" w:hAnsi="Arial"/>
                <w:sz w:val="18"/>
                <w:szCs w:val="18"/>
                <w:color w:val="auto"/>
              </w:rPr>
              <w:t>Cash and cash equivalents</w:t>
            </w:r>
          </w:p>
        </w:tc>
        <w:tc>
          <w:tcPr>
            <w:tcW w:w="28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5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Insurance Contracts</w:t>
            </w:r>
          </w:p>
        </w:tc>
        <w:tc>
          <w:tcPr>
            <w:tcW w:w="28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Expected company contributions in fiscal 2014</w:t>
            </w:r>
          </w:p>
        </w:tc>
        <w:tc>
          <w:tcPr>
            <w:tcW w:w="4260" w:type="dxa"/>
            <w:vAlign w:val="bottom"/>
            <w:gridSpan w:val="2"/>
          </w:tcPr>
          <w:p>
            <w:pPr>
              <w:jc w:val="right"/>
              <w:ind w:right="1268"/>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3.9</w:t>
            </w:r>
          </w:p>
        </w:tc>
        <w:tc>
          <w:tcPr>
            <w:tcW w:w="1520" w:type="dxa"/>
            <w:vAlign w:val="bottom"/>
          </w:tcPr>
          <w:p>
            <w:pPr>
              <w:jc w:val="right"/>
              <w:ind w:right="1261"/>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future benefit payments:</w:t>
            </w:r>
          </w:p>
        </w:tc>
        <w:tc>
          <w:tcPr>
            <w:tcW w:w="28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2014</w:t>
            </w:r>
          </w:p>
        </w:tc>
        <w:tc>
          <w:tcPr>
            <w:tcW w:w="4260" w:type="dxa"/>
            <w:vAlign w:val="bottom"/>
            <w:gridSpan w:val="2"/>
          </w:tcPr>
          <w:p>
            <w:pPr>
              <w:jc w:val="right"/>
              <w:ind w:right="1268"/>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7.1</w:t>
            </w:r>
          </w:p>
        </w:tc>
        <w:tc>
          <w:tcPr>
            <w:tcW w:w="1520" w:type="dxa"/>
            <w:vAlign w:val="bottom"/>
          </w:tcPr>
          <w:p>
            <w:pPr>
              <w:jc w:val="right"/>
              <w:ind w:right="1261"/>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8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7.1</w:t>
            </w:r>
          </w:p>
        </w:tc>
        <w:tc>
          <w:tcPr>
            <w:tcW w:w="15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2016</w:t>
            </w:r>
          </w:p>
        </w:tc>
        <w:tc>
          <w:tcPr>
            <w:tcW w:w="28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7.2</w:t>
            </w:r>
          </w:p>
        </w:tc>
        <w:tc>
          <w:tcPr>
            <w:tcW w:w="152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8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7.2</w:t>
            </w:r>
          </w:p>
        </w:tc>
        <w:tc>
          <w:tcPr>
            <w:tcW w:w="15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2018</w:t>
            </w:r>
          </w:p>
        </w:tc>
        <w:tc>
          <w:tcPr>
            <w:tcW w:w="28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7.3</w:t>
            </w:r>
          </w:p>
        </w:tc>
        <w:tc>
          <w:tcPr>
            <w:tcW w:w="152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 2023</w:t>
            </w:r>
          </w:p>
        </w:tc>
        <w:tc>
          <w:tcPr>
            <w:tcW w:w="28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1"/>
              </w:rPr>
              <w:t>36.1</w:t>
            </w:r>
          </w:p>
        </w:tc>
        <w:tc>
          <w:tcPr>
            <w:tcW w:w="15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6"/>
              </w:rPr>
              <w:t>43.0</w:t>
            </w:r>
          </w:p>
        </w:tc>
        <w:tc>
          <w:tcPr>
            <w:tcW w:w="0" w:type="dxa"/>
            <w:vAlign w:val="bottom"/>
          </w:tcPr>
          <w:p>
            <w:pPr>
              <w:spacing w:after="0"/>
              <w:rPr>
                <w:sz w:val="1"/>
                <w:szCs w:val="1"/>
                <w:color w:val="auto"/>
              </w:rPr>
            </w:pPr>
          </w:p>
        </w:tc>
      </w:tr>
      <w:tr>
        <w:trPr>
          <w:trHeight w:val="675"/>
        </w:trPr>
        <w:tc>
          <w:tcPr>
            <w:tcW w:w="4520" w:type="dxa"/>
            <w:vAlign w:val="bottom"/>
          </w:tcPr>
          <w:p>
            <w:pPr>
              <w:spacing w:after="0"/>
              <w:rPr>
                <w:sz w:val="24"/>
                <w:szCs w:val="24"/>
                <w:color w:val="auto"/>
              </w:rPr>
            </w:pPr>
          </w:p>
        </w:tc>
        <w:tc>
          <w:tcPr>
            <w:tcW w:w="2800" w:type="dxa"/>
            <w:vAlign w:val="bottom"/>
          </w:tcPr>
          <w:p>
            <w:pPr>
              <w:jc w:val="right"/>
              <w:ind w:right="1430"/>
              <w:spacing w:after="0"/>
              <w:rPr>
                <w:sz w:val="20"/>
                <w:szCs w:val="20"/>
                <w:color w:val="auto"/>
              </w:rPr>
            </w:pPr>
            <w:r>
              <w:rPr>
                <w:rFonts w:ascii="Arial" w:cs="Arial" w:eastAsia="Arial" w:hAnsi="Arial"/>
                <w:sz w:val="18"/>
                <w:szCs w:val="18"/>
                <w:color w:val="auto"/>
              </w:rPr>
              <w:t>70</w:t>
            </w: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the fair value of the Company’s pension plan assets, segregated by level within the fair value hierarchy:</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 2013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7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Quoted Prices in Active</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9"/>
              </w:rPr>
              <w:t>Significant Other</w:t>
            </w:r>
          </w:p>
        </w:tc>
        <w:tc>
          <w:tcPr>
            <w:tcW w:w="360" w:type="dxa"/>
            <w:vAlign w:val="bottom"/>
          </w:tcPr>
          <w:p>
            <w:pPr>
              <w:spacing w:after="0"/>
              <w:rPr>
                <w:sz w:val="13"/>
                <w:szCs w:val="13"/>
                <w:color w:val="auto"/>
              </w:rPr>
            </w:pPr>
          </w:p>
        </w:tc>
        <w:tc>
          <w:tcPr>
            <w:tcW w:w="134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Assets (Level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Inputs (Level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center"/>
              <w:ind w:left="976"/>
              <w:spacing w:after="0"/>
              <w:rPr>
                <w:sz w:val="20"/>
                <w:szCs w:val="20"/>
                <w:color w:val="auto"/>
              </w:rPr>
            </w:pPr>
            <w:r>
              <w:rPr>
                <w:rFonts w:ascii="Arial" w:cs="Arial" w:eastAsia="Arial" w:hAnsi="Arial"/>
                <w:sz w:val="14"/>
                <w:szCs w:val="14"/>
                <w:b w:val="1"/>
                <w:bCs w:val="1"/>
                <w:color w:val="auto"/>
                <w:w w:val="94"/>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U.S. Defined Benefit Plan Assets</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funds—equities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Mutual funds—fixed income</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International Defined Benefit Plan Assets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Insurance contracts</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funds—equities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Mutual funds—fixed income</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0"/>
        </w:trPr>
        <w:tc>
          <w:tcPr>
            <w:tcW w:w="4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 2012</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7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Quoted Prices in Active</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9"/>
              </w:rPr>
              <w:t>Significant Other</w:t>
            </w:r>
          </w:p>
        </w:tc>
        <w:tc>
          <w:tcPr>
            <w:tcW w:w="360" w:type="dxa"/>
            <w:vAlign w:val="bottom"/>
          </w:tcPr>
          <w:p>
            <w:pPr>
              <w:spacing w:after="0"/>
              <w:rPr>
                <w:sz w:val="13"/>
                <w:szCs w:val="13"/>
                <w:color w:val="auto"/>
              </w:rPr>
            </w:pPr>
          </w:p>
        </w:tc>
        <w:tc>
          <w:tcPr>
            <w:tcW w:w="134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Assets (Level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Inputs (Level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center"/>
              <w:ind w:left="976"/>
              <w:spacing w:after="0"/>
              <w:rPr>
                <w:sz w:val="20"/>
                <w:szCs w:val="20"/>
                <w:color w:val="auto"/>
              </w:rPr>
            </w:pPr>
            <w:r>
              <w:rPr>
                <w:rFonts w:ascii="Arial" w:cs="Arial" w:eastAsia="Arial" w:hAnsi="Arial"/>
                <w:sz w:val="14"/>
                <w:szCs w:val="14"/>
                <w:b w:val="1"/>
                <w:bCs w:val="1"/>
                <w:color w:val="auto"/>
                <w:w w:val="94"/>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U.S. Defined Benefit Plan Assets</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funds—equities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Mutual funds—fixed income</w:t>
            </w:r>
          </w:p>
        </w:tc>
        <w:tc>
          <w:tcPr>
            <w:tcW w:w="1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International Defined Benefit Plan Assets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gridSpan w:val="2"/>
          </w:tcPr>
          <w:p>
            <w:pPr>
              <w:spacing w:after="0"/>
              <w:rPr>
                <w:sz w:val="4"/>
                <w:szCs w:val="4"/>
                <w:color w:val="auto"/>
              </w:rPr>
            </w:pPr>
          </w:p>
        </w:tc>
        <w:tc>
          <w:tcPr>
            <w:tcW w:w="360" w:type="dxa"/>
            <w:vAlign w:val="bottom"/>
          </w:tcPr>
          <w:p>
            <w:pPr>
              <w:spacing w:after="0"/>
              <w:rPr>
                <w:sz w:val="4"/>
                <w:szCs w:val="4"/>
                <w:color w:val="auto"/>
              </w:rPr>
            </w:pPr>
          </w:p>
        </w:tc>
        <w:tc>
          <w:tcPr>
            <w:tcW w:w="1340" w:type="dxa"/>
            <w:vAlign w:val="bottom"/>
            <w:gridSpan w:val="2"/>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Insurance contracts</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funds—equities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Mutual funds—fixed income</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fair value of the mutual funds are valued at the exchange-listed year end closing price or at the net asset value of shares held by the fund at the end of the year. Insurance contracts are valued by discounting the related cash flows using a current year end market rate or at cash surrender value, which is presumed to equal fair value. Funds of hedge funds are valued at the net asset value of shares held by the fund at the end of the year.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sets forth a summary of changes in the fair value of the Company’s level 3 pension plan assets: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80" w:type="dxa"/>
            <w:vAlign w:val="bottom"/>
          </w:tcPr>
          <w:p>
            <w:pPr>
              <w:jc w:val="center"/>
              <w:ind w:right="394"/>
              <w:spacing w:after="0"/>
              <w:rPr>
                <w:sz w:val="20"/>
                <w:szCs w:val="20"/>
                <w:color w:val="auto"/>
              </w:rPr>
            </w:pPr>
            <w:r>
              <w:rPr>
                <w:rFonts w:ascii="Arial" w:cs="Arial" w:eastAsia="Arial" w:hAnsi="Arial"/>
                <w:sz w:val="14"/>
                <w:szCs w:val="14"/>
                <w:b w:val="1"/>
                <w:bCs w:val="1"/>
                <w:color w:val="auto"/>
                <w:w w:val="86"/>
              </w:rPr>
              <w:t>Level 3 Assets</w:t>
            </w:r>
          </w:p>
        </w:tc>
      </w:tr>
      <w:tr>
        <w:trPr>
          <w:trHeight w:val="192"/>
        </w:trPr>
        <w:tc>
          <w:tcPr>
            <w:tcW w:w="84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jc w:val="center"/>
              <w:ind w:right="394"/>
              <w:spacing w:after="0"/>
              <w:rPr>
                <w:sz w:val="20"/>
                <w:szCs w:val="20"/>
                <w:color w:val="auto"/>
              </w:rPr>
            </w:pPr>
            <w:r>
              <w:rPr>
                <w:rFonts w:ascii="Arial" w:cs="Arial" w:eastAsia="Arial" w:hAnsi="Arial"/>
                <w:sz w:val="14"/>
                <w:szCs w:val="14"/>
                <w:b w:val="1"/>
                <w:bCs w:val="1"/>
                <w:color w:val="auto"/>
                <w:w w:val="93"/>
              </w:rPr>
              <w:t>Insurance contracts</w:t>
            </w:r>
          </w:p>
        </w:tc>
      </w:tr>
      <w:tr>
        <w:trPr>
          <w:trHeight w:val="250"/>
        </w:trPr>
        <w:tc>
          <w:tcPr>
            <w:tcW w:w="8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80" w:type="dxa"/>
            <w:vAlign w:val="bottom"/>
          </w:tcPr>
          <w:p>
            <w:pPr>
              <w:jc w:val="center"/>
              <w:ind w:right="394"/>
              <w:spacing w:after="0"/>
              <w:rPr>
                <w:sz w:val="20"/>
                <w:szCs w:val="20"/>
                <w:color w:val="auto"/>
              </w:rPr>
            </w:pPr>
            <w:r>
              <w:rPr>
                <w:rFonts w:ascii="Arial" w:cs="Arial" w:eastAsia="Arial" w:hAnsi="Arial"/>
                <w:sz w:val="14"/>
                <w:szCs w:val="14"/>
                <w:b w:val="1"/>
                <w:bCs w:val="1"/>
                <w:color w:val="auto"/>
                <w:w w:val="96"/>
              </w:rPr>
              <w:t>(In millions)</w:t>
            </w:r>
          </w:p>
        </w:tc>
      </w:tr>
      <w:tr>
        <w:trPr>
          <w:trHeight w:val="256"/>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September 30, 2011</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Realized gain on plan assets</w:t>
            </w:r>
          </w:p>
        </w:tc>
        <w:tc>
          <w:tcPr>
            <w:tcW w:w="480" w:type="dxa"/>
            <w:vAlign w:val="bottom"/>
          </w:tcPr>
          <w:p>
            <w:pPr>
              <w:spacing w:after="0"/>
              <w:rPr>
                <w:sz w:val="21"/>
                <w:szCs w:val="21"/>
                <w:color w:val="auto"/>
              </w:rPr>
            </w:pPr>
          </w:p>
        </w:tc>
        <w:tc>
          <w:tcPr>
            <w:tcW w:w="2480" w:type="dxa"/>
            <w:vAlign w:val="bottom"/>
          </w:tcPr>
          <w:p>
            <w:pPr>
              <w:jc w:val="right"/>
              <w:ind w:right="14"/>
              <w:spacing w:after="0"/>
              <w:rPr>
                <w:sz w:val="20"/>
                <w:szCs w:val="20"/>
                <w:color w:val="auto"/>
              </w:rPr>
            </w:pPr>
            <w:r>
              <w:rPr>
                <w:rFonts w:ascii="Arial" w:cs="Arial" w:eastAsia="Arial" w:hAnsi="Arial"/>
                <w:sz w:val="18"/>
                <w:szCs w:val="18"/>
                <w:color w:val="auto"/>
              </w:rPr>
              <w:t>1.0</w:t>
            </w:r>
          </w:p>
        </w:tc>
      </w:tr>
      <w:tr>
        <w:trPr>
          <w:trHeight w:val="27"/>
        </w:trPr>
        <w:tc>
          <w:tcPr>
            <w:tcW w:w="8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on plan assets</w:t>
            </w:r>
          </w:p>
        </w:tc>
        <w:tc>
          <w:tcPr>
            <w:tcW w:w="48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48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8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issuances and settlements (net)</w:t>
            </w:r>
          </w:p>
        </w:tc>
        <w:tc>
          <w:tcPr>
            <w:tcW w:w="480" w:type="dxa"/>
            <w:vAlign w:val="bottom"/>
            <w:tcBorders>
              <w:bottom w:val="single" w:sz="8" w:color="CCEEFF"/>
            </w:tcBorders>
            <w:shd w:val="clear" w:color="auto" w:fill="CCEEFF"/>
          </w:tcPr>
          <w:p>
            <w:pPr>
              <w:spacing w:after="0"/>
              <w:rPr>
                <w:sz w:val="23"/>
                <w:szCs w:val="23"/>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Balance, September 30, 2012</w:t>
            </w:r>
          </w:p>
        </w:tc>
        <w:tc>
          <w:tcPr>
            <w:tcW w:w="480" w:type="dxa"/>
            <w:vAlign w:val="bottom"/>
            <w:tcBorders>
              <w:top w:val="single" w:sz="8" w:color="auto"/>
            </w:tcBorders>
          </w:tcPr>
          <w:p>
            <w:pPr>
              <w:spacing w:after="0"/>
              <w:rPr>
                <w:sz w:val="20"/>
                <w:szCs w:val="20"/>
                <w:color w:val="auto"/>
              </w:rPr>
            </w:pPr>
          </w:p>
        </w:tc>
        <w:tc>
          <w:tcPr>
            <w:tcW w:w="2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w:t>
            </w:r>
          </w:p>
        </w:tc>
      </w:tr>
      <w:tr>
        <w:trPr>
          <w:trHeight w:val="27"/>
        </w:trPr>
        <w:tc>
          <w:tcPr>
            <w:tcW w:w="8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gain on plan assets</w:t>
            </w:r>
          </w:p>
        </w:tc>
        <w:tc>
          <w:tcPr>
            <w:tcW w:w="48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Unrealized gain on plan assets</w:t>
            </w:r>
          </w:p>
        </w:tc>
        <w:tc>
          <w:tcPr>
            <w:tcW w:w="480" w:type="dxa"/>
            <w:vAlign w:val="bottom"/>
          </w:tcPr>
          <w:p>
            <w:pPr>
              <w:spacing w:after="0"/>
              <w:rPr>
                <w:sz w:val="21"/>
                <w:szCs w:val="21"/>
                <w:color w:val="auto"/>
              </w:rPr>
            </w:pPr>
          </w:p>
        </w:tc>
        <w:tc>
          <w:tcPr>
            <w:tcW w:w="24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48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Purchases, sales, issuances and settlements (net)</w:t>
            </w:r>
          </w:p>
        </w:tc>
        <w:tc>
          <w:tcPr>
            <w:tcW w:w="48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84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September 30, 2013</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Investment Strategy</w:t>
      </w:r>
    </w:p>
    <w:p>
      <w:pPr>
        <w:spacing w:after="0" w:line="9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Target allocation percentages among various asset classes are maintained based on an individual investment policy established for each of the various pension plans. Asset allocations are designed to achieve long-term objectives of return while mitigating against downside risk and considering expected cash requirements necessary to fund benefit payments. However, the Company cannot predict future investment returns and therefore cannot determine whether future pension plan funding requirements could materially and adversely affect its financial condition, results of operations or cash flows.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Basis for Long-Term Rate of Return on Asset Assumptions</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Company’s expected long-term rate of return on asset assumptions are derived from studies conducted by third parties. The studies include a review of anticipated future long-term performance of individual asset classes and consideration of the appropriate asset allocation strategy given the anticipated requirements of the plans to determine the average rate of earnings expected. While the studies give appropriate consideration to recent fund performance and historical returns, the assumptions primarily represent expectations about future rates of return over the long term.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ASSOCIATE MEDICAL BENEFITS</w:t>
      </w:r>
    </w:p>
    <w:p>
      <w:pPr>
        <w:spacing w:after="0" w:line="9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provides comprehensive major medical benefits to certain of its retired associates and their dependents. Substantially all of the Company’s domestic associates who were hired before January 1, 1998 become eligible for these benefits if they retire at age 55 or older with more than 10 years of service. The retiree medical plan requires certain minimum contributions from retired associates and includes provisions to limit the overall cost increases the Company is required to cover. The Company funds its portion of retiree medical benefits on a pay-as-you-go basis.</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sets forth information about the retiree medical plan for domestic associates. The retiree medical plan is valued using a September 30 measurement date.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65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180" w:type="dxa"/>
            <w:vAlign w:val="bottom"/>
            <w:gridSpan w:val="7"/>
          </w:tcPr>
          <w:p>
            <w:pPr>
              <w:jc w:val="right"/>
              <w:ind w:right="311"/>
              <w:spacing w:after="0"/>
              <w:rPr>
                <w:sz w:val="20"/>
                <w:szCs w:val="20"/>
                <w:color w:val="auto"/>
              </w:rPr>
            </w:pPr>
            <w:r>
              <w:rPr>
                <w:rFonts w:ascii="Arial" w:cs="Arial" w:eastAsia="Arial" w:hAnsi="Arial"/>
                <w:sz w:val="14"/>
                <w:szCs w:val="14"/>
                <w:b w:val="1"/>
                <w:bCs w:val="1"/>
                <w:color w:val="auto"/>
              </w:rPr>
              <w:t>(In millions, except percentage figures)</w:t>
            </w:r>
          </w:p>
        </w:tc>
        <w:tc>
          <w:tcPr>
            <w:tcW w:w="0" w:type="dxa"/>
            <w:vAlign w:val="bottom"/>
          </w:tcPr>
          <w:p>
            <w:pPr>
              <w:spacing w:after="0"/>
              <w:rPr>
                <w:sz w:val="1"/>
                <w:szCs w:val="1"/>
                <w:color w:val="auto"/>
              </w:rPr>
            </w:pPr>
          </w:p>
        </w:tc>
      </w:tr>
      <w:tr>
        <w:trPr>
          <w:trHeight w:val="256"/>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Accumulated Plan Benefit Obligation (APBO)</w:t>
            </w:r>
          </w:p>
        </w:tc>
        <w:tc>
          <w:tcPr>
            <w:tcW w:w="9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Benefit obligation at beginning of year</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36.3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participants’ contributions</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Actuarial (loss) gain</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Early retirement reinsurance program receipts</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Benefits paid (net of federal subsidy of $0.3 and $0.3)</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at end of year</w:t>
            </w:r>
          </w:p>
        </w:tc>
        <w:tc>
          <w:tcPr>
            <w:tcW w:w="9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9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8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80" w:type="dxa"/>
            <w:vAlign w:val="bottom"/>
          </w:tcPr>
          <w:p>
            <w:pPr>
              <w:spacing w:after="0"/>
              <w:rPr>
                <w:sz w:val="4"/>
                <w:szCs w:val="4"/>
                <w:color w:val="auto"/>
              </w:rPr>
            </w:pPr>
          </w:p>
        </w:tc>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Employer contribution</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participants’ contributions</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Gross benefits paid</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9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Unfunded status at end of year</w:t>
            </w: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top w:val="single" w:sz="8" w:color="auto"/>
            </w:tcBorders>
            <w:gridSpan w:val="2"/>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89"/>
              </w:rPr>
              <w:t>(31.6)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67"/>
        </w:trPr>
        <w:tc>
          <w:tcPr>
            <w:tcW w:w="658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Amounts recognized in the Consolidated Balance Sheets consist of:</w:t>
            </w:r>
          </w:p>
        </w:tc>
        <w:tc>
          <w:tcPr>
            <w:tcW w:w="9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9"/>
              </w:rPr>
              <w:t>(29.2)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Total amount accrued</w:t>
            </w: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top w:val="single" w:sz="8" w:color="auto"/>
            </w:tcBorders>
            <w:gridSpan w:val="2"/>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89"/>
              </w:rPr>
              <w:t>(31.6)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67"/>
        </w:trPr>
        <w:tc>
          <w:tcPr>
            <w:tcW w:w="658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Amounts recognized in accumulated other comprehensive loss consist of:</w:t>
            </w:r>
          </w:p>
        </w:tc>
        <w:tc>
          <w:tcPr>
            <w:tcW w:w="9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Actuarial loss</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67"/>
        </w:trPr>
        <w:tc>
          <w:tcPr>
            <w:tcW w:w="658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Total change in other comprehensive loss attributable to:</w:t>
            </w:r>
          </w:p>
        </w:tc>
        <w:tc>
          <w:tcPr>
            <w:tcW w:w="9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Benefit (gain) loss during the period</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loss amortized during the year</w:t>
            </w: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Total change in other comprehensive (gain) loss</w:t>
            </w: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top w:val="single" w:sz="8" w:color="auto"/>
            </w:tcBorders>
            <w:gridSpan w:val="2"/>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67"/>
        </w:trPr>
        <w:tc>
          <w:tcPr>
            <w:tcW w:w="658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5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b w:val="1"/>
                <w:bCs w:val="1"/>
                <w:color w:val="auto"/>
              </w:rPr>
              <w:t>Discount rate used in development of APBO</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65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53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Components of net periodic benefit cost</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21"/>
                <w:szCs w:val="21"/>
                <w:color w:val="auto"/>
              </w:rPr>
            </w:pPr>
          </w:p>
        </w:tc>
        <w:tc>
          <w:tcPr>
            <w:tcW w:w="98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Curtailment loss</w:t>
            </w:r>
          </w:p>
        </w:tc>
        <w:tc>
          <w:tcPr>
            <w:tcW w:w="98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actuarial loss</w:t>
            </w: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Total postretirement benefit cost</w:t>
            </w:r>
          </w:p>
        </w:tc>
        <w:tc>
          <w:tcPr>
            <w:tcW w:w="980" w:type="dxa"/>
            <w:vAlign w:val="bottom"/>
            <w:tcBorders>
              <w:top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2.2</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67"/>
        </w:trPr>
        <w:tc>
          <w:tcPr>
            <w:tcW w:w="658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58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Discount rate used in development of net periodic benefit cost</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7"/>
        </w:trPr>
        <w:tc>
          <w:tcPr>
            <w:tcW w:w="6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estimated actuarial gain that will be amortized from accumulated loss into net periodic benefit cost over the next fiscal year is immaterial. In connection with the restructuring plan discussed in “NOTE 3. IMPAIRMENT, RESTRUCTURING AND OTHER CHARGES,” the Company recognized a plan curtailment charge of $1.1 million in fiscal 2011 for an increase in the benefit obligation associated with its retiree medical plan.</w:t>
      </w:r>
    </w:p>
    <w:p>
      <w:pPr>
        <w:spacing w:after="0" w:line="11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December 8, 2003, the Medicare Prescription Drug, Improvement and Modernization Act (the “Act”) became law. The Act provides for a federal subsidy to sponsors of retiree health care benefit plans that provide a prescription drug benefit that is at least actuarially equivalent to the benefit established by the Act. The APBO at September 30, 2013, has been reduced by a deferred actuarial gain in the amount of $0.3 million to reflect the effect of the subsidy related to benefits attributed to past service.</w:t>
      </w:r>
    </w:p>
    <w:p>
      <w:pPr>
        <w:sectPr>
          <w:pgSz w:w="11900" w:h="16838" w:orient="portrait"/>
          <w:cols w:equalWidth="0" w:num="1">
            <w:col w:w="11420"/>
          </w:cols>
          <w:pgMar w:left="240" w:top="122"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2" w:right="239" w:bottom="1440" w:gutter="0" w:footer="0" w:header="0"/>
          <w:type w:val="continuous"/>
        </w:sectPr>
      </w:pPr>
    </w:p>
    <w:bookmarkStart w:id="73" w:name="page74"/>
    <w:bookmarkEnd w:id="73"/>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amortization of the actuarial gain and reduction of service and interest costs served to reduce net periodic post retirement benefit cost for fiscal 2013, fiscal 2012 and fiscal 2011 by $0.3 million, $0.2 million and $1.1 million, respectively.</w:t>
      </w:r>
    </w:p>
    <w:p>
      <w:pPr>
        <w:spacing w:after="0" w:line="11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For measurement as of September 30, 2013, management has assumed that health care costs will increase at an annual rate of 7.00% in fiscal 2013, decreasing 0.25% per year to an ultimate trend of 5.00% in 2021. A 1% increase in health cost trend rate assumptions would increase the APBO by $1.4 million as of September 30, 2013. A 1% decrease in health cost trend rate assumptions would decrease the APBO by $1.3 million as of September 30, 2013. A 1% increase or decrease in the same rate would not have a material effect on service or interest costs.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benefit payments under the plan are expected to be paid by the Company and the retirees for the fiscal years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right="196"/>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122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Retiree</w:t>
            </w:r>
          </w:p>
        </w:tc>
        <w:tc>
          <w:tcPr>
            <w:tcW w:w="420" w:type="dxa"/>
            <w:vAlign w:val="bottom"/>
          </w:tcPr>
          <w:p>
            <w:pPr>
              <w:spacing w:after="0"/>
              <w:rPr>
                <w:sz w:val="14"/>
                <w:szCs w:val="14"/>
                <w:color w:val="auto"/>
              </w:rPr>
            </w:pPr>
          </w:p>
        </w:tc>
        <w:tc>
          <w:tcPr>
            <w:tcW w:w="1060" w:type="dxa"/>
            <w:vAlign w:val="bottom"/>
          </w:tcPr>
          <w:p>
            <w:pPr>
              <w:jc w:val="center"/>
              <w:ind w:right="316"/>
              <w:spacing w:after="0"/>
              <w:rPr>
                <w:sz w:val="20"/>
                <w:szCs w:val="20"/>
                <w:color w:val="auto"/>
              </w:rPr>
            </w:pPr>
            <w:r>
              <w:rPr>
                <w:rFonts w:ascii="Arial" w:cs="Arial" w:eastAsia="Arial" w:hAnsi="Arial"/>
                <w:sz w:val="14"/>
                <w:szCs w:val="14"/>
                <w:b w:val="1"/>
                <w:bCs w:val="1"/>
                <w:color w:val="auto"/>
                <w:w w:val="95"/>
              </w:rPr>
              <w:t>Medicare</w:t>
            </w:r>
          </w:p>
        </w:tc>
        <w:tc>
          <w:tcPr>
            <w:tcW w:w="300" w:type="dxa"/>
            <w:vAlign w:val="bottom"/>
          </w:tcPr>
          <w:p>
            <w:pPr>
              <w:spacing w:after="0"/>
              <w:rPr>
                <w:sz w:val="14"/>
                <w:szCs w:val="14"/>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ind w:right="196"/>
              <w:spacing w:after="0" w:line="149" w:lineRule="exact"/>
              <w:rPr>
                <w:sz w:val="20"/>
                <w:szCs w:val="20"/>
                <w:color w:val="auto"/>
              </w:rPr>
            </w:pPr>
            <w:r>
              <w:rPr>
                <w:rFonts w:ascii="Arial" w:cs="Arial" w:eastAsia="Arial" w:hAnsi="Arial"/>
                <w:sz w:val="14"/>
                <w:szCs w:val="14"/>
                <w:b w:val="1"/>
                <w:bCs w:val="1"/>
                <w:color w:val="auto"/>
                <w:w w:val="92"/>
              </w:rPr>
              <w:t>Benefit</w:t>
            </w:r>
          </w:p>
        </w:tc>
        <w:tc>
          <w:tcPr>
            <w:tcW w:w="2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jc w:val="center"/>
              <w:ind w:right="316"/>
              <w:spacing w:after="0" w:line="149" w:lineRule="exact"/>
              <w:rPr>
                <w:sz w:val="20"/>
                <w:szCs w:val="20"/>
                <w:color w:val="auto"/>
              </w:rPr>
            </w:pPr>
            <w:r>
              <w:rPr>
                <w:rFonts w:ascii="Arial" w:cs="Arial" w:eastAsia="Arial" w:hAnsi="Arial"/>
                <w:sz w:val="14"/>
                <w:szCs w:val="14"/>
                <w:b w:val="1"/>
                <w:bCs w:val="1"/>
                <w:color w:val="auto"/>
              </w:rPr>
              <w:t>Part D</w:t>
            </w:r>
          </w:p>
        </w:tc>
        <w:tc>
          <w:tcPr>
            <w:tcW w:w="300" w:type="dxa"/>
            <w:vAlign w:val="bottom"/>
          </w:tcPr>
          <w:p>
            <w:pPr>
              <w:spacing w:after="0"/>
              <w:rPr>
                <w:sz w:val="12"/>
                <w:szCs w:val="12"/>
                <w:color w:val="auto"/>
              </w:rPr>
            </w:pPr>
          </w:p>
        </w:tc>
        <w:tc>
          <w:tcPr>
            <w:tcW w:w="1120" w:type="dxa"/>
            <w:vAlign w:val="bottom"/>
          </w:tcPr>
          <w:p>
            <w:pPr>
              <w:jc w:val="right"/>
              <w:ind w:right="296"/>
              <w:spacing w:after="0" w:line="149" w:lineRule="exact"/>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0"/>
              </w:rPr>
              <w:t>Payments</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8"/>
              </w:rPr>
              <w:t>Contributions</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w w:val="88"/>
              </w:rPr>
              <w:t>Subsidy</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(0.4)</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(0.5)</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2019 – 2023</w:t>
            </w:r>
          </w:p>
        </w:tc>
        <w:tc>
          <w:tcPr>
            <w:tcW w:w="24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27.3</w:t>
            </w:r>
          </w:p>
        </w:tc>
        <w:tc>
          <w:tcPr>
            <w:tcW w:w="28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(13.6)</w:t>
            </w:r>
          </w:p>
        </w:tc>
        <w:tc>
          <w:tcPr>
            <w:tcW w:w="4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also provides comprehensive major medical benefits to its associates. The Company is self-insured for certain health benefits up to $0.5 million per occurrence per individual. The cost of such benefits is recognized as expense in the period the claim is incurred. This cost was $35.1 million, $28.7 million and $27.9 million in fiscal 2013, fiscal 2012 and fiscal 2011,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long-term debt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83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Credit Facilities - Revolving loans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377.1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7.25%</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Senior Notes – 6.625%</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Master Accounts Receivable Purchase Agreement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current portions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term debt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478.1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781.1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8"/>
                <w:szCs w:val="18"/>
                <w:color w:val="auto"/>
                <w:w w:val="95"/>
              </w:rPr>
              <w:t>The Company’s debt matures as follows for each of the next five fiscal years and thereafter (in millions):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54"/>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2015</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54"/>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2" w:right="239" w:bottom="1440" w:gutter="0" w:footer="0" w:header="0"/>
          <w:type w:val="continuous"/>
        </w:sectPr>
      </w:pPr>
    </w:p>
    <w:bookmarkStart w:id="74" w:name="page75"/>
    <w:bookmarkEnd w:id="74"/>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Scotts Miracle-Gro and certain of its subsidiaries are parties to an amended and restated senior secured credit facility, providing for revolving loans in the aggregate principal amount of up to $1.7 billion over a five-year term. Borrowings may be made in various currencies including U.S. dollars, Euros, British pounds, Australian dollars and Canadian dollars. Under this credit facility, the Company may request up to an additional $450 million in revolving and/or term commitments, subject to certain specified conditions, including approval from the Company’s lenders.</w:t>
      </w:r>
    </w:p>
    <w:p>
      <w:pPr>
        <w:spacing w:after="0" w:line="117"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terms of the credit facility provide for customary representations and warranties and affirmative covenants. The credit facility also contains customary negative covenants setting forth limitations, subject to negotiated carve-outs on liens; contingent obligations; fundamental changes; acquisitions, investments, loans and advances; indebtedness; restrictions on subsidiary distributions; transactions with affiliates and officers; sales of assets; sale and leaseback transactions; changing the Company’s fiscal year end; modifications of certain debt instruments; negative pledge clauses; entering into new lines of business; and restricted payments, which were limited to an aggregate of $125 million annually through fiscal 2013 and $150 million annually beginning in fiscal 2014 if the Company's leverage ratio, after giving effect to any such annual dividend payment, exceeds 2.50. The credit facility is secured by collateral that includes the capital stock of specified subsidiaries of Scotts Miracle-Gro, substantially all domestic accounts receivable (exclusive of any “sold” receivables), inventory and equipment. The credit facility is guaranteed by substantially all of Scotts Miracle-Gro’s domestic subsidiaries, which have a carrying value of $1.5 billion.</w:t>
      </w:r>
    </w:p>
    <w:p>
      <w:pPr>
        <w:spacing w:after="0" w:line="14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Loans made under the credit facility bear interest, at the Company’s election, at a rate per annum equal to either the ABR or LIBOR rate, (both as defined) plus an applicable margin. Amounts outstanding under the credit facility at September 30, 2013 were at interest rates based on LIBOR applicable to the borrowed currencies plus 200 basis points. Under the credit facility, the Company has the ability to obtain letters of credit up to $75 million outstanding. At September 30, 2013, the Company had letters of credit in the aggregate face amount of $23.3 million outstanding on the credit facility, and $1.6 billion of availability under its credit facility.</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Senior Notes- 7.25%</w:t>
      </w:r>
    </w:p>
    <w:p>
      <w:pPr>
        <w:spacing w:after="0" w:line="171"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On January 14, 2010, Scotts Miracle-Gro issued $200 million aggregate principal amount of 7.25% Senior Notes due 2018 (the “7.25% Senior Notes”). The net proceeds of the offering were used to reduce outstanding borrowings under the Company’s then existing credit facilities. The 7.25% Senior Notes represent general unsecured senior obligations of Scotts Miracle-Gro, and were sold to the public at 99.254% of the principal amount thereof, to yield 7.375% to maturity. The 7.25% Senior Notes have interest payment dates of January 15 and July 15 of each year, which began on July 15, 2010 and may be redeemed prior to maturity at applicable redemption premiums. The 7.25% Senior Notes contain usual and customary incurrence-based covenants, which include, but are not limited to, restrictions on the incurrence of additional indebtedness, the incurrence of liens and the issuance of certain preferred shares, and the making of certain distributions, investments and other restricted payments, as well as other usual and customary covenants, which include, but are not limited to, restrictions on sale and leaseback transactions, restrictions on purchases or redemptions of Scotts Miracle-Gro stock and prepayments of subordinated debt, limitations on asset sales and restrictions on transactions with affiliates. The 7.25% Senior Notes mature on January 15, 2018. Substantially all of Scotts Miracle-Gro's domestic subsidiaries serve as guarantors of the 7.25% Senior Notes.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Senior Notes- 6.625%</w:t>
      </w:r>
    </w:p>
    <w:p>
      <w:pPr>
        <w:spacing w:after="0" w:line="17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On December 16, 2010, Scotts Miracle-Gro issued $200 million aggregate principal amount of 6.625% Senior Notes due 2020 (the “6.625%” Senior Notes”) in a private placement exempt from the registration requirements under the Securities Act of 1933, as amended. The net proceeds of the offering were used to repay outstanding borrowings under the Company’s then existing credit facilities and for general corporate purposes. The 6.625% Senior Notes represent general unsecured senior obligations of Scotts Miracle-Gro and rank equal in right of payment with the Company’s existing and future unsecured senior debt, including, without limitation, the 7.25% Senior Notes. The 6.625% Senior Notes have interest payment dates of June 15 and December 15 of each year, which began on June 15, 2011, and may be redeemed prior to maturity at applicable redemption premiums. The 6.625% Senior Notes contain usual and customary incurrence-based covenants, as well as other usual and customary covenants, substantially similar to those contained in the 7.25% Senior Notes. The 6.625% Senior Notes mature on December 15, 2020. Substantially all of Scotts Miracle-Gro’s domestic subsidiaries serve as guarantors of the 6.625% Senior Notes.</w:t>
      </w:r>
    </w:p>
    <w:p>
      <w:pPr>
        <w:spacing w:after="0" w:line="14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was in compliance with the terms of all debt covenants at September 30, 2013. The credit facility contains, among other obligations, an affirmative covenant regarding the Company’s leverage ratio, calculated as average total indebtedness, as described in the Company’s credit facility, relative to the Company’s EBITDA, as adjusted pursuant to the terms of the credit facility (“Adjusted EBITDA”). Under the terms of the credit facility, the maximum leverage ratio was 3.50 as of September 30, 2013. The Company’s leverage ratio was 2.05 at September 30, 2013. The Company’s credit facility also includes an affirmative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covenant regarding its interest coverage ratio. Interest coverage ratio is calculated as Adjusted EBITDA divided by interest expense, as described in the credit facility, and excludes costs related to refinancings. Under the terms of the credit facility, the minimum interest coverage ratio was 3.50 for the year ended September 30, 2013. The Company’s interest coverage ratio was 6.59 for the year ended September 30, 2013. The weighted average interest rates on average debt were 6.2% and 6.0% for fiscal 2013 and fiscal 2012, respectively.</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7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At September 30, 2013, the Company had outstanding interest rate swap agreements with major financial institutions that effectively converted the LIBOR index portion of variable-rate debt denominated in U.S. dollars to a fixed rate. The swap agreements had a total U.S. dollar notional amount of $1,100 million at September 30, 2013. Interest payments made between the effective date and expiration date are hedged by the swap agreements, except as noted below. The notional amount, effective date, expiration date and rate of each of these swap agreements are shown in the table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2500" w:type="dxa"/>
            <w:vAlign w:val="bottom"/>
          </w:tcPr>
          <w:p>
            <w:pPr>
              <w:jc w:val="right"/>
              <w:ind w:right="913"/>
              <w:spacing w:after="0"/>
              <w:rPr>
                <w:sz w:val="20"/>
                <w:szCs w:val="20"/>
                <w:color w:val="auto"/>
              </w:rPr>
            </w:pPr>
            <w:r>
              <w:rPr>
                <w:rFonts w:ascii="Arial" w:cs="Arial" w:eastAsia="Arial" w:hAnsi="Arial"/>
                <w:sz w:val="14"/>
                <w:szCs w:val="14"/>
                <w:b w:val="1"/>
                <w:bCs w:val="1"/>
                <w:color w:val="auto"/>
              </w:rPr>
              <w:t>Notional Amount</w:t>
            </w:r>
          </w:p>
        </w:tc>
        <w:tc>
          <w:tcPr>
            <w:tcW w:w="340" w:type="dxa"/>
            <w:vAlign w:val="bottom"/>
          </w:tcPr>
          <w:p>
            <w:pPr>
              <w:spacing w:after="0"/>
              <w:rPr>
                <w:sz w:val="14"/>
                <w:szCs w:val="14"/>
                <w:color w:val="auto"/>
              </w:rPr>
            </w:pPr>
          </w:p>
        </w:tc>
        <w:tc>
          <w:tcPr>
            <w:tcW w:w="2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Effective</w:t>
            </w:r>
          </w:p>
        </w:tc>
        <w:tc>
          <w:tcPr>
            <w:tcW w:w="2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Expiration</w:t>
            </w:r>
          </w:p>
        </w:tc>
        <w:tc>
          <w:tcPr>
            <w:tcW w:w="2340" w:type="dxa"/>
            <w:vAlign w:val="bottom"/>
          </w:tcPr>
          <w:p>
            <w:pPr>
              <w:jc w:val="right"/>
              <w:ind w:right="913"/>
              <w:spacing w:after="0"/>
              <w:rPr>
                <w:sz w:val="20"/>
                <w:szCs w:val="20"/>
                <w:color w:val="auto"/>
              </w:rPr>
            </w:pPr>
            <w:r>
              <w:rPr>
                <w:rFonts w:ascii="Arial" w:cs="Arial" w:eastAsia="Arial" w:hAnsi="Arial"/>
                <w:sz w:val="14"/>
                <w:szCs w:val="14"/>
                <w:b w:val="1"/>
                <w:bCs w:val="1"/>
                <w:color w:val="auto"/>
              </w:rPr>
              <w:t>Fixed</w:t>
            </w:r>
          </w:p>
        </w:tc>
      </w:tr>
      <w:tr>
        <w:trPr>
          <w:trHeight w:val="192"/>
        </w:trPr>
        <w:tc>
          <w:tcPr>
            <w:tcW w:w="560" w:type="dxa"/>
            <w:vAlign w:val="bottom"/>
          </w:tcPr>
          <w:p>
            <w:pPr>
              <w:spacing w:after="0"/>
              <w:rPr>
                <w:sz w:val="16"/>
                <w:szCs w:val="16"/>
                <w:color w:val="auto"/>
              </w:rPr>
            </w:pPr>
          </w:p>
        </w:tc>
        <w:tc>
          <w:tcPr>
            <w:tcW w:w="2500" w:type="dxa"/>
            <w:vAlign w:val="bottom"/>
          </w:tcPr>
          <w:p>
            <w:pPr>
              <w:jc w:val="right"/>
              <w:ind w:right="1073"/>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6"/>
                <w:szCs w:val="16"/>
                <w:color w:val="auto"/>
              </w:rPr>
            </w:pPr>
          </w:p>
        </w:tc>
        <w:tc>
          <w:tcPr>
            <w:tcW w:w="2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Date (a)</w:t>
            </w:r>
          </w:p>
        </w:tc>
        <w:tc>
          <w:tcPr>
            <w:tcW w:w="2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Date</w:t>
            </w:r>
          </w:p>
        </w:tc>
        <w:tc>
          <w:tcPr>
            <w:tcW w:w="2340" w:type="dxa"/>
            <w:vAlign w:val="bottom"/>
          </w:tcPr>
          <w:p>
            <w:pPr>
              <w:jc w:val="right"/>
              <w:ind w:right="953"/>
              <w:spacing w:after="0"/>
              <w:rPr>
                <w:sz w:val="20"/>
                <w:szCs w:val="20"/>
                <w:color w:val="auto"/>
              </w:rPr>
            </w:pPr>
            <w:r>
              <w:rPr>
                <w:rFonts w:ascii="Arial" w:cs="Arial" w:eastAsia="Arial" w:hAnsi="Arial"/>
                <w:sz w:val="14"/>
                <w:szCs w:val="14"/>
                <w:b w:val="1"/>
                <w:bCs w:val="1"/>
                <w:color w:val="auto"/>
              </w:rPr>
              <w:t>Rate</w:t>
            </w:r>
          </w:p>
        </w:tc>
      </w:tr>
      <w:tr>
        <w:trPr>
          <w:trHeight w:val="250"/>
        </w:trPr>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2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2/14/2012</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2/14/2016</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57"/>
        </w:trPr>
        <w:tc>
          <w:tcPr>
            <w:tcW w:w="560" w:type="dxa"/>
            <w:vAlign w:val="bottom"/>
          </w:tcPr>
          <w:p>
            <w:pPr>
              <w:spacing w:after="0"/>
              <w:rPr>
                <w:sz w:val="22"/>
                <w:szCs w:val="22"/>
                <w:color w:val="auto"/>
              </w:rPr>
            </w:pPr>
          </w:p>
        </w:tc>
        <w:tc>
          <w:tcPr>
            <w:tcW w:w="250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340" w:type="dxa"/>
            <w:vAlign w:val="bottom"/>
          </w:tcPr>
          <w:p>
            <w:pPr>
              <w:ind w:left="20"/>
              <w:spacing w:after="0"/>
              <w:rPr>
                <w:sz w:val="20"/>
                <w:szCs w:val="20"/>
                <w:color w:val="auto"/>
              </w:rPr>
            </w:pPr>
            <w:r>
              <w:rPr>
                <w:rFonts w:ascii="Arial" w:cs="Arial" w:eastAsia="Arial" w:hAnsi="Arial"/>
                <w:sz w:val="13"/>
                <w:szCs w:val="13"/>
                <w:color w:val="auto"/>
              </w:rPr>
              <w:t>(b)</w:t>
            </w:r>
          </w:p>
        </w:tc>
        <w:tc>
          <w:tcPr>
            <w:tcW w:w="2500" w:type="dxa"/>
            <w:vAlign w:val="bottom"/>
          </w:tcPr>
          <w:p>
            <w:pPr>
              <w:jc w:val="right"/>
              <w:spacing w:after="0"/>
              <w:rPr>
                <w:sz w:val="20"/>
                <w:szCs w:val="20"/>
                <w:color w:val="auto"/>
              </w:rPr>
            </w:pPr>
            <w:r>
              <w:rPr>
                <w:rFonts w:ascii="Arial" w:cs="Arial" w:eastAsia="Arial" w:hAnsi="Arial"/>
                <w:sz w:val="18"/>
                <w:szCs w:val="18"/>
                <w:color w:val="auto"/>
              </w:rPr>
              <w:t>2/7/2012</w:t>
            </w:r>
          </w:p>
        </w:tc>
        <w:tc>
          <w:tcPr>
            <w:tcW w:w="34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5/7/2016</w:t>
            </w:r>
          </w:p>
        </w:tc>
        <w:tc>
          <w:tcPr>
            <w:tcW w:w="340" w:type="dxa"/>
            <w:vAlign w:val="bottom"/>
          </w:tcPr>
          <w:p>
            <w:pPr>
              <w:spacing w:after="0"/>
              <w:rPr>
                <w:sz w:val="22"/>
                <w:szCs w:val="22"/>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7"/>
        </w:trPr>
        <w:tc>
          <w:tcPr>
            <w:tcW w:w="5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64"/>
        </w:trPr>
        <w:tc>
          <w:tcPr>
            <w:tcW w:w="56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11/16/2009</w:t>
            </w:r>
          </w:p>
        </w:tc>
        <w:tc>
          <w:tcPr>
            <w:tcW w:w="34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5/16/2016</w:t>
            </w:r>
          </w:p>
        </w:tc>
        <w:tc>
          <w:tcPr>
            <w:tcW w:w="34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57"/>
        </w:trPr>
        <w:tc>
          <w:tcPr>
            <w:tcW w:w="560" w:type="dxa"/>
            <w:vAlign w:val="bottom"/>
          </w:tcPr>
          <w:p>
            <w:pPr>
              <w:spacing w:after="0"/>
              <w:rPr>
                <w:sz w:val="22"/>
                <w:szCs w:val="22"/>
                <w:color w:val="auto"/>
              </w:rPr>
            </w:pPr>
          </w:p>
        </w:tc>
        <w:tc>
          <w:tcPr>
            <w:tcW w:w="250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340" w:type="dxa"/>
            <w:vAlign w:val="bottom"/>
          </w:tcPr>
          <w:p>
            <w:pPr>
              <w:ind w:left="20"/>
              <w:spacing w:after="0"/>
              <w:rPr>
                <w:sz w:val="20"/>
                <w:szCs w:val="20"/>
                <w:color w:val="auto"/>
              </w:rPr>
            </w:pPr>
            <w:r>
              <w:rPr>
                <w:rFonts w:ascii="Arial" w:cs="Arial" w:eastAsia="Arial" w:hAnsi="Arial"/>
                <w:sz w:val="13"/>
                <w:szCs w:val="13"/>
                <w:color w:val="auto"/>
              </w:rPr>
              <w:t>(b)</w:t>
            </w:r>
          </w:p>
        </w:tc>
        <w:tc>
          <w:tcPr>
            <w:tcW w:w="2500" w:type="dxa"/>
            <w:vAlign w:val="bottom"/>
          </w:tcPr>
          <w:p>
            <w:pPr>
              <w:jc w:val="right"/>
              <w:spacing w:after="0"/>
              <w:rPr>
                <w:sz w:val="20"/>
                <w:szCs w:val="20"/>
                <w:color w:val="auto"/>
              </w:rPr>
            </w:pPr>
            <w:r>
              <w:rPr>
                <w:rFonts w:ascii="Arial" w:cs="Arial" w:eastAsia="Arial" w:hAnsi="Arial"/>
                <w:sz w:val="18"/>
                <w:szCs w:val="18"/>
                <w:color w:val="auto"/>
              </w:rPr>
              <w:t>2/16/2010</w:t>
            </w:r>
          </w:p>
        </w:tc>
        <w:tc>
          <w:tcPr>
            <w:tcW w:w="34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5/16/2016</w:t>
            </w:r>
          </w:p>
        </w:tc>
        <w:tc>
          <w:tcPr>
            <w:tcW w:w="340" w:type="dxa"/>
            <w:vAlign w:val="bottom"/>
          </w:tcPr>
          <w:p>
            <w:pPr>
              <w:spacing w:after="0"/>
              <w:rPr>
                <w:sz w:val="22"/>
                <w:szCs w:val="22"/>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7"/>
        </w:trPr>
        <w:tc>
          <w:tcPr>
            <w:tcW w:w="5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64"/>
        </w:trPr>
        <w:tc>
          <w:tcPr>
            <w:tcW w:w="56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2/21/2012</w:t>
            </w:r>
          </w:p>
        </w:tc>
        <w:tc>
          <w:tcPr>
            <w:tcW w:w="34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5/23/2016</w:t>
            </w:r>
          </w:p>
        </w:tc>
        <w:tc>
          <w:tcPr>
            <w:tcW w:w="34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57"/>
        </w:trPr>
        <w:tc>
          <w:tcPr>
            <w:tcW w:w="560" w:type="dxa"/>
            <w:vAlign w:val="bottom"/>
          </w:tcPr>
          <w:p>
            <w:pPr>
              <w:spacing w:after="0"/>
              <w:rPr>
                <w:sz w:val="22"/>
                <w:szCs w:val="22"/>
                <w:color w:val="auto"/>
              </w:rPr>
            </w:pPr>
          </w:p>
        </w:tc>
        <w:tc>
          <w:tcPr>
            <w:tcW w:w="250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340" w:type="dxa"/>
            <w:vAlign w:val="bottom"/>
          </w:tcPr>
          <w:p>
            <w:pPr>
              <w:ind w:left="20"/>
              <w:spacing w:after="0"/>
              <w:rPr>
                <w:sz w:val="20"/>
                <w:szCs w:val="20"/>
                <w:color w:val="auto"/>
              </w:rPr>
            </w:pPr>
            <w:r>
              <w:rPr>
                <w:rFonts w:ascii="Arial" w:cs="Arial" w:eastAsia="Arial" w:hAnsi="Arial"/>
                <w:sz w:val="13"/>
                <w:szCs w:val="13"/>
                <w:color w:val="auto"/>
              </w:rPr>
              <w:t>(c)</w:t>
            </w:r>
          </w:p>
        </w:tc>
        <w:tc>
          <w:tcPr>
            <w:tcW w:w="2500" w:type="dxa"/>
            <w:vAlign w:val="bottom"/>
          </w:tcPr>
          <w:p>
            <w:pPr>
              <w:jc w:val="right"/>
              <w:spacing w:after="0"/>
              <w:rPr>
                <w:sz w:val="20"/>
                <w:szCs w:val="20"/>
                <w:color w:val="auto"/>
              </w:rPr>
            </w:pPr>
            <w:r>
              <w:rPr>
                <w:rFonts w:ascii="Arial" w:cs="Arial" w:eastAsia="Arial" w:hAnsi="Arial"/>
                <w:sz w:val="18"/>
                <w:szCs w:val="18"/>
                <w:color w:val="auto"/>
              </w:rPr>
              <w:t>12/20/2011</w:t>
            </w:r>
          </w:p>
        </w:tc>
        <w:tc>
          <w:tcPr>
            <w:tcW w:w="34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6/20/2016</w:t>
            </w:r>
          </w:p>
        </w:tc>
        <w:tc>
          <w:tcPr>
            <w:tcW w:w="340" w:type="dxa"/>
            <w:vAlign w:val="bottom"/>
          </w:tcPr>
          <w:p>
            <w:pPr>
              <w:spacing w:after="0"/>
              <w:rPr>
                <w:sz w:val="22"/>
                <w:szCs w:val="22"/>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7"/>
        </w:trPr>
        <w:tc>
          <w:tcPr>
            <w:tcW w:w="5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64"/>
        </w:trPr>
        <w:tc>
          <w:tcPr>
            <w:tcW w:w="56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12/6/2012</w:t>
            </w:r>
          </w:p>
        </w:tc>
        <w:tc>
          <w:tcPr>
            <w:tcW w:w="34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9/6/2017</w:t>
            </w:r>
          </w:p>
        </w:tc>
        <w:tc>
          <w:tcPr>
            <w:tcW w:w="34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57"/>
        </w:trPr>
        <w:tc>
          <w:tcPr>
            <w:tcW w:w="560" w:type="dxa"/>
            <w:vAlign w:val="bottom"/>
          </w:tcPr>
          <w:p>
            <w:pPr>
              <w:spacing w:after="0"/>
              <w:rPr>
                <w:sz w:val="22"/>
                <w:szCs w:val="22"/>
                <w:color w:val="auto"/>
              </w:rPr>
            </w:pPr>
          </w:p>
        </w:tc>
        <w:tc>
          <w:tcPr>
            <w:tcW w:w="250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340" w:type="dxa"/>
            <w:vAlign w:val="bottom"/>
          </w:tcPr>
          <w:p>
            <w:pPr>
              <w:ind w:left="20"/>
              <w:spacing w:after="0"/>
              <w:rPr>
                <w:sz w:val="20"/>
                <w:szCs w:val="20"/>
                <w:color w:val="auto"/>
              </w:rPr>
            </w:pPr>
            <w:r>
              <w:rPr>
                <w:rFonts w:ascii="Arial" w:cs="Arial" w:eastAsia="Arial" w:hAnsi="Arial"/>
                <w:sz w:val="13"/>
                <w:szCs w:val="13"/>
                <w:color w:val="auto"/>
              </w:rPr>
              <w:t>(b)</w:t>
            </w:r>
          </w:p>
        </w:tc>
        <w:tc>
          <w:tcPr>
            <w:tcW w:w="2500" w:type="dxa"/>
            <w:vAlign w:val="bottom"/>
          </w:tcPr>
          <w:p>
            <w:pPr>
              <w:jc w:val="right"/>
              <w:spacing w:after="0"/>
              <w:rPr>
                <w:sz w:val="20"/>
                <w:szCs w:val="20"/>
                <w:color w:val="auto"/>
              </w:rPr>
            </w:pPr>
            <w:r>
              <w:rPr>
                <w:rFonts w:ascii="Arial" w:cs="Arial" w:eastAsia="Arial" w:hAnsi="Arial"/>
                <w:sz w:val="18"/>
                <w:szCs w:val="18"/>
                <w:color w:val="auto"/>
              </w:rPr>
              <w:t>2/7/2017</w:t>
            </w:r>
          </w:p>
        </w:tc>
        <w:tc>
          <w:tcPr>
            <w:tcW w:w="34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5/7/2019</w:t>
            </w:r>
          </w:p>
        </w:tc>
        <w:tc>
          <w:tcPr>
            <w:tcW w:w="340" w:type="dxa"/>
            <w:vAlign w:val="bottom"/>
          </w:tcPr>
          <w:p>
            <w:pPr>
              <w:spacing w:after="0"/>
              <w:rPr>
                <w:sz w:val="22"/>
                <w:szCs w:val="22"/>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7"/>
        </w:trPr>
        <w:tc>
          <w:tcPr>
            <w:tcW w:w="5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64"/>
        </w:trPr>
        <w:tc>
          <w:tcPr>
            <w:tcW w:w="56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2/7/2017</w:t>
            </w:r>
          </w:p>
        </w:tc>
        <w:tc>
          <w:tcPr>
            <w:tcW w:w="34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5/7/2019</w:t>
            </w:r>
          </w:p>
        </w:tc>
        <w:tc>
          <w:tcPr>
            <w:tcW w:w="34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57"/>
        </w:trPr>
        <w:tc>
          <w:tcPr>
            <w:tcW w:w="560" w:type="dxa"/>
            <w:vAlign w:val="bottom"/>
          </w:tcPr>
          <w:p>
            <w:pPr>
              <w:spacing w:after="0"/>
              <w:rPr>
                <w:sz w:val="22"/>
                <w:szCs w:val="22"/>
                <w:color w:val="auto"/>
              </w:rPr>
            </w:pPr>
          </w:p>
        </w:tc>
        <w:tc>
          <w:tcPr>
            <w:tcW w:w="2500" w:type="dxa"/>
            <w:vAlign w:val="bottom"/>
          </w:tcPr>
          <w:p>
            <w:pPr>
              <w:jc w:val="right"/>
              <w:ind w:right="13"/>
              <w:spacing w:after="0"/>
              <w:rPr>
                <w:sz w:val="20"/>
                <w:szCs w:val="20"/>
                <w:color w:val="auto"/>
              </w:rPr>
            </w:pPr>
            <w:r>
              <w:rPr>
                <w:rFonts w:ascii="Arial" w:cs="Arial" w:eastAsia="Arial" w:hAnsi="Arial"/>
                <w:sz w:val="18"/>
                <w:szCs w:val="18"/>
                <w:color w:val="auto"/>
              </w:rPr>
              <w:t>200</w:t>
            </w:r>
          </w:p>
        </w:tc>
        <w:tc>
          <w:tcPr>
            <w:tcW w:w="340" w:type="dxa"/>
            <w:vAlign w:val="bottom"/>
          </w:tcPr>
          <w:p>
            <w:pPr>
              <w:ind w:left="20"/>
              <w:spacing w:after="0"/>
              <w:rPr>
                <w:sz w:val="20"/>
                <w:szCs w:val="20"/>
                <w:color w:val="auto"/>
              </w:rPr>
            </w:pPr>
            <w:r>
              <w:rPr>
                <w:rFonts w:ascii="Arial" w:cs="Arial" w:eastAsia="Arial" w:hAnsi="Arial"/>
                <w:sz w:val="13"/>
                <w:szCs w:val="13"/>
                <w:color w:val="auto"/>
              </w:rPr>
              <w:t>(c)</w:t>
            </w:r>
          </w:p>
        </w:tc>
        <w:tc>
          <w:tcPr>
            <w:tcW w:w="2500" w:type="dxa"/>
            <w:vAlign w:val="bottom"/>
          </w:tcPr>
          <w:p>
            <w:pPr>
              <w:jc w:val="right"/>
              <w:spacing w:after="0"/>
              <w:rPr>
                <w:sz w:val="20"/>
                <w:szCs w:val="20"/>
                <w:color w:val="auto"/>
              </w:rPr>
            </w:pPr>
            <w:r>
              <w:rPr>
                <w:rFonts w:ascii="Arial" w:cs="Arial" w:eastAsia="Arial" w:hAnsi="Arial"/>
                <w:sz w:val="18"/>
                <w:szCs w:val="18"/>
                <w:color w:val="auto"/>
              </w:rPr>
              <w:t>12/20/2016</w:t>
            </w:r>
          </w:p>
        </w:tc>
        <w:tc>
          <w:tcPr>
            <w:tcW w:w="34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6/20/2019</w:t>
            </w:r>
          </w:p>
        </w:tc>
        <w:tc>
          <w:tcPr>
            <w:tcW w:w="340" w:type="dxa"/>
            <w:vAlign w:val="bottom"/>
          </w:tcPr>
          <w:p>
            <w:pPr>
              <w:spacing w:after="0"/>
              <w:rPr>
                <w:sz w:val="22"/>
                <w:szCs w:val="22"/>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2.12%</w:t>
            </w:r>
          </w:p>
        </w:tc>
      </w:tr>
    </w:tbl>
    <w:p>
      <w:pPr>
        <w:spacing w:after="0" w:line="229"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were, or will be, first hedged by the applicable swap agreement.</w:t>
      </w:r>
    </w:p>
    <w:p>
      <w:pPr>
        <w:spacing w:after="0" w:line="23"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 payments made during the three-month period of each year that begins with the month and day of the effective date are hedged by the swap agreement.</w:t>
      </w:r>
    </w:p>
    <w:p>
      <w:pPr>
        <w:ind w:left="660" w:hanging="652"/>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 payments made during the six-month period of each year that begins with the month and day of the effective date are hedged by the swap agreement.</w:t>
      </w:r>
    </w:p>
    <w:p>
      <w:pPr>
        <w:ind w:left="660" w:right="20" w:hanging="652"/>
        <w:spacing w:after="0" w:line="261"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 payments made during the nine-month period of each year that begins with the month and day of the effective date are hedged by the swap agreement.</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Master Accounts Receivable Purchase Agreement</w:t>
      </w:r>
    </w:p>
    <w:p>
      <w:pPr>
        <w:spacing w:after="0" w:line="9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maintains a Master Accounts Receivable Purchase Agreement (“MARP Agreement”), which is uncommitted and provides for the discretionary sale by the Company, and the discretionary purchase by the banks, on a revolving basis, of accounts receivable generated by sales to three specified account debtors in an aggregate amount not to exceed $400 million. On October 25, 2013, the Company signed an amendment to the existing MARP Agreement which extended the termination date to August 29, 2014, or such later date as may be mutually agreed by the Company and the banks party thereto. Under the amended terms of the MARP Agreement, the banks have the opportunity to purchase those accounts receivable offered by the Company at a discount (from the agreed base value thereof) effectively equal to the one-week LIBOR plus 0.75%.</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accounts for the sale of receivables under its MARP Agreement as short-term debt and continues to carry the receivables on its Consolidated Balance Sheet, primarily as a result of the Company’s right to repurchase receivables sold. There were $85.3 million of short-term borrowings as of September 30, 2013 and no short-term borrowings as of September 30, 2012 under the MARP Agreement. The carrying value of the receivables pledged as collateral was $106.7 million as of September 30, 2013.</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Estimated Fair Values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description of the methods and assumptions used to estimate the fair values of the Company’s debt instruments is as follows: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interest rate currently available to the Company fluctuates with the applicable LIBOR rate, prime rate or Federal Funds Effective Rate, and thus the carrying value is a reasonable estimate of fair value. The fair value measurement for the credit facility was classified in Level 2 of the fair value hierarchy.</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7.25% Senior Notes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fair value of the 7.25% Senior Notes can be determined based on the trading value of the 7.25% Senior Notes in the open market. The difference between the carrying value and the fair value of the 7.25% Senior Notes represents the premium or discount on that date. The fair value measurement for the 7.25% Senior Notes was classified in Level 1 of the fair value hierarchy.</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fair value of the 6.625% Senior Notes can be determined based on the trading value of the 6.625% Senior Notes in the open market. The difference between the carrying value and the fair value of the 6.625% Senior Notes represents the premium or discount on that date. The fair value measurement for the 6.625% Senior Notes was classified in Level 1 of the fair value hierarchy.</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Accounts Receivable Pledged</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interest rate on the short-term debt associated with accounts receivable pledged under the MARP Agreement fluctuates with the applicable LIBOR rate, and thus the carrying value is a reasonable estimate of fair value. The fair value measurement for the MARP agreement was classified in Level 2 of the fair value hierarchy.</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estimated fair values of the Company’s debt instruments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center"/>
              <w:ind w:right="135"/>
              <w:spacing w:after="0"/>
              <w:rPr>
                <w:sz w:val="20"/>
                <w:szCs w:val="20"/>
                <w:color w:val="auto"/>
              </w:rPr>
            </w:pPr>
            <w:r>
              <w:rPr>
                <w:rFonts w:ascii="Arial" w:cs="Arial" w:eastAsia="Arial" w:hAnsi="Arial"/>
                <w:sz w:val="14"/>
                <w:szCs w:val="14"/>
                <w:b w:val="1"/>
                <w:bCs w:val="1"/>
                <w:color w:val="auto"/>
                <w:w w:val="91"/>
              </w:rPr>
              <w:t>Year Ended September 30,</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89"/>
              </w:rPr>
              <w:t>2013</w:t>
            </w: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89"/>
              </w:rPr>
              <w:t>2012</w:t>
            </w:r>
          </w:p>
        </w:tc>
        <w:tc>
          <w:tcPr>
            <w:tcW w:w="1060" w:type="dxa"/>
            <w:vAlign w:val="bottom"/>
            <w:tcBorders>
              <w:bottom w:val="single" w:sz="8" w:color="auto"/>
            </w:tcBorders>
          </w:tcPr>
          <w:p>
            <w:pPr>
              <w:spacing w:after="0"/>
              <w:rPr>
                <w:sz w:val="22"/>
                <w:szCs w:val="22"/>
                <w:color w:val="auto"/>
              </w:rPr>
            </w:pP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ind w:right="215"/>
              <w:spacing w:after="0" w:line="153" w:lineRule="exact"/>
              <w:rPr>
                <w:sz w:val="20"/>
                <w:szCs w:val="20"/>
                <w:color w:val="auto"/>
              </w:rPr>
            </w:pPr>
            <w:r>
              <w:rPr>
                <w:rFonts w:ascii="Arial" w:cs="Arial" w:eastAsia="Arial" w:hAnsi="Arial"/>
                <w:sz w:val="14"/>
                <w:szCs w:val="14"/>
                <w:b w:val="1"/>
                <w:bCs w:val="1"/>
                <w:color w:val="auto"/>
              </w:rPr>
              <w:t>Carrying</w:t>
            </w:r>
          </w:p>
        </w:tc>
        <w:tc>
          <w:tcPr>
            <w:tcW w:w="520" w:type="dxa"/>
            <w:vAlign w:val="bottom"/>
          </w:tcPr>
          <w:p>
            <w:pPr>
              <w:spacing w:after="0"/>
              <w:rPr>
                <w:sz w:val="13"/>
                <w:szCs w:val="13"/>
                <w:color w:val="auto"/>
              </w:rPr>
            </w:pPr>
          </w:p>
        </w:tc>
        <w:tc>
          <w:tcPr>
            <w:tcW w:w="11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rPr>
              <w:t>Fair</w:t>
            </w:r>
          </w:p>
        </w:tc>
        <w:tc>
          <w:tcPr>
            <w:tcW w:w="360" w:type="dxa"/>
            <w:vAlign w:val="bottom"/>
          </w:tcPr>
          <w:p>
            <w:pPr>
              <w:spacing w:after="0"/>
              <w:rPr>
                <w:sz w:val="13"/>
                <w:szCs w:val="13"/>
                <w:color w:val="auto"/>
              </w:rPr>
            </w:pPr>
          </w:p>
        </w:tc>
        <w:tc>
          <w:tcPr>
            <w:tcW w:w="92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Carrying</w:t>
            </w:r>
          </w:p>
        </w:tc>
        <w:tc>
          <w:tcPr>
            <w:tcW w:w="500" w:type="dxa"/>
            <w:vAlign w:val="bottom"/>
          </w:tcPr>
          <w:p>
            <w:pPr>
              <w:spacing w:after="0"/>
              <w:rPr>
                <w:sz w:val="13"/>
                <w:szCs w:val="13"/>
                <w:color w:val="auto"/>
              </w:rPr>
            </w:pPr>
          </w:p>
        </w:tc>
        <w:tc>
          <w:tcPr>
            <w:tcW w:w="106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Amount</w:t>
            </w:r>
          </w:p>
        </w:tc>
        <w:tc>
          <w:tcPr>
            <w:tcW w:w="5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Amount</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Value</w:t>
            </w:r>
          </w:p>
        </w:tc>
      </w:tr>
      <w:tr>
        <w:trPr>
          <w:trHeight w:val="250"/>
        </w:trPr>
        <w:tc>
          <w:tcPr>
            <w:tcW w:w="5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20" w:type="dxa"/>
            <w:vAlign w:val="bottom"/>
            <w:gridSpan w:val="3"/>
          </w:tcPr>
          <w:p>
            <w:pPr>
              <w:jc w:val="center"/>
              <w:ind w:left="618"/>
              <w:spacing w:after="0"/>
              <w:rPr>
                <w:sz w:val="20"/>
                <w:szCs w:val="20"/>
                <w:color w:val="auto"/>
              </w:rPr>
            </w:pPr>
            <w:r>
              <w:rPr>
                <w:rFonts w:ascii="Arial" w:cs="Arial" w:eastAsia="Arial" w:hAnsi="Arial"/>
                <w:sz w:val="14"/>
                <w:szCs w:val="14"/>
                <w:b w:val="1"/>
                <w:bCs w:val="1"/>
                <w:color w:val="auto"/>
                <w:w w:val="94"/>
              </w:rPr>
              <w:t>(In millions)</w:t>
            </w: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loans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5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377.1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Senior Notes – 7.25%</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200.0</w:t>
            </w:r>
          </w:p>
        </w:tc>
        <w:tc>
          <w:tcPr>
            <w:tcW w:w="520" w:type="dxa"/>
            <w:vAlign w:val="bottom"/>
          </w:tcPr>
          <w:p>
            <w:pPr>
              <w:spacing w:after="0"/>
              <w:rPr>
                <w:sz w:val="21"/>
                <w:szCs w:val="21"/>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209.5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200.0</w:t>
            </w:r>
          </w:p>
        </w:tc>
        <w:tc>
          <w:tcPr>
            <w:tcW w:w="5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212.0</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6.625%</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213.5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217.5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Master Accounts Receivable Purchase Agreement</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85.3</w:t>
            </w:r>
          </w:p>
        </w:tc>
        <w:tc>
          <w:tcPr>
            <w:tcW w:w="520" w:type="dxa"/>
            <w:vAlign w:val="bottom"/>
          </w:tcPr>
          <w:p>
            <w:pPr>
              <w:spacing w:after="0"/>
              <w:rPr>
                <w:sz w:val="21"/>
                <w:szCs w:val="21"/>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5.5</w:t>
            </w:r>
          </w:p>
        </w:tc>
      </w:tr>
      <w:tr>
        <w:trPr>
          <w:trHeight w:val="27"/>
        </w:trPr>
        <w:tc>
          <w:tcPr>
            <w:tcW w:w="5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SHAREHOLDERS’ EQUITY</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Authorized and issued capital shares consisted of the following:</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5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Borders>
              <w:bottom w:val="single" w:sz="8" w:color="auto"/>
            </w:tcBorders>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2520" w:type="dxa"/>
            <w:vAlign w:val="bottom"/>
            <w:tcBorders>
              <w:bottom w:val="single" w:sz="8" w:color="auto"/>
            </w:tcBorders>
          </w:tcPr>
          <w:p>
            <w:pPr>
              <w:jc w:val="right"/>
              <w:ind w:right="1378"/>
              <w:spacing w:after="0"/>
              <w:rPr>
                <w:sz w:val="20"/>
                <w:szCs w:val="20"/>
                <w:color w:val="auto"/>
              </w:rPr>
            </w:pPr>
            <w:r>
              <w:rPr>
                <w:rFonts w:ascii="Arial" w:cs="Arial" w:eastAsia="Arial" w:hAnsi="Arial"/>
                <w:sz w:val="14"/>
                <w:szCs w:val="14"/>
                <w:b w:val="1"/>
                <w:bCs w:val="1"/>
                <w:color w:val="auto"/>
              </w:rPr>
              <w:t>2013</w:t>
            </w:r>
          </w:p>
        </w:tc>
        <w:tc>
          <w:tcPr>
            <w:tcW w:w="12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2012</w:t>
            </w:r>
          </w:p>
        </w:tc>
      </w:tr>
      <w:tr>
        <w:trPr>
          <w:trHeight w:val="196"/>
        </w:trPr>
        <w:tc>
          <w:tcPr>
            <w:tcW w:w="7660" w:type="dxa"/>
            <w:vAlign w:val="bottom"/>
          </w:tcPr>
          <w:p>
            <w:pPr>
              <w:spacing w:after="0"/>
              <w:rPr>
                <w:sz w:val="17"/>
                <w:szCs w:val="17"/>
                <w:color w:val="auto"/>
              </w:rPr>
            </w:pPr>
          </w:p>
        </w:tc>
        <w:tc>
          <w:tcPr>
            <w:tcW w:w="2520" w:type="dxa"/>
            <w:vAlign w:val="bottom"/>
          </w:tcPr>
          <w:p>
            <w:pPr>
              <w:jc w:val="right"/>
              <w:ind w:right="178"/>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7"/>
                <w:szCs w:val="17"/>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shares, no par value:</w:t>
            </w:r>
          </w:p>
        </w:tc>
        <w:tc>
          <w:tcPr>
            <w:tcW w:w="25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Authorized</w:t>
            </w:r>
          </w:p>
        </w:tc>
        <w:tc>
          <w:tcPr>
            <w:tcW w:w="2520" w:type="dxa"/>
            <w:vAlign w:val="bottom"/>
          </w:tcPr>
          <w:p>
            <w:pPr>
              <w:jc w:val="right"/>
              <w:ind w:right="638"/>
              <w:spacing w:after="0"/>
              <w:rPr>
                <w:sz w:val="20"/>
                <w:szCs w:val="20"/>
                <w:color w:val="auto"/>
              </w:rPr>
            </w:pPr>
            <w:r>
              <w:rPr>
                <w:rFonts w:ascii="Arial" w:cs="Arial" w:eastAsia="Arial" w:hAnsi="Arial"/>
                <w:sz w:val="18"/>
                <w:szCs w:val="18"/>
                <w:color w:val="auto"/>
              </w:rPr>
              <w:t>0.2 shares</w:t>
            </w:r>
          </w:p>
        </w:tc>
        <w:tc>
          <w:tcPr>
            <w:tcW w:w="1240" w:type="dxa"/>
            <w:vAlign w:val="bottom"/>
          </w:tcPr>
          <w:p>
            <w:pPr>
              <w:jc w:val="right"/>
              <w:spacing w:after="0"/>
              <w:rPr>
                <w:sz w:val="20"/>
                <w:szCs w:val="20"/>
                <w:color w:val="auto"/>
              </w:rPr>
            </w:pPr>
            <w:r>
              <w:rPr>
                <w:rFonts w:ascii="Arial" w:cs="Arial" w:eastAsia="Arial" w:hAnsi="Arial"/>
                <w:sz w:val="18"/>
                <w:szCs w:val="18"/>
                <w:color w:val="auto"/>
              </w:rPr>
              <w:t>0.2 shares</w:t>
            </w:r>
          </w:p>
        </w:tc>
      </w:tr>
      <w:tr>
        <w:trPr>
          <w:trHeight w:val="27"/>
        </w:trPr>
        <w:tc>
          <w:tcPr>
            <w:tcW w:w="76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Issued</w:t>
            </w:r>
          </w:p>
        </w:tc>
        <w:tc>
          <w:tcPr>
            <w:tcW w:w="2520" w:type="dxa"/>
            <w:vAlign w:val="bottom"/>
            <w:tcBorders>
              <w:bottom w:val="single" w:sz="8" w:color="CCEEFF"/>
            </w:tcBorders>
            <w:shd w:val="clear" w:color="auto" w:fill="CCEEFF"/>
          </w:tcPr>
          <w:p>
            <w:pPr>
              <w:jc w:val="right"/>
              <w:ind w:right="638"/>
              <w:spacing w:after="0"/>
              <w:rPr>
                <w:sz w:val="20"/>
                <w:szCs w:val="20"/>
                <w:color w:val="auto"/>
              </w:rPr>
            </w:pPr>
            <w:r>
              <w:rPr>
                <w:rFonts w:ascii="Arial" w:cs="Arial" w:eastAsia="Arial" w:hAnsi="Arial"/>
                <w:sz w:val="18"/>
                <w:szCs w:val="18"/>
                <w:color w:val="auto"/>
              </w:rPr>
              <w:t>0.0 shares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shares</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Common shares, no par value, $.01 stated value per share</w:t>
            </w:r>
          </w:p>
        </w:tc>
        <w:tc>
          <w:tcPr>
            <w:tcW w:w="25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Authorized</w:t>
            </w:r>
          </w:p>
        </w:tc>
        <w:tc>
          <w:tcPr>
            <w:tcW w:w="2520" w:type="dxa"/>
            <w:vAlign w:val="bottom"/>
            <w:tcBorders>
              <w:bottom w:val="single" w:sz="8" w:color="CCEEFF"/>
            </w:tcBorders>
            <w:shd w:val="clear" w:color="auto" w:fill="CCEEFF"/>
          </w:tcPr>
          <w:p>
            <w:pPr>
              <w:jc w:val="right"/>
              <w:ind w:right="638"/>
              <w:spacing w:after="0"/>
              <w:rPr>
                <w:sz w:val="20"/>
                <w:szCs w:val="20"/>
                <w:color w:val="auto"/>
              </w:rPr>
            </w:pPr>
            <w:r>
              <w:rPr>
                <w:rFonts w:ascii="Arial" w:cs="Arial" w:eastAsia="Arial" w:hAnsi="Arial"/>
                <w:sz w:val="18"/>
                <w:szCs w:val="18"/>
                <w:color w:val="auto"/>
              </w:rPr>
              <w:t>100.0 shares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shares</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Issued</w:t>
            </w:r>
          </w:p>
        </w:tc>
        <w:tc>
          <w:tcPr>
            <w:tcW w:w="2520" w:type="dxa"/>
            <w:vAlign w:val="bottom"/>
          </w:tcPr>
          <w:p>
            <w:pPr>
              <w:jc w:val="right"/>
              <w:ind w:right="638"/>
              <w:spacing w:after="0"/>
              <w:rPr>
                <w:sz w:val="20"/>
                <w:szCs w:val="20"/>
                <w:color w:val="auto"/>
              </w:rPr>
            </w:pPr>
            <w:r>
              <w:rPr>
                <w:rFonts w:ascii="Arial" w:cs="Arial" w:eastAsia="Arial" w:hAnsi="Arial"/>
                <w:sz w:val="18"/>
                <w:szCs w:val="18"/>
                <w:color w:val="auto"/>
              </w:rPr>
              <w:t>68.1 shares</w:t>
            </w:r>
          </w:p>
        </w:tc>
        <w:tc>
          <w:tcPr>
            <w:tcW w:w="1240" w:type="dxa"/>
            <w:vAlign w:val="bottom"/>
          </w:tcPr>
          <w:p>
            <w:pPr>
              <w:jc w:val="right"/>
              <w:spacing w:after="0"/>
              <w:rPr>
                <w:sz w:val="20"/>
                <w:szCs w:val="20"/>
                <w:color w:val="auto"/>
              </w:rPr>
            </w:pPr>
            <w:r>
              <w:rPr>
                <w:rFonts w:ascii="Arial" w:cs="Arial" w:eastAsia="Arial" w:hAnsi="Arial"/>
                <w:sz w:val="18"/>
                <w:szCs w:val="18"/>
                <w:color w:val="auto"/>
              </w:rPr>
              <w:t>68.1 shares</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1" w:right="239" w:bottom="1440" w:gutter="0" w:footer="0" w:header="0"/>
          <w:type w:val="continuous"/>
        </w:sectPr>
      </w:pPr>
    </w:p>
    <w:bookmarkStart w:id="77" w:name="page78"/>
    <w:bookmarkEnd w:id="77"/>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fiscal 1995, The Scotts Company merged with Stern’s Miracle-Gro Products, Inc. (“Miracle-Gro”). At September 30, 2013, the former shareholders of Miracle-Gro, including Hagedorn Partnership L.P., owned approximately 27% of Scotts Miracle-Gro’s outstanding common shares and, thus, have the ability to significantly influence the election of directors and other actions requiring the approval of Scotts Miracle-Gro’s shareholders.</w:t>
      </w:r>
    </w:p>
    <w:p>
      <w:pPr>
        <w:spacing w:after="0" w:line="11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Under the terms of the merger agreement with Miracle-Gro, the former shareholders of Miracle-Gro may not collectively acquire, directly or indirectly, beneficial ownership of Voting Stock (as that term is defined in the Miracle-Gro merger agreement)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Scotts Miracle-Gro other than the former shareholders of Miracle-Gro and their affiliates and associates.</w:t>
      </w:r>
    </w:p>
    <w:p>
      <w:pPr>
        <w:spacing w:after="0" w:line="139"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In August 2010, the Scotts Miracle-Gro Board of Directors authorized the repurchase of up to $500 million of Scotts Miracle-Gro’s common shares (the “Common Shares”) over a four-year period through September 30, 2014. On May 4, 2011, the Scotts Miracle-Gro Board of Directors authorized the repurchase of up to an additional $200 million of the Common Shares, resulting in authority to repurchase up to a total of $700 million of the Common Shares through September 30, 2014. The authorization provides the Company with flexibility to purchase the Common Shares from time to time in open market purchases or through privately negotiated transactions. All or part of the repurchases may be made under Rule 10b5-1 plans, which the Company may enter from time to time and which enable the repurchases to occur on a more regular basis, or pursuant to accelerated share repurchases. The share repurchase authorization, which expires September 30, 2014, may be suspended or discontinued at any time, and there can be no guarantee as to the timing or amount of any repurchases. Since the inception of this program in the fourth quarter of fiscal 2010 through September 30, 2013, Scotts Miracle-Gro has repurchased approximately 7.8 million Common Shares for $401.2 million to be held in treasury. Common Shares held in treasury totaling 0.7 million and 1.1 million were reissued in support of share-based compensation awards and employee purchases under the employee stock purchase plan during fiscal 2013 and fiscal 2012, respectively.</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90"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Scotts Miracle-Gro grants share-based awards annually to officers, certain other employees of the Company and non-employee directors of Scotts Miracle-Gro. The share-based awards have consisted of stock options, restricted stock, restricted stock units, deferred stock units and performance-based awards. Stock appreciation rights (“SARs”) have been granted, though not in recent years. SARs result in less dilution than stock options as the SAR holder receives a net share settlement upon exercise. All of these share-based awards have been made under plans approved by the shareholders. Generally, employee share-based awards provide for three-year cliff vesting. Vesting for non-employee director awards varies based on the length of service and age of each director at the time of the award. Vesting of performance-based awards are dependent on service and achievement of specified performance targets. Share-based awards are forfeited if a holder terminates employment or service with the Company prior to the vesting date. The Company estimates that 15% of its share-based awards will be forfeited based on an analysis of historical trends. This assumption is re-evaluated on an annual basis and adjusted as appropriate. Stock options and SAR awards have exercise prices equal to the market price of the underlying common shares on the date of grant with a term of 10 years. If available, Scotts Miracle-Gro will typically use treasury shares, or if not available, newly-issued Common Shares, in satisfaction of its share-based awards.</w:t>
      </w:r>
    </w:p>
    <w:p>
      <w:pPr>
        <w:spacing w:after="0" w:line="12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A maximum of 23 million Common Shares are available for issuance under share-based award plans. At September 30, 2013, approximately 3.3 million Common Shares were not subject to outstanding awards and were available to underlie the grant of new share-based awards.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recap of the share-based awards granted during the periods indicated: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September 30,</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Options</w:t>
            </w:r>
          </w:p>
        </w:tc>
        <w:tc>
          <w:tcPr>
            <w:tcW w:w="11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464,061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429,700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stock units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178,030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107,373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65,939</w:t>
            </w: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Performance units</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178,321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110,079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53,874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Board of Directors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Deferred stock units</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33,253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30,943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30,296</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share-based awards</w:t>
            </w:r>
          </w:p>
        </w:tc>
        <w:tc>
          <w:tcPr>
            <w:tcW w:w="1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389,604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712,456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579,809</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Aggregate fair value at grant dates (in millions)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20" w:type="dxa"/>
            <w:vAlign w:val="bottom"/>
            <w:vMerge w:val="continue"/>
          </w:tcPr>
          <w:p>
            <w:pPr>
              <w:spacing w:after="0"/>
              <w:rPr>
                <w:sz w:val="19"/>
                <w:szCs w:val="19"/>
                <w:color w:val="auto"/>
              </w:rPr>
            </w:pPr>
          </w:p>
        </w:tc>
        <w:tc>
          <w:tcPr>
            <w:tcW w:w="1100" w:type="dxa"/>
            <w:vAlign w:val="bottom"/>
          </w:tcPr>
          <w:p>
            <w:pPr>
              <w:jc w:val="right"/>
              <w:ind w:right="899"/>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440" w:type="dxa"/>
            <w:vAlign w:val="bottom"/>
          </w:tcPr>
          <w:p>
            <w:pPr>
              <w:jc w:val="right"/>
              <w:ind w:right="239"/>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share-based compensation was as follows for the periods indicated:</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4"/>
                <w:szCs w:val="14"/>
                <w:b w:val="1"/>
                <w:bCs w:val="1"/>
                <w:color w:val="auto"/>
                <w:w w:val="92"/>
              </w:rPr>
              <w:t>Year Ended September 30,</w:t>
            </w:r>
          </w:p>
        </w:tc>
        <w:tc>
          <w:tcPr>
            <w:tcW w:w="5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00" w:type="dxa"/>
            <w:vAlign w:val="bottom"/>
          </w:tcPr>
          <w:p>
            <w:pPr>
              <w:spacing w:after="0"/>
              <w:rPr>
                <w:sz w:val="22"/>
                <w:szCs w:val="22"/>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b w:val="1"/>
                <w:bCs w:val="1"/>
                <w:color w:val="auto"/>
                <w:w w:val="89"/>
              </w:rPr>
              <w:t>2012</w:t>
            </w:r>
          </w:p>
        </w:tc>
        <w:tc>
          <w:tcPr>
            <w:tcW w:w="5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2011</w:t>
            </w:r>
          </w:p>
        </w:tc>
      </w:tr>
      <w:tr>
        <w:trPr>
          <w:trHeight w:val="250"/>
        </w:trPr>
        <w:tc>
          <w:tcPr>
            <w:tcW w:w="57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center"/>
              <w:ind w:right="239"/>
              <w:spacing w:after="0"/>
              <w:rPr>
                <w:sz w:val="20"/>
                <w:szCs w:val="20"/>
                <w:color w:val="auto"/>
              </w:rPr>
            </w:pPr>
            <w:r>
              <w:rPr>
                <w:rFonts w:ascii="Arial" w:cs="Arial" w:eastAsia="Arial" w:hAnsi="Arial"/>
                <w:sz w:val="14"/>
                <w:szCs w:val="14"/>
                <w:b w:val="1"/>
                <w:bCs w:val="1"/>
                <w:color w:val="auto"/>
                <w:w w:val="96"/>
              </w:rPr>
              <w:t>(In millions)</w:t>
            </w:r>
          </w:p>
        </w:tc>
        <w:tc>
          <w:tcPr>
            <w:tcW w:w="5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12.5</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16.0</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Tax benefit recognized</w:t>
            </w:r>
          </w:p>
        </w:tc>
        <w:tc>
          <w:tcPr>
            <w:tcW w:w="12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420" w:type="dxa"/>
            <w:vAlign w:val="bottom"/>
          </w:tcPr>
          <w:p>
            <w:pPr>
              <w:spacing w:after="0"/>
              <w:rPr>
                <w:sz w:val="21"/>
                <w:szCs w:val="21"/>
                <w:color w:val="auto"/>
              </w:rPr>
            </w:pPr>
          </w:p>
        </w:tc>
        <w:tc>
          <w:tcPr>
            <w:tcW w:w="1520" w:type="dxa"/>
            <w:vAlign w:val="bottom"/>
          </w:tcPr>
          <w:p>
            <w:pPr>
              <w:jc w:val="right"/>
              <w:ind w:right="59"/>
              <w:spacing w:after="0"/>
              <w:rPr>
                <w:sz w:val="20"/>
                <w:szCs w:val="20"/>
                <w:color w:val="auto"/>
              </w:rPr>
            </w:pPr>
            <w:r>
              <w:rPr>
                <w:rFonts w:ascii="Arial" w:cs="Arial" w:eastAsia="Arial" w:hAnsi="Arial"/>
                <w:sz w:val="18"/>
                <w:szCs w:val="18"/>
                <w:color w:val="auto"/>
              </w:rPr>
              <w:t>4.8</w:t>
            </w:r>
          </w:p>
        </w:tc>
        <w:tc>
          <w:tcPr>
            <w:tcW w:w="5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6.2</w:t>
            </w:r>
          </w:p>
        </w:tc>
      </w:tr>
    </w:tbl>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September 30, 2013, total unrecognized compensation cost related to non-vested share-based awards amounted to $10.7 million. This cost is expected to be recognized over a weighted-average period of 1.9 years. The tax benefit realized from the tax deductions associated with the exercise of share-based awards and the vesting of restricted stock totaled $4.5 million for fiscal 2013.</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Options/SARs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Aggregate stock option and SARs activity consisted of the following for the year ended September 30, 2013 (options/SARs in millions):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tcPr>
          <w:p>
            <w:pPr>
              <w:jc w:val="center"/>
              <w:ind w:right="357"/>
              <w:spacing w:after="0"/>
              <w:rPr>
                <w:sz w:val="20"/>
                <w:szCs w:val="20"/>
                <w:color w:val="auto"/>
              </w:rPr>
            </w:pPr>
            <w:r>
              <w:rPr>
                <w:rFonts w:ascii="Arial" w:cs="Arial" w:eastAsia="Arial" w:hAnsi="Arial"/>
                <w:sz w:val="14"/>
                <w:szCs w:val="14"/>
                <w:b w:val="1"/>
                <w:bCs w:val="1"/>
                <w:color w:val="auto"/>
              </w:rPr>
              <w:t>WTD.</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560" w:type="dxa"/>
            <w:vAlign w:val="bottom"/>
            <w:vMerge w:val="restart"/>
          </w:tcPr>
          <w:p>
            <w:pPr>
              <w:jc w:val="center"/>
              <w:ind w:left="428"/>
              <w:spacing w:after="0"/>
              <w:rPr>
                <w:sz w:val="20"/>
                <w:szCs w:val="20"/>
                <w:color w:val="auto"/>
              </w:rPr>
            </w:pPr>
            <w:r>
              <w:rPr>
                <w:rFonts w:ascii="Arial" w:cs="Arial" w:eastAsia="Arial" w:hAnsi="Arial"/>
                <w:sz w:val="14"/>
                <w:szCs w:val="14"/>
                <w:b w:val="1"/>
                <w:bCs w:val="1"/>
                <w:color w:val="auto"/>
                <w:w w:val="95"/>
              </w:rPr>
              <w:t>No. of</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20" w:type="dxa"/>
            <w:vAlign w:val="bottom"/>
          </w:tcPr>
          <w:p>
            <w:pPr>
              <w:jc w:val="center"/>
              <w:ind w:right="337"/>
              <w:spacing w:after="0" w:line="149" w:lineRule="exact"/>
              <w:rPr>
                <w:sz w:val="20"/>
                <w:szCs w:val="20"/>
                <w:color w:val="auto"/>
              </w:rPr>
            </w:pPr>
            <w:r>
              <w:rPr>
                <w:rFonts w:ascii="Arial" w:cs="Arial" w:eastAsia="Arial" w:hAnsi="Arial"/>
                <w:sz w:val="14"/>
                <w:szCs w:val="14"/>
                <w:b w:val="1"/>
                <w:bCs w:val="1"/>
                <w:color w:val="auto"/>
                <w:w w:val="92"/>
              </w:rPr>
              <w:t>Avg.</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20" w:type="dxa"/>
            <w:vAlign w:val="bottom"/>
          </w:tcPr>
          <w:p>
            <w:pPr>
              <w:jc w:val="center"/>
              <w:ind w:right="33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1"/>
              </w:rPr>
              <w:t>Options/SARs</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5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37.28</w:t>
            </w:r>
          </w:p>
        </w:tc>
        <w:tc>
          <w:tcPr>
            <w:tcW w:w="0" w:type="dxa"/>
            <w:vAlign w:val="bottom"/>
          </w:tcPr>
          <w:p>
            <w:pPr>
              <w:spacing w:after="0"/>
              <w:rPr>
                <w:sz w:val="1"/>
                <w:szCs w:val="1"/>
                <w:color w:val="auto"/>
              </w:rPr>
            </w:pPr>
          </w:p>
        </w:tc>
      </w:tr>
      <w:tr>
        <w:trPr>
          <w:trHeight w:val="243"/>
        </w:trPr>
        <w:tc>
          <w:tcPr>
            <w:tcW w:w="87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31.88</w:t>
            </w:r>
          </w:p>
        </w:tc>
        <w:tc>
          <w:tcPr>
            <w:tcW w:w="0" w:type="dxa"/>
            <w:vAlign w:val="bottom"/>
          </w:tcPr>
          <w:p>
            <w:pPr>
              <w:spacing w:after="0"/>
              <w:rPr>
                <w:sz w:val="1"/>
                <w:szCs w:val="1"/>
                <w:color w:val="auto"/>
              </w:rPr>
            </w:pPr>
          </w:p>
        </w:tc>
      </w:tr>
      <w:tr>
        <w:trPr>
          <w:trHeight w:val="243"/>
        </w:trPr>
        <w:tc>
          <w:tcPr>
            <w:tcW w:w="876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49.50</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56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40"/>
              <w:spacing w:after="0"/>
              <w:rPr>
                <w:sz w:val="20"/>
                <w:szCs w:val="20"/>
                <w:color w:val="auto"/>
              </w:rPr>
            </w:pPr>
            <w:r>
              <w:rPr>
                <w:rFonts w:ascii="Arial" w:cs="Arial" w:eastAsia="Arial" w:hAnsi="Arial"/>
                <w:sz w:val="18"/>
                <w:szCs w:val="18"/>
                <w:color w:val="auto"/>
              </w:rPr>
              <w:t>Exercisable</w:t>
            </w:r>
          </w:p>
        </w:tc>
        <w:tc>
          <w:tcPr>
            <w:tcW w:w="1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vMerge w:val="continue"/>
          </w:tcPr>
          <w:p>
            <w:pPr>
              <w:spacing w:after="0"/>
              <w:rPr>
                <w:sz w:val="20"/>
                <w:szCs w:val="20"/>
                <w:color w:val="auto"/>
              </w:rPr>
            </w:pPr>
          </w:p>
        </w:tc>
        <w:tc>
          <w:tcPr>
            <w:tcW w:w="156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33.53</w:t>
            </w:r>
          </w:p>
        </w:tc>
        <w:tc>
          <w:tcPr>
            <w:tcW w:w="0" w:type="dxa"/>
            <w:vAlign w:val="bottom"/>
          </w:tcPr>
          <w:p>
            <w:pPr>
              <w:spacing w:after="0"/>
              <w:rPr>
                <w:sz w:val="1"/>
                <w:szCs w:val="1"/>
                <w:color w:val="auto"/>
              </w:rPr>
            </w:pPr>
          </w:p>
        </w:tc>
      </w:tr>
      <w:tr>
        <w:trPr>
          <w:trHeight w:val="702"/>
        </w:trPr>
        <w:tc>
          <w:tcPr>
            <w:tcW w:w="7200" w:type="dxa"/>
            <w:vAlign w:val="bottom"/>
          </w:tcPr>
          <w:p>
            <w:pPr>
              <w:ind w:left="5620"/>
              <w:spacing w:after="0"/>
              <w:rPr>
                <w:sz w:val="20"/>
                <w:szCs w:val="20"/>
                <w:color w:val="auto"/>
              </w:rPr>
            </w:pPr>
            <w:r>
              <w:rPr>
                <w:rFonts w:ascii="Arial" w:cs="Arial" w:eastAsia="Arial" w:hAnsi="Arial"/>
                <w:sz w:val="18"/>
                <w:szCs w:val="18"/>
                <w:color w:val="auto"/>
              </w:rPr>
              <w:t>79</w:t>
            </w: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September 30, 2013, the Company expects 0.7 million stock options (after forfeitures), with a weighted-average exercise price of $49.57, intrinsic value of $3.7 million and average remaining term of 7.8 years, to vest in the future. The following summarizes certain information pertaining to stock option and SAR awards outstanding and exercisable at September 30, 2013 (options/SARs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Awards Outstanding</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Awards Exercisable</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No. of</w:t>
            </w:r>
          </w:p>
        </w:tc>
        <w:tc>
          <w:tcPr>
            <w:tcW w:w="120" w:type="dxa"/>
            <w:vAlign w:val="bottom"/>
          </w:tcPr>
          <w:p>
            <w:pPr>
              <w:spacing w:after="0"/>
              <w:rPr>
                <w:sz w:val="13"/>
                <w:szCs w:val="13"/>
                <w:color w:val="auto"/>
              </w:rPr>
            </w:pP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WTD.</w:t>
            </w: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WTD.</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No. of</w:t>
            </w: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WTD.</w:t>
            </w:r>
          </w:p>
        </w:tc>
        <w:tc>
          <w:tcPr>
            <w:tcW w:w="220" w:type="dxa"/>
            <w:vAlign w:val="bottom"/>
          </w:tcPr>
          <w:p>
            <w:pPr>
              <w:spacing w:after="0"/>
              <w:rPr>
                <w:sz w:val="13"/>
                <w:szCs w:val="13"/>
                <w:color w:val="auto"/>
              </w:rPr>
            </w:pPr>
          </w:p>
        </w:tc>
        <w:tc>
          <w:tcPr>
            <w:tcW w:w="920" w:type="dxa"/>
            <w:vAlign w:val="bottom"/>
          </w:tcPr>
          <w:p>
            <w:pPr>
              <w:jc w:val="center"/>
              <w:ind w:right="137"/>
              <w:spacing w:after="0" w:line="153" w:lineRule="exact"/>
              <w:rPr>
                <w:sz w:val="20"/>
                <w:szCs w:val="20"/>
                <w:color w:val="auto"/>
              </w:rPr>
            </w:pPr>
            <w:r>
              <w:rPr>
                <w:rFonts w:ascii="Arial" w:cs="Arial" w:eastAsia="Arial" w:hAnsi="Arial"/>
                <w:sz w:val="14"/>
                <w:szCs w:val="14"/>
                <w:b w:val="1"/>
                <w:bCs w:val="1"/>
                <w:color w:val="auto"/>
              </w:rPr>
              <w:t>WTD.</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Range of</w:t>
            </w: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Avg.</w:t>
            </w:r>
          </w:p>
        </w:tc>
        <w:tc>
          <w:tcPr>
            <w:tcW w:w="2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Avg.</w:t>
            </w: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Avg.</w:t>
            </w:r>
          </w:p>
        </w:tc>
        <w:tc>
          <w:tcPr>
            <w:tcW w:w="220" w:type="dxa"/>
            <w:vAlign w:val="bottom"/>
          </w:tcPr>
          <w:p>
            <w:pPr>
              <w:spacing w:after="0"/>
              <w:rPr>
                <w:sz w:val="12"/>
                <w:szCs w:val="12"/>
                <w:color w:val="auto"/>
              </w:rPr>
            </w:pPr>
          </w:p>
        </w:tc>
        <w:tc>
          <w:tcPr>
            <w:tcW w:w="9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85"/>
              </w:rPr>
              <w:t>Avg.</w:t>
            </w:r>
          </w:p>
        </w:tc>
        <w:tc>
          <w:tcPr>
            <w:tcW w:w="0" w:type="dxa"/>
            <w:vAlign w:val="bottom"/>
          </w:tcPr>
          <w:p>
            <w:pPr>
              <w:spacing w:after="0"/>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12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Options/</w:t>
            </w: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92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SARs</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SARS</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$20.12 – $21.65</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21.65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$24.45 – $28.72</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0.2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24.72</w:t>
            </w:r>
          </w:p>
        </w:tc>
        <w:tc>
          <w:tcPr>
            <w:tcW w:w="10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0.2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$29.01 – $31.62</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29.16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29.16</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$33.25 – $37.48</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0.3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35.80</w:t>
            </w:r>
          </w:p>
        </w:tc>
        <w:tc>
          <w:tcPr>
            <w:tcW w:w="10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0.3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35.80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$37.89 – $38.90</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0.6</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38.56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38.56</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$40.81 – $51.73</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47.32</w:t>
            </w:r>
          </w:p>
        </w:tc>
        <w:tc>
          <w:tcPr>
            <w:tcW w:w="10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0.3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42.55</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2.7</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37.60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33.53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intrinsic value of the stock option and SAR awards outstanding and exercisable at September 30 were as follows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16"/>
              <w:spacing w:after="0"/>
              <w:rPr>
                <w:sz w:val="20"/>
                <w:szCs w:val="20"/>
                <w:color w:val="auto"/>
              </w:rPr>
            </w:pPr>
            <w:r>
              <w:rPr>
                <w:rFonts w:ascii="Arial" w:cs="Arial" w:eastAsia="Arial" w:hAnsi="Arial"/>
                <w:sz w:val="14"/>
                <w:szCs w:val="14"/>
                <w:b w:val="1"/>
                <w:bCs w:val="1"/>
                <w:color w:val="auto"/>
              </w:rPr>
              <w:t>2013</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47.2</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Exercisable</w:t>
            </w:r>
          </w:p>
        </w:tc>
        <w:tc>
          <w:tcPr>
            <w:tcW w:w="560" w:type="dxa"/>
            <w:vAlign w:val="bottom"/>
          </w:tcPr>
          <w:p>
            <w:pPr>
              <w:spacing w:after="0"/>
              <w:rPr>
                <w:sz w:val="21"/>
                <w:szCs w:val="21"/>
                <w:color w:val="auto"/>
              </w:rPr>
            </w:pP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43.4</w:t>
            </w:r>
          </w:p>
        </w:tc>
      </w:tr>
    </w:tbl>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grant date fair value of stock option awards are estimated using a binomial model and the assumptions in the following table. Expected market price volatility is based on implied volatilities from traded options on Scotts Miracle-Gro’s common shares and historical volatility specific to the common shares. Historical data, including demographic factors impacting historical exercise behavior, is used to estimate stock option exercises and employee terminations within the valuation model. The risk-free rate for periods within the contractual life (normally ten years) of the stock option is based on the U.S. Treasury yield curve in effect at the time of grant. The expected life of stock options is based on historical experience and expectations for grants outstanding. No stock options awards were granted in fiscal 2013. The weighted average assumptions for awards granted in fiscal 2012 and 2011 are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w w:val="93"/>
              </w:rPr>
              <w:t>Year Ended September 30,</w:t>
            </w:r>
          </w:p>
        </w:tc>
        <w:tc>
          <w:tcPr>
            <w:tcW w:w="112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8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w w:val="96"/>
              </w:rPr>
              <w:t>2011</w:t>
            </w: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market price volatility</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Risk-free interest rates</w:t>
            </w:r>
          </w:p>
        </w:tc>
        <w:tc>
          <w:tcPr>
            <w:tcW w:w="18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Expected life of stock options in years</w:t>
            </w:r>
          </w:p>
        </w:tc>
        <w:tc>
          <w:tcPr>
            <w:tcW w:w="1880" w:type="dxa"/>
            <w:vAlign w:val="bottom"/>
          </w:tcPr>
          <w:p>
            <w:pPr>
              <w:jc w:val="right"/>
              <w:ind w:right="115"/>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5.97</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7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Estimated weighted-average fair value per stock option</w:t>
            </w:r>
          </w:p>
        </w:tc>
        <w:tc>
          <w:tcPr>
            <w:tcW w:w="18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14.06</w:t>
            </w:r>
          </w:p>
        </w:tc>
      </w:tr>
      <w:tr>
        <w:trPr>
          <w:trHeight w:val="27"/>
        </w:trPr>
        <w:tc>
          <w:tcPr>
            <w:tcW w:w="7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The total intrinsic value of stock options exercised was $8.1 million, $23.9 million and $22.4 million during fiscal 2013, fiscal 2012 and fiscal 2011, respectively. Cash received from the exercise of stock options for fiscal 2013 and fiscal 2012 was $13.3 million and $17.6 million,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share-based awards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share-based award activity (including restricted stock, restricted stock units and deferred stock units)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jc w:val="center"/>
              <w:ind w:right="294"/>
              <w:spacing w:after="0"/>
              <w:rPr>
                <w:sz w:val="20"/>
                <w:szCs w:val="20"/>
                <w:color w:val="auto"/>
              </w:rPr>
            </w:pPr>
            <w:r>
              <w:rPr>
                <w:rFonts w:ascii="Arial" w:cs="Arial" w:eastAsia="Arial" w:hAnsi="Arial"/>
                <w:sz w:val="14"/>
                <w:szCs w:val="14"/>
                <w:b w:val="1"/>
                <w:bCs w:val="1"/>
                <w:color w:val="auto"/>
                <w:w w:val="97"/>
              </w:rPr>
              <w:t>WTD. Avg.</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280" w:type="dxa"/>
            <w:vAlign w:val="bottom"/>
            <w:vMerge w:val="restart"/>
          </w:tcPr>
          <w:p>
            <w:pPr>
              <w:jc w:val="center"/>
              <w:ind w:left="708"/>
              <w:spacing w:after="0"/>
              <w:rPr>
                <w:sz w:val="20"/>
                <w:szCs w:val="20"/>
                <w:color w:val="auto"/>
              </w:rPr>
            </w:pPr>
            <w:r>
              <w:rPr>
                <w:rFonts w:ascii="Arial" w:cs="Arial" w:eastAsia="Arial" w:hAnsi="Arial"/>
                <w:sz w:val="14"/>
                <w:szCs w:val="14"/>
                <w:b w:val="1"/>
                <w:bCs w:val="1"/>
                <w:color w:val="auto"/>
                <w:w w:val="95"/>
              </w:rPr>
              <w:t>No. of</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tcPr>
          <w:p>
            <w:pPr>
              <w:jc w:val="center"/>
              <w:ind w:right="314"/>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tcPr>
          <w:p>
            <w:pPr>
              <w:jc w:val="center"/>
              <w:ind w:right="294"/>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ind w:left="708"/>
              <w:spacing w:after="0"/>
              <w:rPr>
                <w:sz w:val="20"/>
                <w:szCs w:val="20"/>
                <w:color w:val="auto"/>
              </w:rPr>
            </w:pPr>
            <w:r>
              <w:rPr>
                <w:rFonts w:ascii="Arial" w:cs="Arial" w:eastAsia="Arial" w:hAnsi="Arial"/>
                <w:sz w:val="14"/>
                <w:szCs w:val="14"/>
                <w:b w:val="1"/>
                <w:bCs w:val="1"/>
                <w:color w:val="auto"/>
                <w:w w:val="89"/>
              </w:rPr>
              <w:t>Shares</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2010</w:t>
            </w: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840,426</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33.52</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96,235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51.99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(136,355)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780" w:type="dxa"/>
            <w:vAlign w:val="bottom"/>
          </w:tcPr>
          <w:p>
            <w:pPr>
              <w:jc w:val="right"/>
              <w:spacing w:after="0"/>
              <w:rPr>
                <w:sz w:val="20"/>
                <w:szCs w:val="20"/>
                <w:color w:val="auto"/>
              </w:rPr>
            </w:pPr>
            <w:r>
              <w:rPr>
                <w:rFonts w:ascii="Arial" w:cs="Arial" w:eastAsia="Arial" w:hAnsi="Arial"/>
                <w:sz w:val="18"/>
                <w:szCs w:val="18"/>
                <w:color w:val="auto"/>
                <w:w w:val="93"/>
              </w:rPr>
              <w:t>(103,400)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32.76</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2011</w:t>
            </w: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696,906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138,316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47.53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(301,132)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780" w:type="dxa"/>
            <w:vAlign w:val="bottom"/>
          </w:tcPr>
          <w:p>
            <w:pPr>
              <w:jc w:val="right"/>
              <w:spacing w:after="0"/>
              <w:rPr>
                <w:sz w:val="20"/>
                <w:szCs w:val="20"/>
                <w:color w:val="auto"/>
              </w:rPr>
            </w:pPr>
            <w:r>
              <w:rPr>
                <w:rFonts w:ascii="Arial" w:cs="Arial" w:eastAsia="Arial" w:hAnsi="Arial"/>
                <w:sz w:val="18"/>
                <w:szCs w:val="18"/>
                <w:color w:val="auto"/>
              </w:rPr>
              <w:t>(36,891)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45.28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2012</w:t>
            </w: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497,199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45.75</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211,283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44.80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(251,855)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40.87</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780" w:type="dxa"/>
            <w:vAlign w:val="bottom"/>
          </w:tcPr>
          <w:p>
            <w:pPr>
              <w:jc w:val="right"/>
              <w:spacing w:after="0"/>
              <w:rPr>
                <w:sz w:val="20"/>
                <w:szCs w:val="20"/>
                <w:color w:val="auto"/>
              </w:rPr>
            </w:pPr>
            <w:r>
              <w:rPr>
                <w:rFonts w:ascii="Arial" w:cs="Arial" w:eastAsia="Arial" w:hAnsi="Arial"/>
                <w:sz w:val="18"/>
                <w:szCs w:val="18"/>
                <w:color w:val="auto"/>
              </w:rPr>
              <w:t>(46,976)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53.54</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2013</w:t>
            </w:r>
          </w:p>
        </w:tc>
        <w:tc>
          <w:tcPr>
            <w:tcW w:w="12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409,651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47.36</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total fair value of restricted stock units vested was $10.3 million, $3.1 million and $0.6 million during fiscal 2013, fiscal 2012 and fiscal 2011, respectively. The total fair value of restricted stock vested was $3.6 million and $4.6 million during fiscal 2012 and fiscal 2011, respectively. The Company has no outstanding restricted stock as of September 30, 2012.</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Performance-based award activity was as follows:</w:t>
      </w:r>
    </w:p>
    <w:p>
      <w:pPr>
        <w:spacing w:after="0" w:line="1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jc w:val="center"/>
              <w:ind w:right="274"/>
              <w:spacing w:after="0"/>
              <w:rPr>
                <w:sz w:val="20"/>
                <w:szCs w:val="20"/>
                <w:color w:val="auto"/>
              </w:rPr>
            </w:pPr>
            <w:r>
              <w:rPr>
                <w:rFonts w:ascii="Arial" w:cs="Arial" w:eastAsia="Arial" w:hAnsi="Arial"/>
                <w:sz w:val="14"/>
                <w:szCs w:val="14"/>
                <w:b w:val="1"/>
                <w:bCs w:val="1"/>
                <w:color w:val="auto"/>
                <w:w w:val="97"/>
              </w:rPr>
              <w:t>WTD. Avg.</w:t>
            </w:r>
          </w:p>
        </w:tc>
        <w:tc>
          <w:tcPr>
            <w:tcW w:w="0" w:type="dxa"/>
            <w:vAlign w:val="bottom"/>
          </w:tcPr>
          <w:p>
            <w:pPr>
              <w:spacing w:after="0"/>
              <w:rPr>
                <w:sz w:val="1"/>
                <w:szCs w:val="1"/>
                <w:color w:val="auto"/>
              </w:rPr>
            </w:pPr>
          </w:p>
        </w:tc>
      </w:tr>
      <w:tr>
        <w:trPr>
          <w:trHeight w:val="149"/>
        </w:trPr>
        <w:tc>
          <w:tcPr>
            <w:tcW w:w="7340" w:type="dxa"/>
            <w:vAlign w:val="bottom"/>
          </w:tcPr>
          <w:p>
            <w:pPr>
              <w:spacing w:after="0"/>
              <w:rPr>
                <w:sz w:val="12"/>
                <w:szCs w:val="12"/>
                <w:color w:val="auto"/>
              </w:rPr>
            </w:pPr>
          </w:p>
        </w:tc>
        <w:tc>
          <w:tcPr>
            <w:tcW w:w="1180" w:type="dxa"/>
            <w:vAlign w:val="bottom"/>
            <w:vMerge w:val="restart"/>
          </w:tcPr>
          <w:p>
            <w:pPr>
              <w:ind w:left="780"/>
              <w:spacing w:after="0"/>
              <w:rPr>
                <w:sz w:val="20"/>
                <w:szCs w:val="20"/>
                <w:color w:val="auto"/>
              </w:rPr>
            </w:pPr>
            <w:r>
              <w:rPr>
                <w:rFonts w:ascii="Arial" w:cs="Arial" w:eastAsia="Arial" w:hAnsi="Arial"/>
                <w:sz w:val="14"/>
                <w:szCs w:val="14"/>
                <w:b w:val="1"/>
                <w:bCs w:val="1"/>
                <w:color w:val="auto"/>
                <w:w w:val="95"/>
              </w:rPr>
              <w:t>No. of</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jc w:val="center"/>
              <w:ind w:right="254"/>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73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jc w:val="center"/>
              <w:ind w:right="274"/>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73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Units</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98"/>
              </w:rPr>
              <w:t>per Unit</w:t>
            </w:r>
          </w:p>
        </w:tc>
        <w:tc>
          <w:tcPr>
            <w:tcW w:w="0" w:type="dxa"/>
            <w:vAlign w:val="bottom"/>
          </w:tcPr>
          <w:p>
            <w:pPr>
              <w:spacing w:after="0"/>
              <w:rPr>
                <w:sz w:val="1"/>
                <w:szCs w:val="1"/>
                <w:color w:val="auto"/>
              </w:rPr>
            </w:pPr>
          </w:p>
        </w:tc>
      </w:tr>
      <w:tr>
        <w:trPr>
          <w:trHeight w:val="250"/>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2010</w:t>
            </w:r>
          </w:p>
        </w:tc>
        <w:tc>
          <w:tcPr>
            <w:tcW w:w="1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24,200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29.85</w:t>
            </w:r>
          </w:p>
        </w:tc>
        <w:tc>
          <w:tcPr>
            <w:tcW w:w="0" w:type="dxa"/>
            <w:vAlign w:val="bottom"/>
          </w:tcPr>
          <w:p>
            <w:pPr>
              <w:spacing w:after="0"/>
              <w:rPr>
                <w:sz w:val="1"/>
                <w:szCs w:val="1"/>
                <w:color w:val="auto"/>
              </w:rPr>
            </w:pPr>
          </w:p>
        </w:tc>
      </w:tr>
      <w:tr>
        <w:trPr>
          <w:trHeight w:val="243"/>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53,874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51.91</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(35,774)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43"/>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2011</w:t>
            </w:r>
          </w:p>
        </w:tc>
        <w:tc>
          <w:tcPr>
            <w:tcW w:w="1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51.73</w:t>
            </w:r>
          </w:p>
        </w:tc>
        <w:tc>
          <w:tcPr>
            <w:tcW w:w="0" w:type="dxa"/>
            <w:vAlign w:val="bottom"/>
          </w:tcPr>
          <w:p>
            <w:pPr>
              <w:spacing w:after="0"/>
              <w:rPr>
                <w:sz w:val="1"/>
                <w:szCs w:val="1"/>
                <w:color w:val="auto"/>
              </w:rPr>
            </w:pPr>
          </w:p>
        </w:tc>
      </w:tr>
      <w:tr>
        <w:trPr>
          <w:trHeight w:val="243"/>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114,279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47.63</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740" w:type="dxa"/>
            <w:vAlign w:val="bottom"/>
          </w:tcPr>
          <w:p>
            <w:pPr>
              <w:jc w:val="right"/>
              <w:spacing w:after="0"/>
              <w:rPr>
                <w:sz w:val="20"/>
                <w:szCs w:val="20"/>
                <w:color w:val="auto"/>
              </w:rPr>
            </w:pPr>
            <w:r>
              <w:rPr>
                <w:rFonts w:ascii="Arial" w:cs="Arial" w:eastAsia="Arial" w:hAnsi="Arial"/>
                <w:sz w:val="18"/>
                <w:szCs w:val="18"/>
                <w:color w:val="auto"/>
              </w:rPr>
              <w:t>(2,670)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47.66</w:t>
            </w:r>
          </w:p>
        </w:tc>
        <w:tc>
          <w:tcPr>
            <w:tcW w:w="0" w:type="dxa"/>
            <w:vAlign w:val="bottom"/>
          </w:tcPr>
          <w:p>
            <w:pPr>
              <w:spacing w:after="0"/>
              <w:rPr>
                <w:sz w:val="1"/>
                <w:szCs w:val="1"/>
                <w:color w:val="auto"/>
              </w:rPr>
            </w:pPr>
          </w:p>
        </w:tc>
      </w:tr>
      <w:tr>
        <w:trPr>
          <w:trHeight w:val="27"/>
        </w:trPr>
        <w:tc>
          <w:tcPr>
            <w:tcW w:w="73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2012</w:t>
            </w:r>
          </w:p>
        </w:tc>
        <w:tc>
          <w:tcPr>
            <w:tcW w:w="1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153,909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45.48</w:t>
            </w:r>
          </w:p>
        </w:tc>
        <w:tc>
          <w:tcPr>
            <w:tcW w:w="0" w:type="dxa"/>
            <w:vAlign w:val="bottom"/>
          </w:tcPr>
          <w:p>
            <w:pPr>
              <w:spacing w:after="0"/>
              <w:rPr>
                <w:sz w:val="1"/>
                <w:szCs w:val="1"/>
                <w:color w:val="auto"/>
              </w:rPr>
            </w:pPr>
          </w:p>
        </w:tc>
      </w:tr>
      <w:tr>
        <w:trPr>
          <w:trHeight w:val="243"/>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178,321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45.06</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(70,313)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46.62</w:t>
            </w:r>
          </w:p>
        </w:tc>
        <w:tc>
          <w:tcPr>
            <w:tcW w:w="0" w:type="dxa"/>
            <w:vAlign w:val="bottom"/>
          </w:tcPr>
          <w:p>
            <w:pPr>
              <w:spacing w:after="0"/>
              <w:rPr>
                <w:sz w:val="1"/>
                <w:szCs w:val="1"/>
                <w:color w:val="auto"/>
              </w:rPr>
            </w:pPr>
          </w:p>
        </w:tc>
      </w:tr>
      <w:tr>
        <w:trPr>
          <w:trHeight w:val="27"/>
        </w:trPr>
        <w:tc>
          <w:tcPr>
            <w:tcW w:w="73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2013</w:t>
            </w:r>
          </w:p>
        </w:tc>
        <w:tc>
          <w:tcPr>
            <w:tcW w:w="1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261,917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46.81</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EARNINGS PER COMMON SHARE</w:t>
      </w:r>
    </w:p>
    <w:p>
      <w:pPr>
        <w:spacing w:after="0" w:line="9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Basic earnings per common share are computed by dividing income from continuing operations, income from discontinued operations or net income by the weighted average number of common shares outstanding. Diluted earnings per common share are computed by dividing income from continuing operations, income from discontinued operations or net income by the weighted average number of common shares outstanding plus all potentially dilutive securities. Stock options with exercise prices greater than the average market price of the underlying common shares are excluded from the computation of diluted earnings per common share because they are out-of-the-money and the effect of their inclusion would be anti-dilutive. The number of common shares</w:t>
      </w:r>
    </w:p>
    <w:p>
      <w:pPr>
        <w:sectPr>
          <w:pgSz w:w="11900" w:h="16838" w:orient="portrait"/>
          <w:cols w:equalWidth="0" w:num="1">
            <w:col w:w="11420"/>
          </w:cols>
          <w:pgMar w:left="240" w:top="121"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121" w:right="239" w:bottom="1440" w:gutter="0" w:footer="0" w:header="0"/>
          <w:type w:val="continuous"/>
        </w:sectPr>
      </w:pPr>
    </w:p>
    <w:bookmarkStart w:id="81" w:name="page82"/>
    <w:bookmarkEnd w:id="81"/>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covered by out-of-the-money stock options was 0.8 million, 0.7 million and 0.2 million for the years ended September 30, 2013, 2012 and 2011,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necessary to calculate basic and diluted earnings per common share.</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38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291"/>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6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20" w:type="dxa"/>
            <w:vAlign w:val="bottom"/>
            <w:gridSpan w:val="6"/>
          </w:tcPr>
          <w:p>
            <w:pPr>
              <w:jc w:val="center"/>
              <w:ind w:left="111"/>
              <w:spacing w:after="0"/>
              <w:rPr>
                <w:sz w:val="20"/>
                <w:szCs w:val="20"/>
                <w:color w:val="auto"/>
              </w:rPr>
            </w:pPr>
            <w:r>
              <w:rPr>
                <w:rFonts w:ascii="Arial" w:cs="Arial" w:eastAsia="Arial" w:hAnsi="Arial"/>
                <w:sz w:val="14"/>
                <w:szCs w:val="14"/>
                <w:b w:val="1"/>
                <w:bCs w:val="1"/>
                <w:color w:val="auto"/>
                <w:w w:val="92"/>
              </w:rPr>
              <w:t>(In millions, except per share data)</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161.2</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Income (loss) from discontinued operations</w:t>
            </w: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63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161.1</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BASIC EARNINGS PER COMMON SHARE:</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8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3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Weighted-average common shares outstanding</w:t>
            </w:r>
          </w:p>
        </w:tc>
        <w:tc>
          <w:tcPr>
            <w:tcW w:w="102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37"/>
        </w:trPr>
        <w:tc>
          <w:tcPr>
            <w:tcW w:w="6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during the period</w:t>
            </w:r>
          </w:p>
        </w:tc>
        <w:tc>
          <w:tcPr>
            <w:tcW w:w="10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ind w:left="380"/>
              <w:spacing w:after="0"/>
              <w:rPr>
                <w:sz w:val="20"/>
                <w:szCs w:val="20"/>
                <w:color w:val="auto"/>
              </w:rPr>
            </w:pPr>
            <w:r>
              <w:rPr>
                <w:rFonts w:ascii="Arial" w:cs="Arial" w:eastAsia="Arial" w:hAnsi="Arial"/>
                <w:sz w:val="18"/>
                <w:szCs w:val="18"/>
                <w:color w:val="auto"/>
              </w:rPr>
              <w:t>Income from continuing operations</w:t>
            </w: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80" w:type="dxa"/>
            <w:vAlign w:val="bottom"/>
            <w:vMerge w:val="continue"/>
          </w:tcPr>
          <w:p>
            <w:pPr>
              <w:spacing w:after="0"/>
              <w:rPr>
                <w:sz w:val="20"/>
                <w:szCs w:val="20"/>
                <w:color w:val="auto"/>
              </w:rPr>
            </w:pPr>
          </w:p>
        </w:tc>
        <w:tc>
          <w:tcPr>
            <w:tcW w:w="1020" w:type="dxa"/>
            <w:vAlign w:val="bottom"/>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2.61</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37"/>
        </w:trPr>
        <w:tc>
          <w:tcPr>
            <w:tcW w:w="638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020" w:type="dxa"/>
            <w:vAlign w:val="bottom"/>
            <w:tcBorders>
              <w:top w:val="single" w:sz="8" w:color="auto"/>
            </w:tcBorders>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67"/>
        </w:trPr>
        <w:tc>
          <w:tcPr>
            <w:tcW w:w="638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3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 EARNINGS PER COMMON SHARE:</w:t>
            </w: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380"/>
              <w:spacing w:after="0"/>
              <w:rPr>
                <w:sz w:val="20"/>
                <w:szCs w:val="20"/>
                <w:color w:val="auto"/>
              </w:rPr>
            </w:pPr>
            <w:r>
              <w:rPr>
                <w:rFonts w:ascii="Arial" w:cs="Arial" w:eastAsia="Arial" w:hAnsi="Arial"/>
                <w:sz w:val="18"/>
                <w:szCs w:val="18"/>
                <w:color w:val="auto"/>
              </w:rPr>
              <w:t>Weighted-average common shares outstanding</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380"/>
              <w:spacing w:after="0"/>
              <w:rPr>
                <w:sz w:val="20"/>
                <w:szCs w:val="20"/>
                <w:color w:val="auto"/>
              </w:rPr>
            </w:pPr>
            <w:r>
              <w:rPr>
                <w:rFonts w:ascii="Arial" w:cs="Arial" w:eastAsia="Arial" w:hAnsi="Arial"/>
                <w:sz w:val="18"/>
                <w:szCs w:val="18"/>
                <w:color w:val="auto"/>
              </w:rPr>
              <w:t>during the period</w:t>
            </w:r>
          </w:p>
        </w:tc>
        <w:tc>
          <w:tcPr>
            <w:tcW w:w="1020" w:type="dxa"/>
            <w:vAlign w:val="bottom"/>
          </w:tcPr>
          <w:p>
            <w:pPr>
              <w:spacing w:after="0"/>
              <w:rPr>
                <w:sz w:val="20"/>
                <w:szCs w:val="20"/>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potential common shares</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9"/>
        </w:trPr>
        <w:tc>
          <w:tcPr>
            <w:tcW w:w="6380" w:type="dxa"/>
            <w:vAlign w:val="bottom"/>
          </w:tcPr>
          <w:p>
            <w:pPr>
              <w:ind w:left="380"/>
              <w:spacing w:after="0"/>
              <w:rPr>
                <w:sz w:val="20"/>
                <w:szCs w:val="20"/>
                <w:color w:val="auto"/>
              </w:rPr>
            </w:pPr>
            <w:r>
              <w:rPr>
                <w:rFonts w:ascii="Arial" w:cs="Arial" w:eastAsia="Arial" w:hAnsi="Arial"/>
                <w:sz w:val="18"/>
                <w:szCs w:val="18"/>
                <w:color w:val="auto"/>
              </w:rPr>
              <w:t>Weighted-average number of common shares</w:t>
            </w: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77"/>
        </w:trPr>
        <w:tc>
          <w:tcPr>
            <w:tcW w:w="63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outstanding and dilutive potential common shares</w:t>
            </w:r>
          </w:p>
        </w:tc>
        <w:tc>
          <w:tcPr>
            <w:tcW w:w="10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380" w:type="dxa"/>
            <w:vAlign w:val="bottom"/>
            <w:tcBorders>
              <w:bottom w:val="single" w:sz="8" w:color="CCEEFF"/>
            </w:tcBorders>
            <w:shd w:val="clear" w:color="auto" w:fill="CCEEFF"/>
          </w:tcPr>
          <w:p>
            <w:pPr>
              <w:ind w:left="380"/>
              <w:spacing w:after="0" w:line="203" w:lineRule="exact"/>
              <w:rPr>
                <w:sz w:val="20"/>
                <w:szCs w:val="20"/>
                <w:color w:val="auto"/>
              </w:rPr>
            </w:pPr>
            <w:r>
              <w:rPr>
                <w:rFonts w:ascii="Arial" w:cs="Arial" w:eastAsia="Arial" w:hAnsi="Arial"/>
                <w:sz w:val="18"/>
                <w:szCs w:val="18"/>
                <w:color w:val="auto"/>
              </w:rPr>
              <w:t>Income from continuing operations</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43"/>
        </w:trPr>
        <w:tc>
          <w:tcPr>
            <w:tcW w:w="638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7"/>
        </w:trPr>
        <w:tc>
          <w:tcPr>
            <w:tcW w:w="63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 (benefit) for income taxes allocated to continuing operations consisted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Year Ended September 30,</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00" w:type="dxa"/>
            <w:vAlign w:val="bottom"/>
          </w:tcPr>
          <w:p>
            <w:pPr>
              <w:spacing w:after="0"/>
              <w:rPr>
                <w:sz w:val="22"/>
                <w:szCs w:val="22"/>
                <w:color w:val="auto"/>
              </w:rPr>
            </w:pPr>
          </w:p>
        </w:tc>
        <w:tc>
          <w:tcPr>
            <w:tcW w:w="34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2013</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jc w:val="right"/>
              <w:ind w:right="63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ind w:right="63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38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380"/>
              <w:spacing w:after="0"/>
              <w:rPr>
                <w:sz w:val="20"/>
                <w:szCs w:val="20"/>
                <w:color w:val="auto"/>
              </w:rPr>
            </w:pPr>
            <w:r>
              <w:rPr>
                <w:rFonts w:ascii="Arial" w:cs="Arial" w:eastAsia="Arial" w:hAnsi="Arial"/>
                <w:sz w:val="18"/>
                <w:szCs w:val="18"/>
                <w:color w:val="auto"/>
              </w:rPr>
              <w:t>Federal</w:t>
            </w:r>
          </w:p>
        </w:tc>
        <w:tc>
          <w:tcPr>
            <w:tcW w:w="342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2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3800" w:type="dxa"/>
            <w:vAlign w:val="bottom"/>
          </w:tcPr>
          <w:p>
            <w:pPr>
              <w:ind w:left="380"/>
              <w:spacing w:after="0"/>
              <w:rPr>
                <w:sz w:val="20"/>
                <w:szCs w:val="20"/>
                <w:color w:val="auto"/>
              </w:rPr>
            </w:pPr>
            <w:r>
              <w:rPr>
                <w:rFonts w:ascii="Arial" w:cs="Arial" w:eastAsia="Arial" w:hAnsi="Arial"/>
                <w:sz w:val="18"/>
                <w:szCs w:val="18"/>
                <w:color w:val="auto"/>
              </w:rPr>
              <w:t>Foreign</w:t>
            </w:r>
          </w:p>
        </w:tc>
        <w:tc>
          <w:tcPr>
            <w:tcW w:w="2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w:t>
            </w:r>
          </w:p>
        </w:tc>
        <w:tc>
          <w:tcPr>
            <w:tcW w:w="2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23"/>
        </w:trPr>
        <w:tc>
          <w:tcPr>
            <w:tcW w:w="3800" w:type="dxa"/>
            <w:vAlign w:val="bottom"/>
          </w:tcPr>
          <w:p>
            <w:pPr>
              <w:ind w:left="40"/>
              <w:spacing w:after="0"/>
              <w:rPr>
                <w:sz w:val="20"/>
                <w:szCs w:val="20"/>
                <w:color w:val="auto"/>
              </w:rPr>
            </w:pPr>
            <w:r>
              <w:rPr>
                <w:rFonts w:ascii="Arial" w:cs="Arial" w:eastAsia="Arial" w:hAnsi="Arial"/>
                <w:sz w:val="18"/>
                <w:szCs w:val="18"/>
                <w:color w:val="auto"/>
              </w:rPr>
              <w:t>Deferred:</w:t>
            </w:r>
          </w:p>
        </w:tc>
        <w:tc>
          <w:tcPr>
            <w:tcW w:w="226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2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800" w:type="dxa"/>
            <w:vAlign w:val="bottom"/>
          </w:tcPr>
          <w:p>
            <w:pPr>
              <w:ind w:left="380"/>
              <w:spacing w:after="0"/>
              <w:rPr>
                <w:sz w:val="20"/>
                <w:szCs w:val="20"/>
                <w:color w:val="auto"/>
              </w:rPr>
            </w:pPr>
            <w:r>
              <w:rPr>
                <w:rFonts w:ascii="Arial" w:cs="Arial" w:eastAsia="Arial" w:hAnsi="Arial"/>
                <w:sz w:val="18"/>
                <w:szCs w:val="18"/>
                <w:color w:val="auto"/>
              </w:rPr>
              <w:t>State</w:t>
            </w:r>
          </w:p>
        </w:tc>
        <w:tc>
          <w:tcPr>
            <w:tcW w:w="2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2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380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226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420" w:type="dxa"/>
            <w:vAlign w:val="bottom"/>
            <w:tcBorders>
              <w:bottom w:val="single" w:sz="8" w:color="CCEEFF"/>
            </w:tcBorders>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CCEEFF"/>
            </w:tcBorders>
            <w:vMerge w:val="restart"/>
          </w:tcPr>
          <w:p>
            <w:pPr>
              <w:jc w:val="right"/>
              <w:ind w:right="174"/>
              <w:spacing w:after="0"/>
              <w:rPr>
                <w:sz w:val="20"/>
                <w:szCs w:val="20"/>
                <w:color w:val="auto"/>
              </w:rPr>
            </w:pPr>
            <w:r>
              <w:rPr>
                <w:rFonts w:ascii="Arial" w:cs="Arial" w:eastAsia="Arial" w:hAnsi="Arial"/>
                <w:sz w:val="18"/>
                <w:szCs w:val="18"/>
                <w:color w:val="auto"/>
              </w:rPr>
              <w:t>82</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80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domestic and foreign components of income from continuing operations before income taxes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Year Ended September 30,</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2011</w:t>
            </w:r>
          </w:p>
        </w:tc>
      </w:tr>
      <w:tr>
        <w:trPr>
          <w:trHeight w:val="250"/>
        </w:trPr>
        <w:tc>
          <w:tcPr>
            <w:tcW w:w="6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165.3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Foreign</w:t>
            </w:r>
          </w:p>
        </w:tc>
        <w:tc>
          <w:tcPr>
            <w:tcW w:w="11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16.9</w:t>
            </w:r>
          </w:p>
        </w:tc>
      </w:tr>
      <w:tr>
        <w:trPr>
          <w:trHeight w:val="27"/>
        </w:trPr>
        <w:tc>
          <w:tcPr>
            <w:tcW w:w="60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181.8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 reconciliation of the federal corporate income tax rate and the effective tax rate on income from continuing operations before income taxes is summarized below:</w:t>
      </w:r>
    </w:p>
    <w:p>
      <w:pPr>
        <w:spacing w:after="0" w:line="108"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23495</wp:posOffset>
            </wp:positionV>
            <wp:extent cx="35077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gridSpan w:val="2"/>
          </w:tcPr>
          <w:p>
            <w:pPr>
              <w:ind w:left="6640"/>
              <w:spacing w:after="0"/>
              <w:rPr>
                <w:sz w:val="20"/>
                <w:szCs w:val="20"/>
                <w:color w:val="auto"/>
              </w:rPr>
            </w:pPr>
            <w:r>
              <w:rPr>
                <w:rFonts w:ascii="Arial" w:cs="Arial" w:eastAsia="Arial" w:hAnsi="Arial"/>
                <w:sz w:val="14"/>
                <w:szCs w:val="14"/>
                <w:b w:val="1"/>
                <w:bCs w:val="1"/>
                <w:color w:val="auto"/>
              </w:rPr>
              <w:t>2013</w:t>
            </w:r>
          </w:p>
        </w:tc>
        <w:tc>
          <w:tcPr>
            <w:tcW w:w="18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jc w:val="right"/>
              <w:ind w:right="652"/>
              <w:spacing w:after="0"/>
              <w:rPr>
                <w:sz w:val="20"/>
                <w:szCs w:val="20"/>
                <w:color w:val="auto"/>
              </w:rPr>
            </w:pPr>
            <w:r>
              <w:rPr>
                <w:rFonts w:ascii="Arial" w:cs="Arial" w:eastAsia="Arial" w:hAnsi="Arial"/>
                <w:sz w:val="14"/>
                <w:szCs w:val="14"/>
                <w:b w:val="1"/>
                <w:bCs w:val="1"/>
                <w:color w:val="auto"/>
              </w:rPr>
              <w:t>2011</w:t>
            </w:r>
          </w:p>
        </w:tc>
      </w:tr>
      <w:tr>
        <w:trPr>
          <w:trHeight w:val="250"/>
        </w:trPr>
        <w:tc>
          <w:tcPr>
            <w:tcW w:w="5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income tax rate</w:t>
            </w: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color w:val="auto"/>
              </w:rPr>
              <w:t>Effect of foreign operations</w:t>
            </w: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760" w:type="dxa"/>
            <w:vAlign w:val="bottom"/>
          </w:tcPr>
          <w:p>
            <w:pPr>
              <w:jc w:val="right"/>
              <w:ind w:right="72"/>
              <w:spacing w:after="0"/>
              <w:rPr>
                <w:sz w:val="20"/>
                <w:szCs w:val="20"/>
                <w:color w:val="auto"/>
              </w:rPr>
            </w:pPr>
            <w:r>
              <w:rPr>
                <w:rFonts w:ascii="Arial" w:cs="Arial" w:eastAsia="Arial" w:hAnsi="Arial"/>
                <w:sz w:val="18"/>
                <w:szCs w:val="18"/>
                <w:color w:val="auto"/>
              </w:rPr>
              <w:t>(0.3)</w:t>
            </w:r>
          </w:p>
        </w:tc>
      </w:tr>
      <w:tr>
        <w:trPr>
          <w:trHeight w:val="27"/>
        </w:trPr>
        <w:tc>
          <w:tcPr>
            <w:tcW w:w="5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State taxes, net of federal benefit</w:t>
            </w:r>
          </w:p>
        </w:tc>
        <w:tc>
          <w:tcPr>
            <w:tcW w:w="6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2.8</w:t>
            </w: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color w:val="auto"/>
              </w:rPr>
              <w:t>Domestic Production Activities Deduction permanent difference</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760" w:type="dxa"/>
            <w:vAlign w:val="bottom"/>
          </w:tcPr>
          <w:p>
            <w:pPr>
              <w:jc w:val="right"/>
              <w:ind w:right="72"/>
              <w:spacing w:after="0"/>
              <w:rPr>
                <w:sz w:val="20"/>
                <w:szCs w:val="20"/>
                <w:color w:val="auto"/>
              </w:rPr>
            </w:pPr>
            <w:r>
              <w:rPr>
                <w:rFonts w:ascii="Arial" w:cs="Arial" w:eastAsia="Arial" w:hAnsi="Arial"/>
                <w:sz w:val="18"/>
                <w:szCs w:val="18"/>
                <w:color w:val="auto"/>
              </w:rPr>
              <w:t>(2.3)</w:t>
            </w:r>
          </w:p>
        </w:tc>
      </w:tr>
      <w:tr>
        <w:trPr>
          <w:trHeight w:val="27"/>
        </w:trPr>
        <w:tc>
          <w:tcPr>
            <w:tcW w:w="5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other permanent differences</w:t>
            </w:r>
          </w:p>
        </w:tc>
        <w:tc>
          <w:tcPr>
            <w:tcW w:w="6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1.9</w:t>
            </w: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color w:val="auto"/>
              </w:rPr>
              <w:t>Research and Experimentation and other federal tax credits</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760" w:type="dxa"/>
            <w:vAlign w:val="bottom"/>
          </w:tcPr>
          <w:p>
            <w:pPr>
              <w:jc w:val="right"/>
              <w:ind w:right="72"/>
              <w:spacing w:after="0"/>
              <w:rPr>
                <w:sz w:val="20"/>
                <w:szCs w:val="20"/>
                <w:color w:val="auto"/>
              </w:rPr>
            </w:pPr>
            <w:r>
              <w:rPr>
                <w:rFonts w:ascii="Arial" w:cs="Arial" w:eastAsia="Arial" w:hAnsi="Arial"/>
                <w:sz w:val="18"/>
                <w:szCs w:val="18"/>
                <w:color w:val="auto"/>
              </w:rPr>
              <w:t>(0.2)</w:t>
            </w:r>
          </w:p>
        </w:tc>
      </w:tr>
      <w:tr>
        <w:trPr>
          <w:trHeight w:val="27"/>
        </w:trPr>
        <w:tc>
          <w:tcPr>
            <w:tcW w:w="5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Resolution of prior tax contingencies</w:t>
            </w:r>
          </w:p>
        </w:tc>
        <w:tc>
          <w:tcPr>
            <w:tcW w:w="6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0.7</w:t>
            </w: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760" w:type="dxa"/>
            <w:vAlign w:val="bottom"/>
          </w:tcPr>
          <w:p>
            <w:pPr>
              <w:jc w:val="right"/>
              <w:ind w:right="72"/>
              <w:spacing w:after="0"/>
              <w:rPr>
                <w:sz w:val="20"/>
                <w:szCs w:val="20"/>
                <w:color w:val="auto"/>
              </w:rPr>
            </w:pPr>
            <w:r>
              <w:rPr>
                <w:rFonts w:ascii="Arial" w:cs="Arial" w:eastAsia="Arial" w:hAnsi="Arial"/>
                <w:sz w:val="18"/>
                <w:szCs w:val="18"/>
                <w:color w:val="auto"/>
              </w:rPr>
              <w:t>(0.4)</w:t>
            </w:r>
          </w:p>
        </w:tc>
      </w:tr>
      <w:tr>
        <w:trPr>
          <w:trHeight w:val="27"/>
        </w:trPr>
        <w:tc>
          <w:tcPr>
            <w:tcW w:w="5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9"/>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1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36.5 %</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37.7 %</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37.2 %</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Included in “Effect of other permanent differences” in the effective tax rate reconciliation table above are nondeductible fines and penalties of $0.4 million, $4.8 million and $7.7 million for the fiscal years ended September 30, 2013, 2012, and 2011 respectively, from the settlement of previously disclosed U.S. EPA and U.S. DOJ investigations. The Company does not expect to incur additional costs related to these investigations.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Deferred income taxes arise from temporary differences between financial reporting and tax reporting bases of assets and liabilities, and operating loss and tax credit carryforwards for tax purposes. The components of the deferred income tax assets and liabilities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center"/>
              <w:ind w:left="854"/>
              <w:spacing w:after="0"/>
              <w:rPr>
                <w:sz w:val="20"/>
                <w:szCs w:val="20"/>
                <w:color w:val="auto"/>
              </w:rPr>
            </w:pPr>
            <w:r>
              <w:rPr>
                <w:rFonts w:ascii="Arial" w:cs="Arial" w:eastAsia="Arial" w:hAnsi="Arial"/>
                <w:sz w:val="14"/>
                <w:szCs w:val="14"/>
                <w:b w:val="1"/>
                <w:bCs w:val="1"/>
                <w:color w:val="auto"/>
                <w:w w:val="91"/>
              </w:rPr>
              <w:t>September 30,</w:t>
            </w:r>
          </w:p>
        </w:tc>
        <w:tc>
          <w:tcPr>
            <w:tcW w:w="1420" w:type="dxa"/>
            <w:vAlign w:val="bottom"/>
            <w:tcBorders>
              <w:bottom w:val="single" w:sz="8" w:color="auto"/>
            </w:tcBorders>
          </w:tcPr>
          <w:p>
            <w:pPr>
              <w:spacing w:after="0"/>
              <w:rPr>
                <w:sz w:val="16"/>
                <w:szCs w:val="16"/>
                <w:color w:val="auto"/>
              </w:rPr>
            </w:pPr>
          </w:p>
        </w:tc>
      </w:tr>
      <w:tr>
        <w:trPr>
          <w:trHeight w:val="264"/>
        </w:trPr>
        <w:tc>
          <w:tcPr>
            <w:tcW w:w="72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2012</w:t>
            </w:r>
          </w:p>
        </w:tc>
      </w:tr>
      <w:tr>
        <w:trPr>
          <w:trHeight w:val="250"/>
        </w:trPr>
        <w:tc>
          <w:tcPr>
            <w:tcW w:w="7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300" w:type="dxa"/>
            <w:vAlign w:val="bottom"/>
            <w:gridSpan w:val="3"/>
          </w:tcPr>
          <w:p>
            <w:pPr>
              <w:jc w:val="center"/>
              <w:ind w:left="854"/>
              <w:spacing w:after="0"/>
              <w:rPr>
                <w:sz w:val="20"/>
                <w:szCs w:val="20"/>
                <w:color w:val="auto"/>
              </w:rPr>
            </w:pPr>
            <w:r>
              <w:rPr>
                <w:rFonts w:ascii="Arial" w:cs="Arial" w:eastAsia="Arial" w:hAnsi="Arial"/>
                <w:sz w:val="14"/>
                <w:szCs w:val="14"/>
                <w:b w:val="1"/>
                <w:bCs w:val="1"/>
                <w:color w:val="auto"/>
                <w:w w:val="96"/>
              </w:rPr>
              <w:t>(In millions)</w:t>
            </w:r>
          </w:p>
        </w:tc>
        <w:tc>
          <w:tcPr>
            <w:tcW w:w="1420" w:type="dxa"/>
            <w:vAlign w:val="bottom"/>
          </w:tcPr>
          <w:p>
            <w:pPr>
              <w:spacing w:after="0"/>
              <w:rPr>
                <w:sz w:val="21"/>
                <w:szCs w:val="2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17.0</w:t>
            </w: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Postretirement benefits</w:t>
            </w:r>
          </w:p>
        </w:tc>
        <w:tc>
          <w:tcPr>
            <w:tcW w:w="50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41.2</w:t>
            </w: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State NOL carryovers</w:t>
            </w:r>
          </w:p>
        </w:tc>
        <w:tc>
          <w:tcPr>
            <w:tcW w:w="50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NOL carryovers</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48.2</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Foreign tax credit carryovers</w:t>
            </w:r>
          </w:p>
        </w:tc>
        <w:tc>
          <w:tcPr>
            <w:tcW w:w="50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8.3</w:t>
            </w: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4.2</w:t>
            </w:r>
          </w:p>
        </w:tc>
      </w:tr>
      <w:tr>
        <w:trPr>
          <w:trHeight w:val="27"/>
        </w:trPr>
        <w:tc>
          <w:tcPr>
            <w:tcW w:w="7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deferred tax assets</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201.2</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Valuation allowance</w:t>
            </w: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7"/>
        </w:trPr>
        <w:tc>
          <w:tcPr>
            <w:tcW w:w="7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deferred tax assets</w:t>
            </w:r>
          </w:p>
        </w:tc>
        <w:tc>
          <w:tcPr>
            <w:tcW w:w="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152.8</w:t>
            </w:r>
          </w:p>
        </w:tc>
      </w:tr>
      <w:tr>
        <w:trPr>
          <w:trHeight w:val="22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5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41"/>
        </w:trPr>
        <w:tc>
          <w:tcPr>
            <w:tcW w:w="7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(85.8)</w:t>
            </w: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7200" w:type="dxa"/>
            <w:vAlign w:val="bottom"/>
          </w:tcPr>
          <w:p>
            <w:pPr>
              <w:ind w:left="380"/>
              <w:spacing w:after="0"/>
              <w:rPr>
                <w:sz w:val="20"/>
                <w:szCs w:val="20"/>
                <w:color w:val="auto"/>
              </w:rPr>
            </w:pPr>
            <w:r>
              <w:rPr>
                <w:rFonts w:ascii="Arial" w:cs="Arial" w:eastAsia="Arial" w:hAnsi="Arial"/>
                <w:sz w:val="18"/>
                <w:szCs w:val="18"/>
                <w:color w:val="auto"/>
              </w:rPr>
              <w:t>Total deferred tax liabilities</w:t>
            </w:r>
          </w:p>
        </w:tc>
        <w:tc>
          <w:tcPr>
            <w:tcW w:w="5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(147.9)</w:t>
            </w:r>
          </w:p>
        </w:tc>
      </w:tr>
      <w:tr>
        <w:trPr>
          <w:trHeight w:val="27"/>
        </w:trPr>
        <w:tc>
          <w:tcPr>
            <w:tcW w:w="7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deferred tax (liability) asset</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9360" w:type="dxa"/>
            <w:vAlign w:val="bottom"/>
            <w:gridSpan w:val="4"/>
          </w:tcPr>
          <w:p>
            <w:pPr>
              <w:ind w:left="440"/>
              <w:spacing w:after="0"/>
              <w:rPr>
                <w:sz w:val="20"/>
                <w:szCs w:val="20"/>
                <w:color w:val="auto"/>
              </w:rPr>
            </w:pPr>
            <w:r>
              <w:rPr>
                <w:rFonts w:ascii="Arial" w:cs="Arial" w:eastAsia="Arial" w:hAnsi="Arial"/>
                <w:sz w:val="18"/>
                <w:szCs w:val="18"/>
                <w:color w:val="auto"/>
                <w:w w:val="89"/>
              </w:rPr>
              <w:t>The net current and non-current components of deferred income taxes recognized in the Consolidated Balance Sheets were:</w:t>
            </w: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2"/>
        </w:trPr>
        <w:tc>
          <w:tcPr>
            <w:tcW w:w="72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center"/>
              <w:ind w:left="854"/>
              <w:spacing w:after="0"/>
              <w:rPr>
                <w:sz w:val="20"/>
                <w:szCs w:val="20"/>
                <w:color w:val="auto"/>
              </w:rPr>
            </w:pPr>
            <w:r>
              <w:rPr>
                <w:rFonts w:ascii="Arial" w:cs="Arial" w:eastAsia="Arial" w:hAnsi="Arial"/>
                <w:sz w:val="14"/>
                <w:szCs w:val="14"/>
                <w:b w:val="1"/>
                <w:bCs w:val="1"/>
                <w:color w:val="auto"/>
                <w:w w:val="91"/>
              </w:rPr>
              <w:t>September 30,</w:t>
            </w:r>
          </w:p>
        </w:tc>
        <w:tc>
          <w:tcPr>
            <w:tcW w:w="1420" w:type="dxa"/>
            <w:vAlign w:val="bottom"/>
            <w:tcBorders>
              <w:bottom w:val="single" w:sz="8" w:color="auto"/>
            </w:tcBorders>
          </w:tcPr>
          <w:p>
            <w:pPr>
              <w:spacing w:after="0"/>
              <w:rPr>
                <w:sz w:val="24"/>
                <w:szCs w:val="24"/>
                <w:color w:val="auto"/>
              </w:rPr>
            </w:pPr>
          </w:p>
        </w:tc>
      </w:tr>
      <w:tr>
        <w:trPr>
          <w:trHeight w:val="264"/>
        </w:trPr>
        <w:tc>
          <w:tcPr>
            <w:tcW w:w="72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2012</w:t>
            </w:r>
          </w:p>
        </w:tc>
      </w:tr>
      <w:tr>
        <w:trPr>
          <w:trHeight w:val="250"/>
        </w:trPr>
        <w:tc>
          <w:tcPr>
            <w:tcW w:w="7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300" w:type="dxa"/>
            <w:vAlign w:val="bottom"/>
            <w:gridSpan w:val="3"/>
          </w:tcPr>
          <w:p>
            <w:pPr>
              <w:jc w:val="center"/>
              <w:ind w:left="854"/>
              <w:spacing w:after="0"/>
              <w:rPr>
                <w:sz w:val="20"/>
                <w:szCs w:val="20"/>
                <w:color w:val="auto"/>
              </w:rPr>
            </w:pPr>
            <w:r>
              <w:rPr>
                <w:rFonts w:ascii="Arial" w:cs="Arial" w:eastAsia="Arial" w:hAnsi="Arial"/>
                <w:sz w:val="14"/>
                <w:szCs w:val="14"/>
                <w:b w:val="1"/>
                <w:bCs w:val="1"/>
                <w:color w:val="auto"/>
                <w:w w:val="96"/>
              </w:rPr>
              <w:t>(In millions)</w:t>
            </w:r>
          </w:p>
        </w:tc>
        <w:tc>
          <w:tcPr>
            <w:tcW w:w="1420" w:type="dxa"/>
            <w:vAlign w:val="bottom"/>
          </w:tcPr>
          <w:p>
            <w:pPr>
              <w:spacing w:after="0"/>
              <w:rPr>
                <w:sz w:val="21"/>
                <w:szCs w:val="2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current deferred tax assets (classified with prepaid and other assets)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76.5</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non-current deferred tax liabilities (classified with other liabilities)</w:t>
            </w: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(71.6)</w:t>
            </w:r>
          </w:p>
        </w:tc>
      </w:tr>
      <w:tr>
        <w:trPr>
          <w:trHeight w:val="27"/>
        </w:trPr>
        <w:tc>
          <w:tcPr>
            <w:tcW w:w="7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 (liability)</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GAAP requires that a valuation allowance be recorded against a deferred tax asset if it is more likely than not that the tax benefit associated with the asset will not be realized in the future. As shown in the table above, valuation allowances were recorded against $51.5 million and $48.4 million of deferred tax assets as of September 30, 2013, and September 30, 2012, respectively. Most of these valuation allowances relate to certain foreign net operating losses as explained more fully below.</w:t>
      </w:r>
    </w:p>
    <w:p>
      <w:pPr>
        <w:spacing w:after="0" w:line="13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has elected to treat certain foreign entities as disregarded entities for U.S. tax purposes, which results in their net income or loss being recognized currently in the Company’s U.S. tax return. As such, the tax benefit of net operating losses available for foreign statutory tax purposes has already been recognized for U.S. purposes. Accordingly, a full valuation allowance is required on the tax benefit of these net operating losses on global consolidation. The foreign net operating losses of these foreign disregarded entities were $195.7 million at September 30, 2013, the majority of which have indefinite carryforward periods. The statutory tax benefit of these net operating loss carryovers, and related full valuation allowances thereon, amounted to $49.7 million and $46.4 million for the fiscal years ended September 30, 2013 and September 30, 2012, respectively.</w:t>
      </w:r>
    </w:p>
    <w:p>
      <w:pPr>
        <w:spacing w:after="0" w:line="12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Foreign net operating losses of certain controlled foreign corporations were $7.2 million as of September 30, 2013, the majority of which have indefinite carryforward periods. Due to a history of losses in these entities, a full valuation allowance has also been placed against the statutory tax benefit associated with these losses amounting to $1.8 million and $1.8 million at September 30, 2013 and September 30, 2012, respectively.</w:t>
      </w:r>
    </w:p>
    <w:p>
      <w:pPr>
        <w:sectPr>
          <w:pgSz w:w="11900" w:h="16838" w:orient="portrait"/>
          <w:cols w:equalWidth="0" w:num="1">
            <w:col w:w="11420"/>
          </w:cols>
          <w:pgMar w:left="240" w:top="121"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1" w:right="239" w:bottom="1440" w:gutter="0" w:footer="0" w:header="0"/>
          <w:type w:val="continuous"/>
        </w:sectPr>
      </w:pPr>
    </w:p>
    <w:bookmarkStart w:id="84" w:name="page85"/>
    <w:bookmarkEnd w:id="84"/>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State net operating losses were $22.6 million as of September 30, 2013, with carryforward periods ranging from 5 to 20 years. Any losses not utilized within a specific state’s carryforward period will expire. Tax benefits associated with state tax credits will expire if not utilized and amounted to $0.5 million at both September 30, 2013 and September 30, 2012. No valuation allowance has been placed against these net operating losses and credits as the Company should fully utilize these within their respective carryover periods.</w:t>
      </w:r>
    </w:p>
    <w:p>
      <w:pPr>
        <w:spacing w:after="0" w:line="13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Deferred taxes have not been provided on unremitted earnings of $147.0 million for certain foreign subsidiaries and foreign corporate joint ventures as such earnings have been indefinitely reinvested. These foreign entities held cash and cash equivalents of $120.4 million and $118.6 million at September 30, 2013 and September 30, 2012, respectively. Our current plans do not demonstrate a need to, nor do we have plans to, repatriate the retained earnings from these subsidiaries as the earnings are indefinitely reinvested. In the future, if we determine it is necessary to repatriate these funds, or we sell or liquidate any of these subsidiaries, we may be required to pay associated taxes on the repatriation. We may also be required to withhold foreign taxes depending on the foreign jurisdiction from which the funds are repatriated. The effective rate of tax on such repatriations may materially differ from the federal statutory tax rate and could have a material impact on tax expense in the year of repatriation; however, the Company cannot reasonably estimate the amount of such a tax event.</w:t>
      </w:r>
    </w:p>
    <w:p>
      <w:pPr>
        <w:spacing w:after="0" w:line="13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GAAP provides that a tax benefit from an uncertain tax position may be recognized when it is more likely than not that the position will be sustained upon examination, including resolutions of any related appeals or litigation processes, based on the technical merits of the position. The amount recognized is measured as the largest amount of tax benefit that is greater than 50% likely of being realized upon settlement.</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had $6.7 million, $7.0 million and $8.9 million of gross unrecognized tax benefits related to uncertain tax positions at September 30, 2013, 2012 and 2011, respectively. Included in the September 30, 2013, 2012 and 2011 balances were $6.7 million, $6.9 million and $7.3 million, respectively, of unrecognized tax benefits that, if recognized, would have an impact on the effective tax rate.</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unrecognized tax benefits is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Year Ended September 30,</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00" w:type="dxa"/>
            <w:vAlign w:val="bottom"/>
          </w:tcPr>
          <w:p>
            <w:pPr>
              <w:spacing w:after="0"/>
              <w:rPr>
                <w:sz w:val="22"/>
                <w:szCs w:val="22"/>
                <w:color w:val="auto"/>
              </w:rPr>
            </w:pPr>
          </w:p>
        </w:tc>
        <w:tc>
          <w:tcPr>
            <w:tcW w:w="12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2011</w:t>
            </w:r>
          </w:p>
        </w:tc>
      </w:tr>
      <w:tr>
        <w:trPr>
          <w:trHeight w:val="250"/>
        </w:trPr>
        <w:tc>
          <w:tcPr>
            <w:tcW w:w="57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(In millions)</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24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Additions for tax positions of the current year</w:t>
            </w:r>
          </w:p>
        </w:tc>
        <w:tc>
          <w:tcPr>
            <w:tcW w:w="12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7"/>
        </w:trPr>
        <w:tc>
          <w:tcPr>
            <w:tcW w:w="5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 for tax positions of prior years</w:t>
            </w: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Reductions for tax positions of prior years</w:t>
            </w:r>
          </w:p>
        </w:tc>
        <w:tc>
          <w:tcPr>
            <w:tcW w:w="1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 with tax authorities</w:t>
            </w: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Expiration of statutes of limitation</w:t>
            </w:r>
          </w:p>
        </w:tc>
        <w:tc>
          <w:tcPr>
            <w:tcW w:w="1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7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124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continues to recognize accrued interest and penalties related to unrecognized tax benefits as a component of the provision for income taxes. As of September 30, 2013, 2012 and 2011, respectively, the Company had $1.8 million, $1.8 million and $1.6 million accrued for the payment of interest that, if recognized, would impact the effective tax rate. As of September 30, 2013, 2012 and 2011, respectively, the Company had $0.7 million, $0.8 million and $0.7 million accrued for the payment of penalties that, if recognized, would impact the effective tax rate. For the year ended September 30, 2013, the Company recognized $0.1 million of tax interest and tax penalties in its statement of operations.</w:t>
      </w:r>
    </w:p>
    <w:p>
      <w:pPr>
        <w:spacing w:after="0" w:line="11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Scotts Miracle-Gro or one of its subsidiaries files income tax returns in the U.S. federal jurisdiction and various state, local and foreign jurisdictions. With few exceptions, which are discussed below, the Company is no longer subject to examinations by these tax authorities for fiscal years prior to 2010. The Company is currently under examination by certain foreign and U.S. state and local tax authorities. Regarding the foreign jurisdictions, an audit is currently underway in France for fiscal years 2010 through 2012. Audits closed during the fiscal year ended September 30, 2013 for Austria, Belgium and Canada with no material impact on the Company's consolidated financial position, results of operations or cash flows. In regard to the U.S. state and local audits, the tax periods under examinations are limited to fiscal years 1997 through 2011. In addition to these aforementioned audits, certain other tax deficiency notices and refund claims for previous years remain unresolved.</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currently anticipates that few of its open and active audits will be resolved in the next 12 months. The Company is unable to make a reasonably reliable estimate as to when or if cash settlements with taxing authorities may occur.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Although audit outcomes and the timing of audit payments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4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September 13, 2013, the United States Treasury and Internal Revenue Service issued final tangible personal property regulations that broadly apply to amounts paid to acquire, produce or improve tangible property, as well as dispositions of such property. In review of these regulations, the Company has concluded that there is no material impact on its consolidated financial position, results of operations or cash flows.</w:t>
      </w:r>
    </w:p>
    <w:p>
      <w:pPr>
        <w:spacing w:after="0" w:line="11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Management judgment is required in determining tax provisions and evaluating tax positions. Management believes its tax positions and related provisions reflected in the consolidated financial statements are fully supportable and appropriate. The Company established reserves for additional income taxes that may become due if the tax positions are challenged and not sustained, and as such, the Company’s tax provision includes the impact of recording reserves and changes thereto.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DERIVATIVE INSTRUMENTS AND HEDGING ACTIVITIES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9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periodically uses foreign currency forward contracts to manage the exchange rate risk associated with intercompany loans with foreign subsidiaries that are denominated in local currencies. At September 30, 2013, the notional amount of outstanding foreign currency forward contracts was $80.4 million, with a negative fair value of $2.1 million. At September 30, 2012, the notional amount of outstanding foreign currency swap contracts was $61.8 million, with a negative fair value of $1.0 million. The unrealized loss on the foreign currency forward contracts approximates the unrealized gain on the intercompany loans recognized by the Company’s lending subsidiaries. The contracts will mature over the next fiscal year.</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9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 enters into interest rate swap agreements as a means to hedge its variable interest rate risk on debt instruments. The fair values are reflected in the Company’s Consolidated Balance Sheets. Net amounts to be received or paid under the swap agreements are reflected as adjustments to interest expense. Since the interest rate swap agreements have been designated as hedging instruments, unrealized gains or losses resulting from adjusting these swaps to fair value are recorded as elements of accumulated other comprehensive income (“AOCI”) within the Consolidated Balance Sheets.</w:t>
      </w:r>
    </w:p>
    <w:p>
      <w:pPr>
        <w:spacing w:after="0" w:line="10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At September 30, 2013 and 2012, the Company had outstanding interest rate swap agreements with major financial institutions that effectively converted a portion of the Company’s variable-rate debt to a fixed rate. The swap agreements had a total U.S. dollar equivalent notional amount of $1,100.0 million and $700.0 million at September 30, 2013 and 2012 respectively. Refer to “NOTE 10. DEBT” for the terms of the swap agreements outstanding at 2013. Included in the AOCI balance at September 30, 2013 is a loss of $5.0 million related to interest rate swap agreements that is expected to be reclassified to earnings during the next 12 months, consistent with the timing of the underlying hedged transactions.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had outstanding derivative contracts at September 30, 2013 designed to fix the price of a portion of its projected future urea requirements. The contracts are designated as hedges of the Company’s exposure to future cash flow fluctuations associated with the cost of urea. The objective of the hedges is to mitigate the earnings and cash flow volatility attributable to the risk of changing prices. Unrealized gains or losses in the fair value of these contracts are recorded to the AOCI component of shareholders’ equity. Realized gains or losses remain as a component of AOCI until the related inventory is sold. Upon sale of the underlying inventory, the gain or loss is reclassified to cost of sales. Included in the AOCI balance at September 30, 2013 was a loss of $1.0 million related to urea derivatives that is expected to be reclassified to earnings during the next 12 months, consistent with the timing of the underlying hedged transactions.</w:t>
      </w:r>
    </w:p>
    <w:p>
      <w:pPr>
        <w:spacing w:after="0" w:line="1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Periodically, the Company also uses derivatives to partially mitigate the effect of fluctuating diesel and gasoline costs on operating results. Any such derivatives that do not qualify for hedge accounting treatment in accordance with GAAP are recorded at fair value, with unrealized gains and losses on open contracts and realized gains or losses on settled contracts recorded as an element of cost of sales. Unrealized gains or losses in the fair value of derivative contracts that do qualify for hedge accounting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are recorded in accumulated other comprehensive income (expense), except for any ineffective portion of the change in fair value, which is immediately recorded in earnings. For the effective portion of the change in fair value, realized gains or losses remain as a component of AOCI until the related fuel is consumed. Upon consumption of the fuel, the gain or loss is reclassified to cost of sales. Included in the AOCI balance at September 30, 2013 was an immaterial gain related to fuel derivatives that is expected to be reclassified to earnings during the next 12 months, consistent with the timing of the underlying hedged transactions.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2740" w:type="dxa"/>
            <w:vAlign w:val="bottom"/>
            <w:tcBorders>
              <w:bottom w:val="single" w:sz="8" w:color="auto"/>
            </w:tcBorders>
            <w:gridSpan w:val="3"/>
          </w:tcPr>
          <w:p>
            <w:pPr>
              <w:ind w:left="1680"/>
              <w:spacing w:after="0"/>
              <w:rPr>
                <w:sz w:val="20"/>
                <w:szCs w:val="20"/>
                <w:color w:val="auto"/>
              </w:rPr>
            </w:pPr>
            <w:r>
              <w:rPr>
                <w:rFonts w:ascii="Arial" w:cs="Arial" w:eastAsia="Arial" w:hAnsi="Arial"/>
                <w:sz w:val="14"/>
                <w:szCs w:val="14"/>
                <w:b w:val="1"/>
                <w:bCs w:val="1"/>
                <w:color w:val="auto"/>
              </w:rPr>
              <w:t>September 30,</w:t>
            </w:r>
          </w:p>
        </w:tc>
        <w:tc>
          <w:tcPr>
            <w:tcW w:w="1480" w:type="dxa"/>
            <w:vAlign w:val="bottom"/>
            <w:tcBorders>
              <w:bottom w:val="single" w:sz="8" w:color="auto"/>
            </w:tcBorders>
          </w:tcPr>
          <w:p>
            <w:pPr>
              <w:spacing w:after="0"/>
              <w:rPr>
                <w:sz w:val="16"/>
                <w:szCs w:val="16"/>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206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2012</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Commodity</w:t>
            </w: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Urea</w:t>
            </w:r>
          </w:p>
        </w:tc>
        <w:tc>
          <w:tcPr>
            <w:tcW w:w="2740" w:type="dxa"/>
            <w:vAlign w:val="bottom"/>
            <w:gridSpan w:val="3"/>
          </w:tcPr>
          <w:p>
            <w:pPr>
              <w:jc w:val="right"/>
              <w:ind w:right="700"/>
              <w:spacing w:after="0"/>
              <w:rPr>
                <w:sz w:val="20"/>
                <w:szCs w:val="20"/>
                <w:color w:val="auto"/>
              </w:rPr>
            </w:pPr>
            <w:r>
              <w:rPr>
                <w:rFonts w:ascii="Arial" w:cs="Arial" w:eastAsia="Arial" w:hAnsi="Arial"/>
                <w:sz w:val="18"/>
                <w:szCs w:val="18"/>
                <w:color w:val="auto"/>
              </w:rPr>
              <w:t>49,500 tons</w:t>
            </w:r>
          </w:p>
        </w:tc>
        <w:tc>
          <w:tcPr>
            <w:tcW w:w="1480" w:type="dxa"/>
            <w:vAlign w:val="bottom"/>
          </w:tcPr>
          <w:p>
            <w:pPr>
              <w:jc w:val="right"/>
              <w:spacing w:after="0"/>
              <w:rPr>
                <w:sz w:val="20"/>
                <w:szCs w:val="20"/>
                <w:color w:val="auto"/>
              </w:rPr>
            </w:pPr>
            <w:r>
              <w:rPr>
                <w:rFonts w:ascii="Arial" w:cs="Arial" w:eastAsia="Arial" w:hAnsi="Arial"/>
                <w:sz w:val="18"/>
                <w:szCs w:val="18"/>
                <w:color w:val="auto"/>
              </w:rPr>
              <w:t>34,500 tons</w:t>
            </w:r>
          </w:p>
        </w:tc>
      </w:tr>
      <w:tr>
        <w:trPr>
          <w:trHeight w:val="27"/>
        </w:trPr>
        <w:tc>
          <w:tcPr>
            <w:tcW w:w="7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Diesel</w:t>
            </w:r>
          </w:p>
        </w:tc>
        <w:tc>
          <w:tcPr>
            <w:tcW w:w="2740" w:type="dxa"/>
            <w:vAlign w:val="bottom"/>
            <w:tcBorders>
              <w:bottom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3,528,000 gallons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6,552,000 gallons</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Gasoline</w:t>
            </w:r>
          </w:p>
        </w:tc>
        <w:tc>
          <w:tcPr>
            <w:tcW w:w="2740" w:type="dxa"/>
            <w:vAlign w:val="bottom"/>
            <w:gridSpan w:val="3"/>
          </w:tcPr>
          <w:p>
            <w:pPr>
              <w:jc w:val="right"/>
              <w:ind w:right="700"/>
              <w:spacing w:after="0"/>
              <w:rPr>
                <w:sz w:val="20"/>
                <w:szCs w:val="20"/>
                <w:color w:val="auto"/>
              </w:rPr>
            </w:pPr>
            <w:r>
              <w:rPr>
                <w:rFonts w:ascii="Arial" w:cs="Arial" w:eastAsia="Arial" w:hAnsi="Arial"/>
                <w:sz w:val="18"/>
                <w:szCs w:val="18"/>
                <w:color w:val="auto"/>
              </w:rPr>
              <w:t>630,000 gallons</w:t>
            </w:r>
          </w:p>
        </w:tc>
        <w:tc>
          <w:tcPr>
            <w:tcW w:w="1480" w:type="dxa"/>
            <w:vAlign w:val="bottom"/>
          </w:tcPr>
          <w:p>
            <w:pPr>
              <w:jc w:val="right"/>
              <w:spacing w:after="0"/>
              <w:rPr>
                <w:sz w:val="20"/>
                <w:szCs w:val="20"/>
                <w:color w:val="auto"/>
              </w:rPr>
            </w:pPr>
            <w:r>
              <w:rPr>
                <w:rFonts w:ascii="Arial" w:cs="Arial" w:eastAsia="Arial" w:hAnsi="Arial"/>
                <w:sz w:val="18"/>
                <w:szCs w:val="18"/>
                <w:color w:val="auto"/>
              </w:rPr>
              <w:t>224,000 gallons</w:t>
            </w:r>
          </w:p>
        </w:tc>
      </w:tr>
      <w:tr>
        <w:trPr>
          <w:trHeight w:val="27"/>
        </w:trPr>
        <w:tc>
          <w:tcPr>
            <w:tcW w:w="7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Heating Oil</w:t>
            </w:r>
          </w:p>
        </w:tc>
        <w:tc>
          <w:tcPr>
            <w:tcW w:w="27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2,940,000 gallons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5,208,000 gallons</w:t>
            </w:r>
          </w:p>
        </w:tc>
      </w:tr>
      <w:tr>
        <w:trPr>
          <w:trHeight w:val="27"/>
        </w:trPr>
        <w:tc>
          <w:tcPr>
            <w:tcW w:w="72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fair values of the Company’s derivative instruments and the respective lines in which they were recorded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at September 30:</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w w:val="98"/>
              </w:rPr>
              <w:t>Assets / (Liabilities)</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2180" w:type="dxa"/>
            <w:vAlign w:val="bottom"/>
          </w:tcPr>
          <w:p>
            <w:pPr>
              <w:ind w:left="640"/>
              <w:spacing w:after="0"/>
              <w:rPr>
                <w:sz w:val="20"/>
                <w:szCs w:val="20"/>
                <w:color w:val="auto"/>
              </w:rPr>
            </w:pPr>
            <w:r>
              <w:rPr>
                <w:rFonts w:ascii="Arial" w:cs="Arial" w:eastAsia="Arial" w:hAnsi="Arial"/>
                <w:sz w:val="14"/>
                <w:szCs w:val="14"/>
                <w:b w:val="1"/>
                <w:bCs w:val="1"/>
                <w:color w:val="auto"/>
                <w:w w:val="96"/>
              </w:rPr>
              <w:t>Balance Sheet Location</w:t>
            </w:r>
          </w:p>
        </w:tc>
        <w:tc>
          <w:tcPr>
            <w:tcW w:w="56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Fair Value</w:t>
            </w:r>
          </w:p>
        </w:tc>
        <w:tc>
          <w:tcPr>
            <w:tcW w:w="10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18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500" w:type="dxa"/>
            <w:vAlign w:val="bottom"/>
            <w:tcBorders>
              <w:bottom w:val="single" w:sz="8" w:color="CCEEFF"/>
            </w:tcBorders>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43"/>
        </w:trPr>
        <w:tc>
          <w:tcPr>
            <w:tcW w:w="5620" w:type="dxa"/>
            <w:vAlign w:val="bottom"/>
            <w:gridSpan w:val="2"/>
          </w:tcPr>
          <w:p>
            <w:pPr>
              <w:ind w:left="380"/>
              <w:spacing w:after="0"/>
              <w:rPr>
                <w:sz w:val="20"/>
                <w:szCs w:val="20"/>
                <w:color w:val="auto"/>
              </w:rPr>
            </w:pPr>
            <w:r>
              <w:rPr>
                <w:rFonts w:ascii="Arial" w:cs="Arial" w:eastAsia="Arial" w:hAnsi="Arial"/>
                <w:sz w:val="18"/>
                <w:szCs w:val="18"/>
                <w:color w:val="auto"/>
              </w:rPr>
              <w:t>Commodity hedging instruments</w:t>
            </w:r>
          </w:p>
        </w:tc>
        <w:tc>
          <w:tcPr>
            <w:tcW w:w="2180" w:type="dxa"/>
            <w:vAlign w:val="bottom"/>
          </w:tcPr>
          <w:p>
            <w:pPr>
              <w:ind w:left="20"/>
              <w:spacing w:after="0"/>
              <w:rPr>
                <w:sz w:val="20"/>
                <w:szCs w:val="20"/>
                <w:color w:val="auto"/>
              </w:rPr>
            </w:pPr>
            <w:r>
              <w:rPr>
                <w:rFonts w:ascii="Arial" w:cs="Arial" w:eastAsia="Arial" w:hAnsi="Arial"/>
                <w:sz w:val="18"/>
                <w:szCs w:val="18"/>
                <w:color w:val="auto"/>
              </w:rPr>
              <w:t>Prepaid and other assets</w:t>
            </w: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5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2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120" w:type="dxa"/>
            <w:vAlign w:val="bottom"/>
            <w:vMerge w:val="restart"/>
          </w:tcPr>
          <w:p>
            <w:pPr>
              <w:spacing w:after="0"/>
              <w:rPr>
                <w:sz w:val="2"/>
                <w:szCs w:val="2"/>
                <w:color w:val="auto"/>
              </w:rPr>
            </w:pPr>
          </w:p>
        </w:tc>
        <w:tc>
          <w:tcPr>
            <w:tcW w:w="2180" w:type="dxa"/>
            <w:vAlign w:val="bottom"/>
            <w:vMerge w:val="restart"/>
          </w:tcPr>
          <w:p>
            <w:pPr>
              <w:ind w:left="640"/>
              <w:spacing w:after="0"/>
              <w:rPr>
                <w:sz w:val="20"/>
                <w:szCs w:val="20"/>
                <w:color w:val="auto"/>
              </w:rPr>
            </w:pPr>
            <w:r>
              <w:rPr>
                <w:rFonts w:ascii="Arial" w:cs="Arial" w:eastAsia="Arial" w:hAnsi="Arial"/>
                <w:sz w:val="14"/>
                <w:szCs w:val="14"/>
                <w:b w:val="1"/>
                <w:bCs w:val="1"/>
                <w:color w:val="auto"/>
                <w:w w:val="96"/>
              </w:rPr>
              <w:t>Balance Sheet Location</w:t>
            </w:r>
          </w:p>
        </w:tc>
        <w:tc>
          <w:tcPr>
            <w:tcW w:w="5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180" w:type="dxa"/>
            <w:vAlign w:val="bottom"/>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5500" w:type="dxa"/>
            <w:vAlign w:val="bottom"/>
            <w:tcBorders>
              <w:bottom w:val="single" w:sz="8" w:color="auto"/>
            </w:tcBorders>
            <w:vMerge w:val="continue"/>
          </w:tcPr>
          <w:p>
            <w:pPr>
              <w:spacing w:after="0"/>
              <w:rPr>
                <w:sz w:val="24"/>
                <w:szCs w:val="24"/>
                <w:color w:val="auto"/>
              </w:rPr>
            </w:pPr>
          </w:p>
        </w:tc>
        <w:tc>
          <w:tcPr>
            <w:tcW w:w="120" w:type="dxa"/>
            <w:vAlign w:val="bottom"/>
            <w:vMerge w:val="continue"/>
          </w:tcPr>
          <w:p>
            <w:pPr>
              <w:spacing w:after="0"/>
              <w:rPr>
                <w:sz w:val="24"/>
                <w:szCs w:val="24"/>
                <w:color w:val="auto"/>
              </w:rPr>
            </w:pPr>
          </w:p>
        </w:tc>
        <w:tc>
          <w:tcPr>
            <w:tcW w:w="2180" w:type="dxa"/>
            <w:vAlign w:val="bottom"/>
            <w:tcBorders>
              <w:bottom w:val="single" w:sz="8" w:color="auto"/>
            </w:tcBorders>
            <w:vMerge w:val="continue"/>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380"/>
              <w:spacing w:after="0"/>
              <w:rPr>
                <w:sz w:val="20"/>
                <w:szCs w:val="20"/>
                <w:color w:val="auto"/>
              </w:rPr>
            </w:pPr>
            <w:r>
              <w:rPr>
                <w:rFonts w:ascii="Arial" w:cs="Arial" w:eastAsia="Arial" w:hAnsi="Arial"/>
                <w:sz w:val="18"/>
                <w:szCs w:val="18"/>
                <w:color w:val="auto"/>
              </w:rPr>
              <w:t>Foreign currency forward contracts</w:t>
            </w:r>
          </w:p>
        </w:tc>
        <w:tc>
          <w:tcPr>
            <w:tcW w:w="218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150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and other assets</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hedging instruments</w:t>
            </w:r>
          </w:p>
        </w:tc>
        <w:tc>
          <w:tcPr>
            <w:tcW w:w="2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40"/>
              <w:spacing w:after="0"/>
              <w:rPr>
                <w:sz w:val="20"/>
                <w:szCs w:val="20"/>
                <w:color w:val="auto"/>
              </w:rPr>
            </w:pPr>
            <w:r>
              <w:rPr>
                <w:rFonts w:ascii="Arial" w:cs="Arial" w:eastAsia="Arial" w:hAnsi="Arial"/>
                <w:sz w:val="18"/>
                <w:szCs w:val="18"/>
                <w:color w:val="auto"/>
              </w:rPr>
              <w:t>Total derivatives</w:t>
            </w:r>
          </w:p>
        </w:tc>
        <w:tc>
          <w:tcPr>
            <w:tcW w:w="2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gridSpan w:val="2"/>
            <w:vMerge w:val="continue"/>
          </w:tcPr>
          <w:p>
            <w:pPr>
              <w:spacing w:after="0"/>
              <w:rPr>
                <w:sz w:val="20"/>
                <w:szCs w:val="20"/>
                <w:color w:val="auto"/>
              </w:rPr>
            </w:pPr>
          </w:p>
        </w:tc>
        <w:tc>
          <w:tcPr>
            <w:tcW w:w="2180" w:type="dxa"/>
            <w:vAlign w:val="bottom"/>
          </w:tcPr>
          <w:p>
            <w:pPr>
              <w:spacing w:after="0"/>
              <w:rPr>
                <w:sz w:val="20"/>
                <w:szCs w:val="20"/>
                <w:color w:val="auto"/>
              </w:rPr>
            </w:pPr>
          </w:p>
        </w:tc>
        <w:tc>
          <w:tcPr>
            <w:tcW w:w="150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vMerge w:val="restart"/>
          </w:tcPr>
          <w:p>
            <w:pPr>
              <w:spacing w:after="0"/>
              <w:rPr>
                <w:sz w:val="20"/>
                <w:szCs w:val="20"/>
                <w:color w:val="auto"/>
              </w:rPr>
            </w:pPr>
            <w:r>
              <w:rPr>
                <w:rFonts w:ascii="Arial" w:cs="Arial" w:eastAsia="Arial" w:hAnsi="Arial"/>
                <w:sz w:val="18"/>
                <w:szCs w:val="18"/>
                <w:color w:val="auto"/>
              </w:rPr>
              <w:t>87</w:t>
            </w:r>
          </w:p>
        </w:tc>
        <w:tc>
          <w:tcPr>
            <w:tcW w:w="5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effect of derivative instruments on AOCI and the Consolidated Statements of Operations for the year ended September 30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00" w:type="dxa"/>
            <w:vAlign w:val="bottom"/>
            <w:gridSpan w:val="4"/>
          </w:tcPr>
          <w:p>
            <w:pPr>
              <w:jc w:val="center"/>
              <w:ind w:right="254"/>
              <w:spacing w:after="0"/>
              <w:rPr>
                <w:sz w:val="20"/>
                <w:szCs w:val="20"/>
                <w:color w:val="auto"/>
              </w:rPr>
            </w:pPr>
            <w:r>
              <w:rPr>
                <w:rFonts w:ascii="Arial" w:cs="Arial" w:eastAsia="Arial" w:hAnsi="Arial"/>
                <w:sz w:val="14"/>
                <w:szCs w:val="14"/>
                <w:b w:val="1"/>
                <w:bCs w:val="1"/>
                <w:color w:val="auto"/>
                <w:w w:val="95"/>
              </w:rPr>
              <w:t>Amount of Gain/(Loss)</w:t>
            </w:r>
          </w:p>
        </w:tc>
      </w:t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59"/>
              <w:spacing w:after="0"/>
              <w:rPr>
                <w:sz w:val="20"/>
                <w:szCs w:val="20"/>
                <w:color w:val="auto"/>
              </w:rPr>
            </w:pPr>
            <w:r>
              <w:rPr>
                <w:rFonts w:ascii="Arial" w:cs="Arial" w:eastAsia="Arial" w:hAnsi="Arial"/>
                <w:sz w:val="14"/>
                <w:szCs w:val="14"/>
                <w:b w:val="1"/>
                <w:bCs w:val="1"/>
                <w:color w:val="auto"/>
                <w:w w:val="95"/>
              </w:rPr>
              <w:t>Recognized in AOCI</w:t>
            </w:r>
          </w:p>
        </w:tc>
        <w:tc>
          <w:tcPr>
            <w:tcW w:w="880" w:type="dxa"/>
            <w:vAlign w:val="bottom"/>
            <w:tcBorders>
              <w:bottom w:val="single" w:sz="8" w:color="auto"/>
            </w:tcBorders>
          </w:tcPr>
          <w:p>
            <w:pPr>
              <w:spacing w:after="0"/>
              <w:rPr>
                <w:sz w:val="16"/>
                <w:szCs w:val="16"/>
                <w:color w:val="auto"/>
              </w:rPr>
            </w:pPr>
          </w:p>
        </w:tc>
      </w:tr>
      <w:tr>
        <w:trPr>
          <w:trHeight w:val="264"/>
        </w:trPr>
        <w:tc>
          <w:tcPr>
            <w:tcW w:w="4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33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2012</w:t>
            </w:r>
          </w:p>
        </w:tc>
      </w:tr>
      <w:tr>
        <w:trPr>
          <w:trHeight w:val="264"/>
        </w:trPr>
        <w:tc>
          <w:tcPr>
            <w:tcW w:w="4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20" w:type="dxa"/>
            <w:vAlign w:val="bottom"/>
            <w:gridSpan w:val="3"/>
          </w:tcPr>
          <w:p>
            <w:pPr>
              <w:jc w:val="center"/>
              <w:ind w:left="459"/>
              <w:spacing w:after="0"/>
              <w:rPr>
                <w:sz w:val="20"/>
                <w:szCs w:val="20"/>
                <w:color w:val="auto"/>
              </w:rPr>
            </w:pPr>
            <w:r>
              <w:rPr>
                <w:rFonts w:ascii="Arial" w:cs="Arial" w:eastAsia="Arial" w:hAnsi="Arial"/>
                <w:sz w:val="14"/>
                <w:szCs w:val="14"/>
                <w:b w:val="1"/>
                <w:bCs w:val="1"/>
                <w:color w:val="auto"/>
                <w:w w:val="96"/>
              </w:rPr>
              <w:t>(In millions)</w:t>
            </w:r>
          </w:p>
        </w:tc>
        <w:tc>
          <w:tcPr>
            <w:tcW w:w="880" w:type="dxa"/>
            <w:vAlign w:val="bottom"/>
          </w:tcPr>
          <w:p>
            <w:pPr>
              <w:spacing w:after="0"/>
              <w:rPr>
                <w:sz w:val="22"/>
                <w:szCs w:val="22"/>
                <w:color w:val="auto"/>
              </w:rPr>
            </w:pPr>
          </w:p>
        </w:tc>
      </w:tr>
      <w:tr>
        <w:trPr>
          <w:trHeight w:val="256"/>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3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3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1.6</w:t>
            </w: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r>
      <w:tr>
        <w:trPr>
          <w:trHeight w:val="569"/>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
          </w:tcPr>
          <w:p>
            <w:pPr>
              <w:ind w:left="780"/>
              <w:spacing w:after="0"/>
              <w:rPr>
                <w:sz w:val="20"/>
                <w:szCs w:val="20"/>
                <w:color w:val="auto"/>
              </w:rPr>
            </w:pPr>
            <w:r>
              <w:rPr>
                <w:rFonts w:ascii="Arial" w:cs="Arial" w:eastAsia="Arial" w:hAnsi="Arial"/>
                <w:sz w:val="14"/>
                <w:szCs w:val="14"/>
                <w:b w:val="1"/>
                <w:bCs w:val="1"/>
                <w:color w:val="auto"/>
              </w:rPr>
              <w:t>Reclassified From AOCI Into</w:t>
            </w:r>
          </w:p>
        </w:tc>
        <w:tc>
          <w:tcPr>
            <w:tcW w:w="3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center"/>
              <w:ind w:right="234"/>
              <w:spacing w:after="0"/>
              <w:rPr>
                <w:sz w:val="20"/>
                <w:szCs w:val="20"/>
                <w:color w:val="auto"/>
              </w:rPr>
            </w:pPr>
            <w:r>
              <w:rPr>
                <w:rFonts w:ascii="Arial" w:cs="Arial" w:eastAsia="Arial" w:hAnsi="Arial"/>
                <w:sz w:val="14"/>
                <w:szCs w:val="14"/>
                <w:b w:val="1"/>
                <w:bCs w:val="1"/>
                <w:color w:val="auto"/>
                <w:w w:val="94"/>
              </w:rPr>
              <w:t>Amount of Gain/(Loss)</w:t>
            </w:r>
          </w:p>
        </w:tc>
      </w:tr>
      <w:tr>
        <w:trPr>
          <w:trHeight w:val="264"/>
        </w:trPr>
        <w:tc>
          <w:tcPr>
            <w:tcW w:w="492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3440" w:type="dxa"/>
            <w:vAlign w:val="bottom"/>
            <w:gridSpan w:val="2"/>
          </w:tcPr>
          <w:p>
            <w:pPr>
              <w:ind w:left="920"/>
              <w:spacing w:after="0"/>
              <w:rPr>
                <w:sz w:val="20"/>
                <w:szCs w:val="20"/>
                <w:color w:val="auto"/>
              </w:rPr>
            </w:pPr>
            <w:r>
              <w:rPr>
                <w:rFonts w:ascii="Arial" w:cs="Arial" w:eastAsia="Arial" w:hAnsi="Arial"/>
                <w:sz w:val="14"/>
                <w:szCs w:val="14"/>
                <w:b w:val="1"/>
                <w:bCs w:val="1"/>
                <w:color w:val="auto"/>
              </w:rPr>
              <w:t>Statement of Operations</w:t>
            </w:r>
          </w:p>
        </w:tc>
        <w:tc>
          <w:tcPr>
            <w:tcW w:w="360" w:type="dxa"/>
            <w:vAlign w:val="bottom"/>
          </w:tcPr>
          <w:p>
            <w:pPr>
              <w:spacing w:after="0"/>
              <w:rPr>
                <w:sz w:val="22"/>
                <w:szCs w:val="22"/>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jc w:val="right"/>
              <w:ind w:right="514"/>
              <w:spacing w:after="0"/>
              <w:rPr>
                <w:sz w:val="20"/>
                <w:szCs w:val="20"/>
                <w:color w:val="auto"/>
              </w:rPr>
            </w:pPr>
            <w:r>
              <w:rPr>
                <w:rFonts w:ascii="Arial" w:cs="Arial" w:eastAsia="Arial" w:hAnsi="Arial"/>
                <w:sz w:val="14"/>
                <w:szCs w:val="14"/>
                <w:b w:val="1"/>
                <w:bCs w:val="1"/>
                <w:color w:val="auto"/>
                <w:w w:val="83"/>
              </w:rPr>
              <w:t>2012</w:t>
            </w:r>
          </w:p>
        </w:tc>
      </w:tr>
      <w:tr>
        <w:trPr>
          <w:trHeight w:val="264"/>
        </w:trPr>
        <w:tc>
          <w:tcPr>
            <w:tcW w:w="4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gridSpan w:val="3"/>
          </w:tcPr>
          <w:p>
            <w:pPr>
              <w:jc w:val="center"/>
              <w:ind w:left="459"/>
              <w:spacing w:after="0"/>
              <w:rPr>
                <w:sz w:val="20"/>
                <w:szCs w:val="20"/>
                <w:color w:val="auto"/>
              </w:rPr>
            </w:pPr>
            <w:r>
              <w:rPr>
                <w:rFonts w:ascii="Arial" w:cs="Arial" w:eastAsia="Arial" w:hAnsi="Arial"/>
                <w:sz w:val="14"/>
                <w:szCs w:val="14"/>
                <w:b w:val="1"/>
                <w:bCs w:val="1"/>
                <w:color w:val="auto"/>
                <w:w w:val="96"/>
              </w:rPr>
              <w:t>(In millions)</w:t>
            </w:r>
          </w:p>
        </w:tc>
        <w:tc>
          <w:tcPr>
            <w:tcW w:w="880" w:type="dxa"/>
            <w:vAlign w:val="bottom"/>
            <w:tcBorders>
              <w:top w:val="single" w:sz="8" w:color="auto"/>
            </w:tcBorders>
          </w:tcPr>
          <w:p>
            <w:pPr>
              <w:spacing w:after="0"/>
              <w:rPr>
                <w:sz w:val="22"/>
                <w:szCs w:val="22"/>
                <w:color w:val="auto"/>
              </w:rPr>
            </w:pPr>
          </w:p>
        </w:tc>
      </w:tr>
      <w:tr>
        <w:trPr>
          <w:trHeight w:val="256"/>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344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1.6</w:t>
            </w: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r>
      <w:tr>
        <w:trPr>
          <w:trHeight w:val="569"/>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center"/>
              <w:ind w:right="234"/>
              <w:spacing w:after="0"/>
              <w:rPr>
                <w:sz w:val="20"/>
                <w:szCs w:val="20"/>
                <w:color w:val="auto"/>
              </w:rPr>
            </w:pPr>
            <w:r>
              <w:rPr>
                <w:rFonts w:ascii="Arial" w:cs="Arial" w:eastAsia="Arial" w:hAnsi="Arial"/>
                <w:sz w:val="14"/>
                <w:szCs w:val="14"/>
                <w:b w:val="1"/>
                <w:bCs w:val="1"/>
                <w:color w:val="auto"/>
                <w:w w:val="94"/>
              </w:rPr>
              <w:t>Amount of Gain/(Loss)</w:t>
            </w:r>
          </w:p>
        </w:tc>
      </w:tr>
      <w:tr>
        <w:trPr>
          <w:trHeight w:val="264"/>
        </w:trPr>
        <w:tc>
          <w:tcPr>
            <w:tcW w:w="492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440" w:type="dxa"/>
            <w:vAlign w:val="bottom"/>
            <w:gridSpan w:val="2"/>
          </w:tcPr>
          <w:p>
            <w:pPr>
              <w:ind w:left="40"/>
              <w:spacing w:after="0"/>
              <w:rPr>
                <w:sz w:val="20"/>
                <w:szCs w:val="20"/>
                <w:color w:val="auto"/>
              </w:rPr>
            </w:pPr>
            <w:r>
              <w:rPr>
                <w:rFonts w:ascii="Arial" w:cs="Arial" w:eastAsia="Arial" w:hAnsi="Arial"/>
                <w:sz w:val="14"/>
                <w:szCs w:val="14"/>
                <w:b w:val="1"/>
                <w:bCs w:val="1"/>
                <w:color w:val="auto"/>
              </w:rPr>
              <w:t>Recognized in Statement of Operations</w:t>
            </w:r>
          </w:p>
        </w:tc>
        <w:tc>
          <w:tcPr>
            <w:tcW w:w="360" w:type="dxa"/>
            <w:vAlign w:val="bottom"/>
          </w:tcPr>
          <w:p>
            <w:pPr>
              <w:spacing w:after="0"/>
              <w:rPr>
                <w:sz w:val="22"/>
                <w:szCs w:val="22"/>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jc w:val="right"/>
              <w:ind w:right="514"/>
              <w:spacing w:after="0"/>
              <w:rPr>
                <w:sz w:val="20"/>
                <w:szCs w:val="20"/>
                <w:color w:val="auto"/>
              </w:rPr>
            </w:pPr>
            <w:r>
              <w:rPr>
                <w:rFonts w:ascii="Arial" w:cs="Arial" w:eastAsia="Arial" w:hAnsi="Arial"/>
                <w:sz w:val="14"/>
                <w:szCs w:val="14"/>
                <w:b w:val="1"/>
                <w:bCs w:val="1"/>
                <w:color w:val="auto"/>
                <w:w w:val="83"/>
              </w:rPr>
              <w:t>2012</w:t>
            </w:r>
          </w:p>
        </w:tc>
      </w:tr>
      <w:tr>
        <w:trPr>
          <w:trHeight w:val="264"/>
        </w:trPr>
        <w:tc>
          <w:tcPr>
            <w:tcW w:w="4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gridSpan w:val="3"/>
          </w:tcPr>
          <w:p>
            <w:pPr>
              <w:jc w:val="center"/>
              <w:ind w:left="459"/>
              <w:spacing w:after="0"/>
              <w:rPr>
                <w:sz w:val="20"/>
                <w:szCs w:val="20"/>
                <w:color w:val="auto"/>
              </w:rPr>
            </w:pPr>
            <w:r>
              <w:rPr>
                <w:rFonts w:ascii="Arial" w:cs="Arial" w:eastAsia="Arial" w:hAnsi="Arial"/>
                <w:sz w:val="14"/>
                <w:szCs w:val="14"/>
                <w:b w:val="1"/>
                <w:bCs w:val="1"/>
                <w:color w:val="auto"/>
                <w:w w:val="96"/>
              </w:rPr>
              <w:t>(In millions)</w:t>
            </w:r>
          </w:p>
        </w:tc>
        <w:tc>
          <w:tcPr>
            <w:tcW w:w="880" w:type="dxa"/>
            <w:vAlign w:val="bottom"/>
            <w:tcBorders>
              <w:top w:val="single" w:sz="8" w:color="auto"/>
            </w:tcBorders>
          </w:tcPr>
          <w:p>
            <w:pPr>
              <w:spacing w:after="0"/>
              <w:rPr>
                <w:sz w:val="22"/>
                <w:szCs w:val="22"/>
                <w:color w:val="auto"/>
              </w:rPr>
            </w:pPr>
          </w:p>
        </w:tc>
      </w:tr>
      <w:tr>
        <w:trPr>
          <w:trHeight w:val="256"/>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344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2.3</w:t>
            </w:r>
          </w:p>
        </w:tc>
      </w:tr>
      <w:tr>
        <w:trPr>
          <w:trHeight w:val="27"/>
        </w:trPr>
        <w:tc>
          <w:tcPr>
            <w:tcW w:w="4920" w:type="dxa"/>
            <w:vAlign w:val="bottom"/>
            <w:tcBorders>
              <w:bottom w:val="single" w:sz="8" w:color="CCEEFF"/>
            </w:tcBorders>
            <w:gridSpan w:val="2"/>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FAIR VALUE MEASUREMENTS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90" w:lineRule="exact"/>
        <w:rPr>
          <w:sz w:val="20"/>
          <w:szCs w:val="20"/>
          <w:color w:val="auto"/>
        </w:rPr>
      </w:pPr>
    </w:p>
    <w:p>
      <w:pPr>
        <w:jc w:val="both"/>
        <w:ind w:firstLine="432"/>
        <w:spacing w:after="0" w:line="334" w:lineRule="auto"/>
        <w:rPr>
          <w:sz w:val="20"/>
          <w:szCs w:val="20"/>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Observable inputs other than quoted prices included in Level 1, such as quoted prices for similar assets and liabilities in active markets; quoted</w:t>
      </w:r>
      <w:r>
        <w:rPr>
          <w:rFonts w:ascii="Arial" w:cs="Arial" w:eastAsia="Arial" w:hAnsi="Arial"/>
          <w:sz w:val="16"/>
          <w:szCs w:val="16"/>
          <w:i w:val="1"/>
          <w:iCs w:val="1"/>
          <w:color w:val="auto"/>
        </w:rPr>
        <w:t xml:space="preserve"> </w:t>
      </w:r>
      <w:r>
        <w:rPr>
          <w:rFonts w:ascii="Arial" w:cs="Arial" w:eastAsia="Arial" w:hAnsi="Arial"/>
          <w:sz w:val="16"/>
          <w:szCs w:val="16"/>
          <w:color w:val="auto"/>
        </w:rPr>
        <w:t>prices for similar assets and liabilities in markets that are not active; or other inputs that are observable or can be corroborated by observable market data.</w:t>
      </w:r>
    </w:p>
    <w:p>
      <w:pPr>
        <w:spacing w:after="0" w:line="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supported by little or no market activity and that are significant to the fair value of the assets or liabilities.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pricing models, discounted cash flow methodologies and similar techniques that use significant unobservable inputs.</w:t>
      </w:r>
    </w:p>
    <w:p>
      <w:pPr>
        <w:spacing w:after="0" w:line="11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describes the valuation methodologies used for financial assets and liabilities measured at fair value on a recurring basis, as well as the general classification within the valuation hierarchy.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Derivatives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Derivatives consist of foreign currency, interest rate and commodity derivative instruments. Foreign currency forward contracts are valued using observable forward rates in commonly quoted intervals for the full term of the contracts. Interest rate swap agreements are valued based on the present value of the estimated future net cash flows using implied rates in the applicable yield curve as of the valuation date. Commodity contracts are measured using observable commodity exchange prices in active markets.</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These derivative instruments are classified within Level 2 of the valuation hierarchy and are included within other assets and other liabilities in our Consolidated Balance Sheets, except for derivative instruments expected to be settled within the next 12 months, which are included within prepaid and other assets and other current liabilities.</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22" w:right="239" w:bottom="1440" w:gutter="0" w:footer="0" w:header="0"/>
          <w:type w:val="continuous"/>
        </w:sectPr>
      </w:pPr>
    </w:p>
    <w:bookmarkStart w:id="88" w:name="page89"/>
    <w:bookmarkEnd w:id="88"/>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Cash equivalents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Cash equivalents consist of highly liquid investments purchased with a maturity of three months or less. The carrying value of these cash equivalents approximates fair value due to their short-term maturities.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financial assets consist of investment securities in non-qualified retirement plan assets. These securities are valued using observable market prices in active markets.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September 30, 2013: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Quoted Prices in Active</w:t>
            </w: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60" w:type="dxa"/>
            <w:vAlign w:val="bottom"/>
          </w:tcPr>
          <w:p>
            <w:pPr>
              <w:spacing w:after="0"/>
              <w:rPr>
                <w:sz w:val="12"/>
                <w:szCs w:val="12"/>
                <w:color w:val="auto"/>
              </w:rPr>
            </w:pP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2"/>
                <w:szCs w:val="12"/>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Identical</w:t>
            </w: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forward contracts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presents the Company’s non-financial assets and liabilities measured at fair value on a non-recurring basis at September 30, 2013 and describes the valuation methodologies used for non-financial assets and liabilities measured at fair value, as well as the general classification within the valuation hierarchy:</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880" w:type="dxa"/>
            <w:vAlign w:val="bottom"/>
            <w:gridSpan w:val="2"/>
          </w:tcPr>
          <w:p>
            <w:pPr>
              <w:jc w:val="center"/>
              <w:ind w:right="201"/>
              <w:spacing w:after="0"/>
              <w:rPr>
                <w:sz w:val="20"/>
                <w:szCs w:val="20"/>
                <w:color w:val="auto"/>
              </w:rPr>
            </w:pPr>
            <w:r>
              <w:rPr>
                <w:rFonts w:ascii="Arial" w:cs="Arial" w:eastAsia="Arial" w:hAnsi="Arial"/>
                <w:sz w:val="14"/>
                <w:szCs w:val="14"/>
                <w:b w:val="1"/>
                <w:bCs w:val="1"/>
                <w:color w:val="auto"/>
                <w:w w:val="94"/>
              </w:rPr>
              <w:t>Quoted Prices in Active</w:t>
            </w:r>
          </w:p>
        </w:tc>
        <w:tc>
          <w:tcPr>
            <w:tcW w:w="1900" w:type="dxa"/>
            <w:vAlign w:val="bottom"/>
            <w:vMerge w:val="restart"/>
          </w:tcPr>
          <w:p>
            <w:pPr>
              <w:jc w:val="center"/>
              <w:ind w:right="542"/>
              <w:spacing w:after="0"/>
              <w:rPr>
                <w:sz w:val="20"/>
                <w:szCs w:val="20"/>
                <w:color w:val="auto"/>
              </w:rPr>
            </w:pPr>
            <w:r>
              <w:rPr>
                <w:rFonts w:ascii="Arial" w:cs="Arial" w:eastAsia="Arial" w:hAnsi="Arial"/>
                <w:sz w:val="14"/>
                <w:szCs w:val="14"/>
                <w:b w:val="1"/>
                <w:bCs w:val="1"/>
                <w:color w:val="auto"/>
                <w:w w:val="95"/>
              </w:rPr>
              <w:t>Significant Other</w:t>
            </w:r>
          </w:p>
        </w:tc>
        <w:tc>
          <w:tcPr>
            <w:tcW w:w="1700" w:type="dxa"/>
            <w:vAlign w:val="bottom"/>
            <w:vMerge w:val="restart"/>
          </w:tcPr>
          <w:p>
            <w:pPr>
              <w:jc w:val="center"/>
              <w:ind w:right="741"/>
              <w:spacing w:after="0"/>
              <w:rPr>
                <w:sz w:val="20"/>
                <w:szCs w:val="20"/>
                <w:color w:val="auto"/>
              </w:rPr>
            </w:pPr>
            <w:r>
              <w:rPr>
                <w:rFonts w:ascii="Arial" w:cs="Arial" w:eastAsia="Arial" w:hAnsi="Arial"/>
                <w:sz w:val="14"/>
                <w:szCs w:val="14"/>
                <w:b w:val="1"/>
                <w:bCs w:val="1"/>
                <w:color w:val="auto"/>
                <w:w w:val="90"/>
              </w:rPr>
              <w:t>Unobservable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jc w:val="center"/>
              <w:ind w:right="321"/>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900" w:type="dxa"/>
            <w:vAlign w:val="bottom"/>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24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jc w:val="center"/>
              <w:ind w:right="301"/>
              <w:spacing w:after="0" w:line="149" w:lineRule="exact"/>
              <w:rPr>
                <w:sz w:val="20"/>
                <w:szCs w:val="20"/>
                <w:color w:val="auto"/>
              </w:rPr>
            </w:pPr>
            <w:r>
              <w:rPr>
                <w:rFonts w:ascii="Arial" w:cs="Arial" w:eastAsia="Arial" w:hAnsi="Arial"/>
                <w:sz w:val="14"/>
                <w:szCs w:val="14"/>
                <w:b w:val="1"/>
                <w:bCs w:val="1"/>
                <w:color w:val="auto"/>
                <w:w w:val="82"/>
              </w:rPr>
              <w:t>Assets</w:t>
            </w:r>
          </w:p>
        </w:tc>
        <w:tc>
          <w:tcPr>
            <w:tcW w:w="1900" w:type="dxa"/>
            <w:vAlign w:val="bottom"/>
          </w:tcPr>
          <w:p>
            <w:pPr>
              <w:jc w:val="center"/>
              <w:ind w:right="542"/>
              <w:spacing w:after="0" w:line="149" w:lineRule="exact"/>
              <w:rPr>
                <w:sz w:val="20"/>
                <w:szCs w:val="20"/>
                <w:color w:val="auto"/>
              </w:rPr>
            </w:pPr>
            <w:r>
              <w:rPr>
                <w:rFonts w:ascii="Arial" w:cs="Arial" w:eastAsia="Arial" w:hAnsi="Arial"/>
                <w:sz w:val="14"/>
                <w:szCs w:val="14"/>
                <w:b w:val="1"/>
                <w:bCs w:val="1"/>
                <w:color w:val="auto"/>
                <w:w w:val="94"/>
              </w:rPr>
              <w:t>Observable Inputs</w:t>
            </w:r>
          </w:p>
        </w:tc>
        <w:tc>
          <w:tcPr>
            <w:tcW w:w="1700" w:type="dxa"/>
            <w:vAlign w:val="bottom"/>
          </w:tcPr>
          <w:p>
            <w:pPr>
              <w:jc w:val="center"/>
              <w:ind w:right="741"/>
              <w:spacing w:after="0" w:line="149" w:lineRule="exact"/>
              <w:rPr>
                <w:sz w:val="20"/>
                <w:szCs w:val="20"/>
                <w:color w:val="auto"/>
              </w:rPr>
            </w:pPr>
            <w:r>
              <w:rPr>
                <w:rFonts w:ascii="Arial" w:cs="Arial" w:eastAsia="Arial" w:hAnsi="Arial"/>
                <w:sz w:val="14"/>
                <w:szCs w:val="14"/>
                <w:b w:val="1"/>
                <w:bCs w:val="1"/>
                <w:color w:val="auto"/>
                <w:w w:val="95"/>
              </w:rPr>
              <w:t>Inputs</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301"/>
              <w:spacing w:after="0"/>
              <w:rPr>
                <w:sz w:val="20"/>
                <w:szCs w:val="20"/>
                <w:color w:val="auto"/>
              </w:rPr>
            </w:pPr>
            <w:r>
              <w:rPr>
                <w:rFonts w:ascii="Arial" w:cs="Arial" w:eastAsia="Arial" w:hAnsi="Arial"/>
                <w:sz w:val="14"/>
                <w:szCs w:val="14"/>
                <w:b w:val="1"/>
                <w:bCs w:val="1"/>
                <w:color w:val="auto"/>
                <w:w w:val="94"/>
              </w:rPr>
              <w:t>(Level 1)</w:t>
            </w:r>
          </w:p>
        </w:tc>
        <w:tc>
          <w:tcPr>
            <w:tcW w:w="1900" w:type="dxa"/>
            <w:vAlign w:val="bottom"/>
            <w:tcBorders>
              <w:bottom w:val="single" w:sz="8" w:color="auto"/>
            </w:tcBorders>
          </w:tcPr>
          <w:p>
            <w:pPr>
              <w:jc w:val="center"/>
              <w:ind w:right="542"/>
              <w:spacing w:after="0"/>
              <w:rPr>
                <w:sz w:val="20"/>
                <w:szCs w:val="20"/>
                <w:color w:val="auto"/>
              </w:rPr>
            </w:pPr>
            <w:r>
              <w:rPr>
                <w:rFonts w:ascii="Arial" w:cs="Arial" w:eastAsia="Arial" w:hAnsi="Arial"/>
                <w:sz w:val="14"/>
                <w:szCs w:val="14"/>
                <w:b w:val="1"/>
                <w:bCs w:val="1"/>
                <w:color w:val="auto"/>
                <w:w w:val="91"/>
              </w:rPr>
              <w:t>(Level 2)</w:t>
            </w:r>
          </w:p>
        </w:tc>
        <w:tc>
          <w:tcPr>
            <w:tcW w:w="1700" w:type="dxa"/>
            <w:vAlign w:val="bottom"/>
            <w:tcBorders>
              <w:bottom w:val="single" w:sz="8" w:color="auto"/>
            </w:tcBorders>
          </w:tcPr>
          <w:p>
            <w:pPr>
              <w:jc w:val="center"/>
              <w:ind w:right="721"/>
              <w:spacing w:after="0"/>
              <w:rPr>
                <w:sz w:val="20"/>
                <w:szCs w:val="20"/>
                <w:color w:val="auto"/>
              </w:rPr>
            </w:pPr>
            <w:r>
              <w:rPr>
                <w:rFonts w:ascii="Arial" w:cs="Arial" w:eastAsia="Arial" w:hAnsi="Arial"/>
                <w:sz w:val="14"/>
                <w:szCs w:val="14"/>
                <w:b w:val="1"/>
                <w:bCs w:val="1"/>
                <w:color w:val="auto"/>
                <w:w w:val="94"/>
              </w:rPr>
              <w:t>(Level 3)</w:t>
            </w: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900" w:type="dxa"/>
            <w:vAlign w:val="bottom"/>
          </w:tcPr>
          <w:p>
            <w:pPr>
              <w:ind w:left="1120"/>
              <w:spacing w:after="0"/>
              <w:rPr>
                <w:sz w:val="20"/>
                <w:szCs w:val="20"/>
                <w:color w:val="auto"/>
              </w:rPr>
            </w:pPr>
            <w:r>
              <w:rPr>
                <w:rFonts w:ascii="Arial" w:cs="Arial" w:eastAsia="Arial" w:hAnsi="Arial"/>
                <w:sz w:val="14"/>
                <w:szCs w:val="14"/>
                <w:b w:val="1"/>
                <w:bCs w:val="1"/>
                <w:color w:val="auto"/>
                <w:w w:val="96"/>
              </w:rPr>
              <w:t>(In millions)</w:t>
            </w:r>
          </w:p>
        </w:tc>
        <w:tc>
          <w:tcPr>
            <w:tcW w:w="17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Consumer insect repellent technology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   $</w:t>
            </w:r>
          </w:p>
        </w:tc>
        <w:tc>
          <w:tcPr>
            <w:tcW w:w="19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   $</w:t>
            </w:r>
          </w:p>
        </w:tc>
        <w:tc>
          <w:tcPr>
            <w:tcW w:w="170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   $</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41"/>
        </w:trPr>
        <w:tc>
          <w:tcPr>
            <w:tcW w:w="4700" w:type="dxa"/>
            <w:vAlign w:val="bottom"/>
          </w:tcPr>
          <w:p>
            <w:pPr>
              <w:ind w:left="40"/>
              <w:spacing w:after="0"/>
              <w:rPr>
                <w:sz w:val="20"/>
                <w:szCs w:val="20"/>
                <w:color w:val="auto"/>
              </w:rPr>
            </w:pPr>
            <w:r>
              <w:rPr>
                <w:rFonts w:ascii="Arial" w:cs="Arial" w:eastAsia="Arial" w:hAnsi="Arial"/>
                <w:sz w:val="18"/>
                <w:szCs w:val="18"/>
                <w:color w:val="auto"/>
              </w:rPr>
              <w:t>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brands and sub-brands</w:t>
            </w:r>
          </w:p>
        </w:tc>
        <w:tc>
          <w:tcPr>
            <w:tcW w:w="120" w:type="dxa"/>
            <w:vAlign w:val="bottom"/>
          </w:tcPr>
          <w:p>
            <w:pPr>
              <w:spacing w:after="0"/>
              <w:rPr>
                <w:sz w:val="24"/>
                <w:szCs w:val="24"/>
                <w:color w:val="auto"/>
              </w:rPr>
            </w:pPr>
          </w:p>
        </w:tc>
        <w:tc>
          <w:tcPr>
            <w:tcW w:w="1760" w:type="dxa"/>
            <w:vAlign w:val="bottom"/>
          </w:tcPr>
          <w:p>
            <w:pPr>
              <w:ind w:left="1200"/>
              <w:spacing w:after="0"/>
              <w:rPr>
                <w:sz w:val="20"/>
                <w:szCs w:val="20"/>
                <w:color w:val="auto"/>
              </w:rPr>
            </w:pPr>
            <w:r>
              <w:rPr>
                <w:rFonts w:ascii="Arial" w:cs="Arial" w:eastAsia="Arial" w:hAnsi="Arial"/>
                <w:sz w:val="18"/>
                <w:szCs w:val="18"/>
                <w:color w:val="auto"/>
              </w:rPr>
              <w:t>—</w:t>
            </w:r>
          </w:p>
        </w:tc>
        <w:tc>
          <w:tcPr>
            <w:tcW w:w="1900" w:type="dxa"/>
            <w:vAlign w:val="bottom"/>
          </w:tcPr>
          <w:p>
            <w:pPr>
              <w:ind w:left="114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81"/>
              <w:spacing w:after="0"/>
              <w:rPr>
                <w:sz w:val="20"/>
                <w:szCs w:val="20"/>
                <w:color w:val="auto"/>
              </w:rPr>
            </w:pPr>
            <w:r>
              <w:rPr>
                <w:rFonts w:ascii="Arial" w:cs="Arial" w:eastAsia="Arial" w:hAnsi="Arial"/>
                <w:sz w:val="18"/>
                <w:szCs w:val="18"/>
                <w:color w:val="auto"/>
              </w:rPr>
              <w:t>126.0</w:t>
            </w: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firstLine="432"/>
        <w:spacing w:after="0" w:line="227" w:lineRule="auto"/>
        <w:rPr>
          <w:sz w:val="20"/>
          <w:szCs w:val="20"/>
          <w:color w:val="auto"/>
        </w:rPr>
      </w:pPr>
      <w:r>
        <w:rPr>
          <w:rFonts w:ascii="Arial" w:cs="Arial" w:eastAsia="Arial" w:hAnsi="Arial"/>
          <w:sz w:val="17"/>
          <w:szCs w:val="17"/>
          <w:color w:val="auto"/>
        </w:rPr>
        <w:t>The intangible asset related to the insect repellent technology was determined to be fully impaired based on the estimated future cash flows associated with the insect repellent technology in relation to its carrying value. Also, as a result of the Company's annual impairment review performed in the fourth quarter of fiscal 2013, the Company recognized an impairment charge for a non-recurring fair value adjustment of $11.6 million within the Global Consumer segment related to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and certain sub-brands of Ortho</w:t>
      </w:r>
      <w:r>
        <w:rPr>
          <w:rFonts w:ascii="Arial" w:cs="Arial" w:eastAsia="Arial" w:hAnsi="Arial"/>
          <w:sz w:val="24"/>
          <w:szCs w:val="24"/>
          <w:color w:val="auto"/>
          <w:vertAlign w:val="superscript"/>
        </w:rPr>
        <w:t>®</w:t>
      </w:r>
      <w:r>
        <w:rPr>
          <w:rFonts w:ascii="Arial" w:cs="Arial" w:eastAsia="Arial" w:hAnsi="Arial"/>
          <w:sz w:val="17"/>
          <w:szCs w:val="17"/>
          <w:color w:val="auto"/>
        </w:rPr>
        <w:t>. Certain finite-lived sub-brands of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were determined to be fully impaired. The remaining fair value of the indefinite-lived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and sub-brands is $126.0 million. The fair value was calculated based upon the evaluation of the historical performance and future growth of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using a royalty savings methodology similar to that employed when the associated business was acquired with updated estimates of sales, cash flow and profitability.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September 30, 2012: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Quoted Prices in Active</w:t>
            </w:r>
          </w:p>
        </w:tc>
        <w:tc>
          <w:tcPr>
            <w:tcW w:w="160" w:type="dxa"/>
            <w:vAlign w:val="bottom"/>
          </w:tcPr>
          <w:p>
            <w:pPr>
              <w:spacing w:after="0"/>
              <w:rPr>
                <w:sz w:val="14"/>
                <w:szCs w:val="14"/>
                <w:color w:val="auto"/>
              </w:rPr>
            </w:pP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4"/>
                <w:szCs w:val="14"/>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presents the Company’s non-financial assets and liabilities measured at fair value on a non-recurring basis at September 30, 2012 and describes the valuation methodologies used for non-financial assets and liabilities measured at fair value, as well as the general classification within the valuation hierarchy:</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Quoted Prices in Active</w:t>
            </w:r>
          </w:p>
        </w:tc>
        <w:tc>
          <w:tcPr>
            <w:tcW w:w="240" w:type="dxa"/>
            <w:vAlign w:val="bottom"/>
          </w:tcPr>
          <w:p>
            <w:pPr>
              <w:spacing w:after="0"/>
              <w:rPr>
                <w:sz w:val="14"/>
                <w:szCs w:val="14"/>
                <w:color w:val="auto"/>
              </w:rPr>
            </w:pPr>
          </w:p>
        </w:tc>
        <w:tc>
          <w:tcPr>
            <w:tcW w:w="1460" w:type="dxa"/>
            <w:vAlign w:val="bottom"/>
            <w:vMerge w:val="restart"/>
          </w:tcPr>
          <w:p>
            <w:pPr>
              <w:jc w:val="center"/>
              <w:ind w:right="104"/>
              <w:spacing w:after="0"/>
              <w:rPr>
                <w:sz w:val="20"/>
                <w:szCs w:val="20"/>
                <w:color w:val="auto"/>
              </w:rPr>
            </w:pPr>
            <w:r>
              <w:rPr>
                <w:rFonts w:ascii="Arial" w:cs="Arial" w:eastAsia="Arial" w:hAnsi="Arial"/>
                <w:sz w:val="14"/>
                <w:szCs w:val="14"/>
                <w:b w:val="1"/>
                <w:bCs w:val="1"/>
                <w:color w:val="auto"/>
                <w:w w:val="95"/>
              </w:rPr>
              <w:t>Significant Other</w:t>
            </w:r>
          </w:p>
        </w:tc>
        <w:tc>
          <w:tcPr>
            <w:tcW w:w="440" w:type="dxa"/>
            <w:vAlign w:val="bottom"/>
          </w:tcPr>
          <w:p>
            <w:pPr>
              <w:spacing w:after="0"/>
              <w:rPr>
                <w:sz w:val="14"/>
                <w:szCs w:val="14"/>
                <w:color w:val="auto"/>
              </w:rPr>
            </w:pPr>
          </w:p>
        </w:tc>
        <w:tc>
          <w:tcPr>
            <w:tcW w:w="1260" w:type="dxa"/>
            <w:vAlign w:val="bottom"/>
            <w:vMerge w:val="restart"/>
          </w:tcPr>
          <w:p>
            <w:pPr>
              <w:jc w:val="center"/>
              <w:ind w:right="304"/>
              <w:spacing w:after="0"/>
              <w:rPr>
                <w:sz w:val="20"/>
                <w:szCs w:val="20"/>
                <w:color w:val="auto"/>
              </w:rPr>
            </w:pPr>
            <w:r>
              <w:rPr>
                <w:rFonts w:ascii="Arial" w:cs="Arial" w:eastAsia="Arial" w:hAnsi="Arial"/>
                <w:sz w:val="14"/>
                <w:szCs w:val="14"/>
                <w:b w:val="1"/>
                <w:bCs w:val="1"/>
                <w:color w:val="auto"/>
                <w:w w:val="90"/>
              </w:rPr>
              <w:t>Unobservable</w:t>
            </w: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2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vMerge w:val="restart"/>
          </w:tcPr>
          <w:p>
            <w:pPr>
              <w:jc w:val="center"/>
              <w:ind w:right="28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2"/>
              </w:rPr>
              <w:t>Assets</w:t>
            </w:r>
          </w:p>
        </w:tc>
        <w:tc>
          <w:tcPr>
            <w:tcW w:w="240" w:type="dxa"/>
            <w:vAlign w:val="bottom"/>
          </w:tcPr>
          <w:p>
            <w:pPr>
              <w:spacing w:after="0"/>
              <w:rPr>
                <w:sz w:val="12"/>
                <w:szCs w:val="12"/>
                <w:color w:val="auto"/>
              </w:rPr>
            </w:pPr>
          </w:p>
        </w:tc>
        <w:tc>
          <w:tcPr>
            <w:tcW w:w="146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4"/>
              </w:rPr>
              <w:t>Observable Inputs</w:t>
            </w:r>
          </w:p>
        </w:tc>
        <w:tc>
          <w:tcPr>
            <w:tcW w:w="440" w:type="dxa"/>
            <w:vAlign w:val="bottom"/>
          </w:tcPr>
          <w:p>
            <w:pPr>
              <w:spacing w:after="0"/>
              <w:rPr>
                <w:sz w:val="12"/>
                <w:szCs w:val="12"/>
                <w:color w:val="auto"/>
              </w:rPr>
            </w:pPr>
          </w:p>
        </w:tc>
        <w:tc>
          <w:tcPr>
            <w:tcW w:w="1260" w:type="dxa"/>
            <w:vAlign w:val="bottom"/>
          </w:tcPr>
          <w:p>
            <w:pPr>
              <w:jc w:val="center"/>
              <w:ind w:right="304"/>
              <w:spacing w:after="0" w:line="149" w:lineRule="exact"/>
              <w:rPr>
                <w:sz w:val="20"/>
                <w:szCs w:val="20"/>
                <w:color w:val="auto"/>
              </w:rPr>
            </w:pPr>
            <w:r>
              <w:rPr>
                <w:rFonts w:ascii="Arial" w:cs="Arial" w:eastAsia="Arial" w:hAnsi="Arial"/>
                <w:sz w:val="14"/>
                <w:szCs w:val="14"/>
                <w:b w:val="1"/>
                <w:bCs w:val="1"/>
                <w:color w:val="auto"/>
                <w:w w:val="95"/>
              </w:rPr>
              <w:t>Inputs</w:t>
            </w:r>
          </w:p>
        </w:tc>
        <w:tc>
          <w:tcPr>
            <w:tcW w:w="4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1"/>
              </w:rPr>
              <w:t>(Level 2)</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84"/>
              <w:spacing w:after="0"/>
              <w:rPr>
                <w:sz w:val="20"/>
                <w:szCs w:val="20"/>
                <w:color w:val="auto"/>
              </w:rPr>
            </w:pPr>
            <w:r>
              <w:rPr>
                <w:rFonts w:ascii="Arial" w:cs="Arial" w:eastAsia="Arial" w:hAnsi="Arial"/>
                <w:sz w:val="14"/>
                <w:szCs w:val="14"/>
                <w:b w:val="1"/>
                <w:bCs w:val="1"/>
                <w:color w:val="auto"/>
                <w:w w:val="94"/>
              </w:rPr>
              <w:t>(Level 3)</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82"/>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 of MAT 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Certain property, plant and equipment and other assets were written down to their fair value, resulting in an impairment charge of $5.3 million, which was included in earnings for the period. The value of the property, plant and equipment was determined using the market approach, which is a valuation technique based on what other purchasers and sellers in the market have agreed to as prices for comparable assets, adjusted for such factors as age, condition and location of the respective assets being valued. The intangible asset was determined to be fully impaired based on estimated future cash flows associated with this active ingredient in relation to its carrying value.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OPERATING LEASES</w:t>
      </w:r>
    </w:p>
    <w:p>
      <w:pPr>
        <w:spacing w:after="0" w:line="9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leases certain property and equipment from third parties under various non-cancelable operating lease agreements. Certain lease agreements contain renewal and purchase options. The lease agreements generally require that the Company pay taxes, insurance and maintenance expenses related to the leased assets. Future minimum lease payments for non-cancelable operating leases at September 30, 2013, were as follows (in millions):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2015</w:t>
            </w: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37.8</w:t>
            </w:r>
          </w:p>
        </w:tc>
      </w:tr>
      <w:tr>
        <w:trPr>
          <w:trHeight w:val="27"/>
        </w:trPr>
        <w:tc>
          <w:tcPr>
            <w:tcW w:w="9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2017</w:t>
            </w: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17.4</w:t>
            </w:r>
          </w:p>
        </w:tc>
      </w:tr>
      <w:tr>
        <w:trPr>
          <w:trHeight w:val="27"/>
        </w:trPr>
        <w:tc>
          <w:tcPr>
            <w:tcW w:w="9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35.1</w:t>
            </w:r>
          </w:p>
        </w:tc>
      </w:tr>
      <w:tr>
        <w:trPr>
          <w:trHeight w:val="27"/>
        </w:trPr>
        <w:tc>
          <w:tcPr>
            <w:tcW w:w="94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minimum lease payments</w:t>
            </w: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179.0</w:t>
            </w:r>
          </w:p>
        </w:tc>
      </w:tr>
      <w:tr>
        <w:trPr>
          <w:trHeight w:val="20"/>
        </w:trPr>
        <w:tc>
          <w:tcPr>
            <w:tcW w:w="9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also leases certain vehicles (primarily cars and light trucks) under agreements that are cancelable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 conclusion of the lease term. If all such vehicle leases had been canceled as of September 30, 2013, the Company’s residual value guarantee would have approximated $9.4 million.</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residual value guarantee amounts that apply at the conclusion of non-cancelable lease terms are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640" w:type="dxa"/>
            <w:vAlign w:val="bottom"/>
          </w:tcPr>
          <w:p>
            <w:pPr>
              <w:jc w:val="center"/>
              <w:ind w:left="464"/>
              <w:spacing w:after="0"/>
              <w:rPr>
                <w:sz w:val="20"/>
                <w:szCs w:val="20"/>
                <w:color w:val="auto"/>
              </w:rPr>
            </w:pPr>
            <w:r>
              <w:rPr>
                <w:rFonts w:ascii="Arial" w:cs="Arial" w:eastAsia="Arial" w:hAnsi="Arial"/>
                <w:sz w:val="14"/>
                <w:szCs w:val="14"/>
                <w:b w:val="1"/>
                <w:bCs w:val="1"/>
                <w:color w:val="auto"/>
                <w:w w:val="94"/>
              </w:rPr>
              <w:t>Amount of</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0"/>
              </w:rPr>
              <w:t>Lease</w:t>
            </w:r>
          </w:p>
        </w:tc>
      </w:tr>
      <w:tr>
        <w:trPr>
          <w:trHeight w:val="192"/>
        </w:trPr>
        <w:tc>
          <w:tcPr>
            <w:tcW w:w="6980" w:type="dxa"/>
            <w:vAlign w:val="bottom"/>
          </w:tcPr>
          <w:p>
            <w:pPr>
              <w:spacing w:after="0"/>
              <w:rPr>
                <w:sz w:val="16"/>
                <w:szCs w:val="16"/>
                <w:color w:val="auto"/>
              </w:rPr>
            </w:pPr>
          </w:p>
        </w:tc>
        <w:tc>
          <w:tcPr>
            <w:tcW w:w="1640" w:type="dxa"/>
            <w:vAlign w:val="bottom"/>
            <w:tcBorders>
              <w:bottom w:val="single" w:sz="8" w:color="auto"/>
            </w:tcBorders>
          </w:tcPr>
          <w:p>
            <w:pPr>
              <w:jc w:val="center"/>
              <w:ind w:left="464"/>
              <w:spacing w:after="0"/>
              <w:rPr>
                <w:sz w:val="20"/>
                <w:szCs w:val="20"/>
                <w:color w:val="auto"/>
              </w:rPr>
            </w:pPr>
            <w:r>
              <w:rPr>
                <w:rFonts w:ascii="Arial" w:cs="Arial" w:eastAsia="Arial" w:hAnsi="Arial"/>
                <w:sz w:val="14"/>
                <w:szCs w:val="14"/>
                <w:b w:val="1"/>
                <w:bCs w:val="1"/>
                <w:color w:val="auto"/>
                <w:w w:val="95"/>
              </w:rPr>
              <w:t>Guarantee</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Termination Date</w:t>
            </w:r>
          </w:p>
        </w:tc>
      </w:tr>
      <w:tr>
        <w:trPr>
          <w:trHeight w:val="264"/>
        </w:trPr>
        <w:tc>
          <w:tcPr>
            <w:tcW w:w="6980" w:type="dxa"/>
            <w:vAlign w:val="bottom"/>
          </w:tcPr>
          <w:p>
            <w:pPr>
              <w:spacing w:after="0"/>
              <w:rPr>
                <w:sz w:val="22"/>
                <w:szCs w:val="22"/>
                <w:color w:val="auto"/>
              </w:rPr>
            </w:pPr>
          </w:p>
        </w:tc>
        <w:tc>
          <w:tcPr>
            <w:tcW w:w="1640" w:type="dxa"/>
            <w:vAlign w:val="bottom"/>
          </w:tcPr>
          <w:p>
            <w:pPr>
              <w:jc w:val="center"/>
              <w:ind w:left="444"/>
              <w:spacing w:after="0"/>
              <w:rPr>
                <w:sz w:val="20"/>
                <w:szCs w:val="20"/>
                <w:color w:val="auto"/>
              </w:rPr>
            </w:pPr>
            <w:r>
              <w:rPr>
                <w:rFonts w:ascii="Arial" w:cs="Arial" w:eastAsia="Arial" w:hAnsi="Arial"/>
                <w:sz w:val="14"/>
                <w:szCs w:val="14"/>
                <w:b w:val="1"/>
                <w:bCs w:val="1"/>
                <w:color w:val="auto"/>
                <w:w w:val="96"/>
              </w:rPr>
              <w:t>(In millions)</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276"/>
        </w:trPr>
        <w:tc>
          <w:tcPr>
            <w:tcW w:w="698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vehicles</w:t>
            </w:r>
          </w:p>
        </w:tc>
        <w:tc>
          <w:tcPr>
            <w:tcW w:w="1640" w:type="dxa"/>
            <w:vAlign w:val="bottom"/>
            <w:shd w:val="clear" w:color="auto" w:fill="CCEEFF"/>
          </w:tcPr>
          <w:p>
            <w:pPr>
              <w:jc w:val="right"/>
              <w:ind w:right="1444"/>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Corporate aircraft</w:t>
            </w:r>
          </w:p>
        </w:tc>
        <w:tc>
          <w:tcPr>
            <w:tcW w:w="16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2016</w:t>
            </w: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Rent expense for fiscal 2013, fiscal 2012 and fiscal 2011 totaled $61.9 million, $69.0 million and $67.2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has the following unconditional purchase obligations due during each of the next five fiscal years that have not been recognized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at September 30, 2013 (in millions):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114.3</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2015</w:t>
            </w: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54.3</w:t>
            </w:r>
          </w:p>
        </w:tc>
      </w:tr>
      <w:tr>
        <w:trPr>
          <w:trHeight w:val="27"/>
        </w:trPr>
        <w:tc>
          <w:tcPr>
            <w:tcW w:w="9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2017</w:t>
            </w: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27"/>
        </w:trPr>
        <w:tc>
          <w:tcPr>
            <w:tcW w:w="9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94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94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211.3</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Purchase obligations primarily represent commitments for materials used in the Company’s manufacturing processes, as well as commitments for warehouse services, grass seed and out-sourced information services. In addition, the Company leases certain property and equipment from third parties under various non-cancelable operating lease agreements. Future minimum lease payments for non-cancelable operating leases not included above are included in “NOTE 16. OPERATING LEASES.”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CONTINGENCIES</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reserves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are expensed as incurred. In the opinion of management, its assessment of contingencies is reasonable and related reserves, in the aggregate, are adequate; however, there can be no assurance that final resolution of these matters will not have a material effect on the Company’s financial condition, results of operations or cash flows.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At September 30, 2013, $4.0 million was accrued in the “Other liabilities” line in the Consolidated Balance Sheet for environmental actions, the majority of which is for site remediation. The amounts accrued are believed to be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9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Company believes that the claims against it are without merit and is vigorously defending against them. It is not currently possible to reasonably estimate a probable loss, if any, associated with these cases and, accordingly, no reserves have been recorded in the Company’s Consolidated Financial Statements. The Company is reviewing agreements and policies that may provide insurance coverage or indemnity as to these claims and is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effect on the Company’s financial condition, results of operations or cash flows.</w:t>
      </w:r>
    </w:p>
    <w:p>
      <w:pPr>
        <w:spacing w:after="0" w:line="3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 xml:space="preserve">In connection with the sale of wild bird food products that were the subject of a voluntary recall in 2008, the Company has been named as a defendant in four putative class actions filed on and after June 27, 2012, which have now been consolidated in the United States District Court for the Southern District of California as </w:t>
      </w:r>
      <w:r>
        <w:rPr>
          <w:rFonts w:ascii="Arial" w:cs="Arial" w:eastAsia="Arial" w:hAnsi="Arial"/>
          <w:sz w:val="17"/>
          <w:szCs w:val="17"/>
          <w:i w:val="1"/>
          <w:iCs w:val="1"/>
          <w:color w:val="auto"/>
        </w:rPr>
        <w:t>In re Morning Song Bird Food Litigation</w:t>
      </w:r>
      <w:r>
        <w:rPr>
          <w:rFonts w:ascii="Arial" w:cs="Arial" w:eastAsia="Arial" w:hAnsi="Arial"/>
          <w:sz w:val="17"/>
          <w:szCs w:val="17"/>
          <w:color w:val="auto"/>
        </w:rPr>
        <w:t>, Lead Case No. 3:12-cv-01592-JAH-RBB. The plaintiffs allege various statutory and common law claims associated with the Company's sale of wild bird food products and a plea agreement entered into in previously pending government proceedings associated with such sales. The plaintiffs allege, among other things, a purported class action on behalf of all persons and entities in the United States who purchased certain bird food products. The plaintiffs seek monetary damages (actual, compensatory, consequential, punitive, and treble); reimbursement, restitution, and disgorgement for benefits unjustly conferred; injunctive and declaratory relief; pre-judgment and post-judgment interest; and costs and attorneys' fees. The Company intends to vigorously defend the consolidated action. Given the early stages of the action, the Company cannot make a determination as to whether it could have a material effect on the Company's financial condition, results of operations or cash flows and the Company has not recorded any accruals with respect thereto.</w:t>
      </w:r>
    </w:p>
    <w:p>
      <w:pPr>
        <w:spacing w:after="0" w:line="12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CONCENTRATIONS OF CREDIT RISK</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maintains cash depository accounts with major financial institutions around the world and invests in high quality, short-term liquid investments. Such investments are made only in investments issued by highly rated institutions. These investments mature within three months and have not historically incurred any losses.</w:t>
      </w:r>
    </w:p>
    <w:p>
      <w:pPr>
        <w:spacing w:after="0" w:line="4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Trade accounts receivable are exposed to a concentration of credit risk with retailers principally located in the United States. The Company's retail customers include home centers, mass merchandisers, warehouse clubs, large hardware chains, independent hardware stores, nurseries, garden centers and food and drug stores. Concentrations of net sales and accounts receivable by segment in the United States as a percentage of consolidated net sales and accounts receivable at September 30 were as follows: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Percentage of Net Sales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3"/>
          </w:tcPr>
          <w:p>
            <w:pPr>
              <w:jc w:val="right"/>
              <w:ind w:right="214"/>
              <w:spacing w:after="0"/>
              <w:rPr>
                <w:sz w:val="20"/>
                <w:szCs w:val="20"/>
                <w:color w:val="auto"/>
              </w:rPr>
            </w:pPr>
            <w:r>
              <w:rPr>
                <w:rFonts w:ascii="Arial" w:cs="Arial" w:eastAsia="Arial" w:hAnsi="Arial"/>
                <w:sz w:val="14"/>
                <w:szCs w:val="14"/>
                <w:b w:val="1"/>
                <w:bCs w:val="1"/>
                <w:color w:val="auto"/>
              </w:rPr>
              <w:t>Percentage of Gross Accounts</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4"/>
                <w:szCs w:val="14"/>
                <w:b w:val="1"/>
                <w:bCs w:val="1"/>
                <w:color w:val="auto"/>
              </w:rPr>
              <w:t>Receivable at September 30,</w:t>
            </w:r>
          </w:p>
        </w:tc>
        <w:tc>
          <w:tcPr>
            <w:tcW w:w="0" w:type="dxa"/>
            <w:vAlign w:val="bottom"/>
          </w:tcPr>
          <w:p>
            <w:pPr>
              <w:spacing w:after="0"/>
              <w:rPr>
                <w:sz w:val="1"/>
                <w:szCs w:val="1"/>
                <w:color w:val="auto"/>
              </w:rPr>
            </w:pPr>
          </w:p>
        </w:tc>
      </w:tr>
      <w:tr>
        <w:trPr>
          <w:trHeight w:val="264"/>
        </w:trPr>
        <w:tc>
          <w:tcPr>
            <w:tcW w:w="508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Global Consumer segment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73%</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0"/>
        </w:trPr>
        <w:tc>
          <w:tcPr>
            <w:tcW w:w="50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w:t>
            </w:r>
          </w:p>
        </w:tc>
        <w:tc>
          <w:tcPr>
            <w:tcW w:w="7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Concentration in United States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82%</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50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color w:val="auto"/>
        </w:rPr>
        <w:t>The remainder of the Company’s net sales and accounts receivable at September 30, 2013, 2012 and 2011 were generated from customers located outside of the United States, primarily retailers, distributors and nurseries in Europe, Canada and Australia. No concentrations of these customers or individual customers within this group accounted for more than 10% of the Company’s net sales and accounts receivable for any period presented above.</w:t>
      </w:r>
    </w:p>
    <w:p>
      <w:pPr>
        <w:spacing w:after="0" w:line="9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Company’s three largest customers are reported within the Global Consumer segment and are the only customers that individually represent more than 10% of reported consolidated net sales and accounts receivable for each of the last three fiscal years. These three customers accounted for the following percentages of Global Consumer segment net sales for the fiscal years ended September 30:</w:t>
      </w:r>
    </w:p>
    <w:p>
      <w:pPr>
        <w:spacing w:after="0" w:line="186"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Percentage of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23495</wp:posOffset>
            </wp:positionV>
            <wp:extent cx="24009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6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2011</w:t>
            </w:r>
          </w:p>
        </w:tc>
      </w:tr>
      <w:tr>
        <w:trPr>
          <w:trHeight w:val="250"/>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Home Depot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Lowe's</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18%</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7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8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Walmart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76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Accounts receivable for these three largest customers as a percentage of consolidated accounts receivable were 56% and 52% for September 30, 2013 and 2012,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OTHER INCOME, NET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(income) expense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2011</w:t>
            </w:r>
          </w:p>
        </w:tc>
      </w:tr>
      <w:tr>
        <w:trPr>
          <w:trHeight w:val="250"/>
        </w:trPr>
        <w:tc>
          <w:tcPr>
            <w:tcW w:w="6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(In millions)</w:t>
            </w: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Royalty income, net</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Franchise fees</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(gains) losses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2.3</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SEGMENT INFORMATION</w:t>
      </w:r>
    </w:p>
    <w:p>
      <w:pPr>
        <w:spacing w:after="0" w:line="94"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8"/>
          <w:szCs w:val="18"/>
          <w:color w:val="auto"/>
        </w:rPr>
        <w:t>The Company divides its business into the following segments —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This division of reportable segments is consistent with how the segments report to and are managed by the chief operating decision maker of the Company. The Company has made reclassifications to prior period segment amounts as a result of the change in internal organization structure associated with the disposal of the Company's professional seed business, which is now reported in discontinued operations. For additional information regarding the sale, refer to “NOTE 2. DISCONTINUED OPERATIONS.”</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Global Consumer segment consists of the U.S. Consumer and International Consumer business groups. The business groups comprising this segment manufacture, market and sell dry, granular slow-release lawn fertilizers, combination lawn fertilizer and control products, grass seed, spreaders, water-soluble, liquid and continuous release garden and indoor plant foods, plant care products, potting, garden and lawn soils, mulches and other growing media products, wild bird food, pesticide and rodenticide products. Products are marketed to mass merchandisers, home centers, large hardware chains, warehouse clubs, distributors, garden centers and grocers in the United States, Canada, Europe, Latin America and Australia.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32"/>
        <w:spacing w:after="0" w:line="226" w:lineRule="auto"/>
        <w:rPr>
          <w:sz w:val="20"/>
          <w:szCs w:val="20"/>
          <w:color w:val="auto"/>
        </w:rPr>
      </w:pPr>
      <w:r>
        <w:rPr>
          <w:rFonts w:ascii="Arial" w:cs="Arial" w:eastAsia="Arial" w:hAnsi="Arial"/>
          <w:sz w:val="18"/>
          <w:szCs w:val="18"/>
          <w:color w:val="auto"/>
        </w:rPr>
        <w:t>The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 provides residential and commercial lawn fertilization, disease and insect control and other related services such as core aeration, tree and shrub fertilization and limited pest control services through Company-owned branches and independent franchisees in the United States.</w:t>
      </w:r>
    </w:p>
    <w:p>
      <w:pPr>
        <w:spacing w:after="0" w:line="15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Segment performance is evaluated based on several factors, including income from continuing operations before amortization, product registration and recall costs, and impairment, restructuring and other charges, which is not a GAAP measure. Senior management of the Company uses this measure of operating profit to evaluate segment performance because the Company believes this measure is the most indicative of performance trends and the overall earnings potential of each segment. Total assets reported for the Company’s operating segments include the intangible assets for the acquired businesses within those segments. The accounting policies of the segments are the same as those described in the “NOTE 1. SUMMARY OF SIGNIFICANT ACCOUNTING POLICIES.”</w:t>
      </w:r>
    </w:p>
    <w:p>
      <w:pPr>
        <w:spacing w:after="0" w:line="139"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Corporate &amp; Other consists of the Company’s revenues and expenses associated with the Company’s supply agreements with ICL and the amortization related to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Marketing Agreement, as well as corporate, general and administrative expenses and certain other income/expense items not allocated to the business segments. Corporate &amp; Other assets primarily include deferred financing and debt issuance costs and corporate intangible assets, as well as deferred tax assets.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summarized financial information concerning the Company’s reportable segments: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2"/>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2,527.5</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2,539.2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2,533.2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3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257.8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245.8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Segment total</w:t>
            </w:r>
          </w:p>
        </w:tc>
        <w:tc>
          <w:tcPr>
            <w:tcW w:w="38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2,785.3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2,785.0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2,768.8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2,816.5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2,826.1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2,799.7</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from continuing operations before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406.4</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338.3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425.0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3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Segment total</w:t>
            </w:r>
          </w:p>
        </w:tc>
        <w:tc>
          <w:tcPr>
            <w:tcW w:w="38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435.1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365.3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450.9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Intangible asset amortization</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related to refinancing</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254.0</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Global Consumer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48.7</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70"/>
        </w:trPr>
        <w:tc>
          <w:tcPr>
            <w:tcW w:w="6740" w:type="dxa"/>
            <w:vAlign w:val="bottom"/>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38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Capital expenditures:</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53.3</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Corporate &amp; Other</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60.1</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121" w:right="239" w:bottom="1440" w:gutter="0" w:footer="0" w:header="0"/>
          <w:type w:val="continuous"/>
        </w:sectPr>
      </w:pPr>
    </w:p>
    <w:bookmarkStart w:id="94" w:name="page95"/>
    <w:bookmarkEnd w:id="94"/>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6"/>
                <w:szCs w:val="16"/>
                <w:color w:val="auto"/>
              </w:rPr>
            </w:pPr>
          </w:p>
        </w:tc>
      </w:tr>
      <w:tr>
        <w:trPr>
          <w:trHeight w:val="264"/>
        </w:trPr>
        <w:tc>
          <w:tcPr>
            <w:tcW w:w="81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2012</w:t>
            </w:r>
          </w:p>
        </w:tc>
      </w:tr>
      <w:tr>
        <w:trPr>
          <w:trHeight w:val="250"/>
        </w:trPr>
        <w:tc>
          <w:tcPr>
            <w:tcW w:w="8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8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9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w w:val="89"/>
              </w:rPr>
              <w:t>1,564.2</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1,676.4</w:t>
            </w:r>
          </w:p>
        </w:tc>
      </w:tr>
      <w:tr>
        <w:trPr>
          <w:trHeight w:val="27"/>
        </w:trPr>
        <w:tc>
          <w:tcPr>
            <w:tcW w:w="8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9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189.8</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181.5</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Corporate &amp; Other</w:t>
            </w:r>
          </w:p>
        </w:tc>
        <w:tc>
          <w:tcPr>
            <w:tcW w:w="94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183.2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216.5</w:t>
            </w:r>
          </w:p>
        </w:tc>
      </w:tr>
      <w:tr>
        <w:trPr>
          <w:trHeight w:val="27"/>
        </w:trPr>
        <w:tc>
          <w:tcPr>
            <w:tcW w:w="8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89"/>
              </w:rPr>
              <w:t>1,937.2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2,074.4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sales by product category for the Global Consumer segment:</w:t>
      </w:r>
    </w:p>
    <w:p>
      <w:pPr>
        <w:spacing w:after="0" w:line="230"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23495</wp:posOffset>
            </wp:positionV>
            <wp:extent cx="26327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gridSpan w:val="2"/>
          </w:tcPr>
          <w:p>
            <w:pPr>
              <w:ind w:left="7780"/>
              <w:spacing w:after="0"/>
              <w:rPr>
                <w:sz w:val="20"/>
                <w:szCs w:val="20"/>
                <w:color w:val="auto"/>
              </w:rPr>
            </w:pPr>
            <w:r>
              <w:rPr>
                <w:rFonts w:ascii="Arial" w:cs="Arial" w:eastAsia="Arial" w:hAnsi="Arial"/>
                <w:sz w:val="14"/>
                <w:szCs w:val="14"/>
                <w:b w:val="1"/>
                <w:bCs w:val="1"/>
                <w:color w:val="auto"/>
                <w:w w:val="96"/>
              </w:rPr>
              <w:t>2013</w:t>
            </w:r>
          </w:p>
        </w:tc>
        <w:tc>
          <w:tcPr>
            <w:tcW w:w="14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432"/>
              <w:spacing w:after="0"/>
              <w:rPr>
                <w:sz w:val="20"/>
                <w:szCs w:val="20"/>
                <w:color w:val="auto"/>
              </w:rPr>
            </w:pPr>
            <w:r>
              <w:rPr>
                <w:rFonts w:ascii="Arial" w:cs="Arial" w:eastAsia="Arial" w:hAnsi="Arial"/>
                <w:sz w:val="14"/>
                <w:szCs w:val="14"/>
                <w:b w:val="1"/>
                <w:bCs w:val="1"/>
                <w:color w:val="auto"/>
              </w:rPr>
              <w:t>2011</w:t>
            </w:r>
          </w:p>
        </w:tc>
      </w:tr>
      <w:tr>
        <w:trPr>
          <w:trHeight w:val="229"/>
        </w:trPr>
        <w:tc>
          <w:tcPr>
            <w:tcW w:w="7280" w:type="dxa"/>
            <w:vAlign w:val="bottom"/>
          </w:tcPr>
          <w:p>
            <w:pPr>
              <w:ind w:left="40"/>
              <w:spacing w:after="0"/>
              <w:rPr>
                <w:sz w:val="20"/>
                <w:szCs w:val="20"/>
                <w:color w:val="auto"/>
              </w:rPr>
            </w:pPr>
            <w:r>
              <w:rPr>
                <w:rFonts w:ascii="Arial" w:cs="Arial" w:eastAsia="Arial" w:hAnsi="Arial"/>
                <w:sz w:val="18"/>
                <w:szCs w:val="18"/>
                <w:color w:val="auto"/>
              </w:rPr>
              <w:t>Net sales:</w:t>
            </w:r>
          </w:p>
        </w:tc>
        <w:tc>
          <w:tcPr>
            <w:tcW w:w="8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r>
      <w:tr>
        <w:trPr>
          <w:trHeight w:val="41"/>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0"/>
        </w:trPr>
        <w:tc>
          <w:tcPr>
            <w:tcW w:w="8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Lawn care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8100" w:type="dxa"/>
            <w:vAlign w:val="bottom"/>
            <w:gridSpan w:val="2"/>
          </w:tcPr>
          <w:p>
            <w:pPr>
              <w:ind w:left="380"/>
              <w:spacing w:after="0"/>
              <w:rPr>
                <w:sz w:val="20"/>
                <w:szCs w:val="20"/>
                <w:color w:val="auto"/>
              </w:rPr>
            </w:pPr>
            <w:r>
              <w:rPr>
                <w:rFonts w:ascii="Arial" w:cs="Arial" w:eastAsia="Arial" w:hAnsi="Arial"/>
                <w:sz w:val="18"/>
                <w:szCs w:val="18"/>
                <w:color w:val="auto"/>
              </w:rPr>
              <w:t>Growing media</w:t>
            </w: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31</w:t>
            </w:r>
          </w:p>
        </w:tc>
      </w:tr>
      <w:tr>
        <w:trPr>
          <w:trHeight w:val="27"/>
        </w:trPr>
        <w:tc>
          <w:tcPr>
            <w:tcW w:w="7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Controls</w:t>
            </w:r>
          </w:p>
        </w:tc>
        <w:tc>
          <w:tcPr>
            <w:tcW w:w="4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w:t>
            </w:r>
          </w:p>
        </w:tc>
      </w:tr>
      <w:tr>
        <w:trPr>
          <w:trHeight w:val="270"/>
        </w:trPr>
        <w:tc>
          <w:tcPr>
            <w:tcW w:w="8100" w:type="dxa"/>
            <w:vAlign w:val="bottom"/>
            <w:gridSpan w:val="2"/>
          </w:tcPr>
          <w:p>
            <w:pPr>
              <w:ind w:left="38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Marketing Agreement</w:t>
            </w: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5</w:t>
            </w:r>
          </w:p>
        </w:tc>
      </w:tr>
      <w:tr>
        <w:trPr>
          <w:trHeight w:val="250"/>
        </w:trPr>
        <w:tc>
          <w:tcPr>
            <w:tcW w:w="8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Wild bird food</w:t>
            </w:r>
          </w:p>
        </w:tc>
        <w:tc>
          <w:tcPr>
            <w:tcW w:w="4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w:t>
            </w:r>
          </w:p>
        </w:tc>
      </w:tr>
      <w:tr>
        <w:trPr>
          <w:trHeight w:val="243"/>
        </w:trPr>
        <w:tc>
          <w:tcPr>
            <w:tcW w:w="8100" w:type="dxa"/>
            <w:vAlign w:val="bottom"/>
            <w:gridSpan w:val="2"/>
          </w:tcPr>
          <w:p>
            <w:pPr>
              <w:ind w:left="380"/>
              <w:spacing w:after="0"/>
              <w:rPr>
                <w:sz w:val="20"/>
                <w:szCs w:val="20"/>
                <w:color w:val="auto"/>
              </w:rPr>
            </w:pPr>
            <w:r>
              <w:rPr>
                <w:rFonts w:ascii="Arial" w:cs="Arial" w:eastAsia="Arial" w:hAnsi="Arial"/>
                <w:sz w:val="18"/>
                <w:szCs w:val="18"/>
                <w:color w:val="auto"/>
              </w:rPr>
              <w:t>Other, primarily gardening and landscape</w:t>
            </w: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14</w:t>
            </w:r>
          </w:p>
        </w:tc>
      </w:tr>
      <w:tr>
        <w:trPr>
          <w:trHeight w:val="27"/>
        </w:trPr>
        <w:tc>
          <w:tcPr>
            <w:tcW w:w="72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total product sales</w:t>
            </w:r>
          </w:p>
        </w:tc>
        <w:tc>
          <w:tcPr>
            <w:tcW w:w="8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net sales and long-lived assets (property, plant and equipment and finite-lived intangibles) by geographic area: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2"/>
              </w:rPr>
              <w:t>Year Ended September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8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348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9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42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2,332.4</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2,340.9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2,294.4</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39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505.3</w:t>
            </w: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2,816.5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2,826.1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2,799.7</w:t>
            </w:r>
          </w:p>
        </w:tc>
        <w:tc>
          <w:tcPr>
            <w:tcW w:w="0" w:type="dxa"/>
            <w:vAlign w:val="bottom"/>
          </w:tcPr>
          <w:p>
            <w:pPr>
              <w:spacing w:after="0"/>
              <w:rPr>
                <w:sz w:val="1"/>
                <w:szCs w:val="1"/>
                <w:color w:val="auto"/>
              </w:rPr>
            </w:pPr>
          </w:p>
        </w:tc>
      </w:tr>
      <w:tr>
        <w:trPr>
          <w:trHeight w:val="67"/>
        </w:trPr>
        <w:tc>
          <w:tcPr>
            <w:tcW w:w="3480" w:type="dxa"/>
            <w:vAlign w:val="bottom"/>
            <w:tcBorders>
              <w:bottom w:val="single" w:sz="8" w:color="CCEEFF"/>
            </w:tcBorders>
          </w:tcPr>
          <w:p>
            <w:pPr>
              <w:spacing w:after="0"/>
              <w:rPr>
                <w:sz w:val="5"/>
                <w:szCs w:val="5"/>
                <w:color w:val="auto"/>
              </w:rPr>
            </w:pPr>
          </w:p>
        </w:tc>
        <w:tc>
          <w:tcPr>
            <w:tcW w:w="39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4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Long-lived assets:</w:t>
            </w:r>
          </w:p>
        </w:tc>
        <w:tc>
          <w:tcPr>
            <w:tcW w:w="39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42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419.9</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432.0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411.3</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39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502.2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481.1</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3960" w:type="dxa"/>
            <w:vAlign w:val="bottom"/>
            <w:vMerge w:val="restart"/>
          </w:tcPr>
          <w:p>
            <w:pPr>
              <w:jc w:val="right"/>
              <w:ind w:right="1550"/>
              <w:spacing w:after="0"/>
              <w:rPr>
                <w:sz w:val="20"/>
                <w:szCs w:val="20"/>
                <w:color w:val="auto"/>
              </w:rPr>
            </w:pPr>
            <w:r>
              <w:rPr>
                <w:rFonts w:ascii="Arial" w:cs="Arial" w:eastAsia="Arial" w:hAnsi="Arial"/>
                <w:sz w:val="18"/>
                <w:szCs w:val="18"/>
                <w:color w:val="auto"/>
              </w:rPr>
              <w:t>95</w:t>
            </w: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96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48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95" w:name="page96"/>
    <w:bookmarkEnd w:id="95"/>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QUARTERLY CONSOLIDATED FINANCIAL INFORMATION (UNAUDITED)</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unaudited quarterly results of operations.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First</w:t>
            </w:r>
          </w:p>
        </w:tc>
        <w:tc>
          <w:tcPr>
            <w:tcW w:w="2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Second</w:t>
            </w:r>
          </w:p>
        </w:tc>
        <w:tc>
          <w:tcPr>
            <w:tcW w:w="2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Fourth</w:t>
            </w:r>
          </w:p>
        </w:tc>
        <w:tc>
          <w:tcPr>
            <w:tcW w:w="200" w:type="dxa"/>
            <w:vAlign w:val="bottom"/>
          </w:tcPr>
          <w:p>
            <w:pPr>
              <w:spacing w:after="0"/>
              <w:rPr>
                <w:sz w:val="14"/>
                <w:szCs w:val="14"/>
                <w:color w:val="auto"/>
              </w:rPr>
            </w:pPr>
          </w:p>
        </w:tc>
        <w:tc>
          <w:tcPr>
            <w:tcW w:w="9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Full Year</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0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2"/>
              </w:rPr>
              <w:t>(In millions, except per share data)</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2013</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205.8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1,019.6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1,148.1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443.0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2,816.5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982.4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8"/>
                <w:szCs w:val="18"/>
                <w:color w:val="auto"/>
              </w:rPr>
              <w:t>Basic net income (loss) per common share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2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Common shares used in basic EPS calculation</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Diluted income (loss) per common share:</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net income (loss)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3"/>
              </w:rPr>
              <w:t>Common shares and dilutive potential common shares used in 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2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40"/>
              <w:spacing w:after="0"/>
              <w:rPr>
                <w:sz w:val="20"/>
                <w:szCs w:val="20"/>
                <w:color w:val="auto"/>
              </w:rPr>
            </w:pPr>
            <w:r>
              <w:rPr>
                <w:rFonts w:ascii="Arial" w:cs="Arial" w:eastAsia="Arial" w:hAnsi="Arial"/>
                <w:sz w:val="18"/>
                <w:szCs w:val="18"/>
                <w:color w:val="auto"/>
              </w:rPr>
              <w:t>EPS calculation</w:t>
            </w:r>
          </w:p>
        </w:tc>
        <w:tc>
          <w:tcPr>
            <w:tcW w:w="22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2012</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199.6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1,170.4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1,054.9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401.2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2,826.1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961.3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8"/>
                <w:szCs w:val="18"/>
                <w:color w:val="auto"/>
              </w:rPr>
              <w:t>Basic net income (loss) per common share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2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Common shares used in basic EPS calculation</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Diluted income (loss) per common share:</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net income (loss)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3"/>
              </w:rPr>
              <w:t>Common shares and dilutive potential common shares used in 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2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40"/>
              <w:spacing w:after="0"/>
              <w:rPr>
                <w:sz w:val="20"/>
                <w:szCs w:val="20"/>
                <w:color w:val="auto"/>
              </w:rPr>
            </w:pPr>
            <w:r>
              <w:rPr>
                <w:rFonts w:ascii="Arial" w:cs="Arial" w:eastAsia="Arial" w:hAnsi="Arial"/>
                <w:sz w:val="18"/>
                <w:szCs w:val="18"/>
                <w:color w:val="auto"/>
              </w:rPr>
              <w:t>EPS calculation</w:t>
            </w:r>
          </w:p>
        </w:tc>
        <w:tc>
          <w:tcPr>
            <w:tcW w:w="22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Common share equivalents, such as share-based awards, are excluded from the diluted loss per common share calculation in periods where there is a loss from continuing operations because the effect of their inclusion would be anti-dilutive. The Company’s business is highly seasonal, with approximately 75% of net sales occurring in the second and third fiscal quarters.</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Unusual items during fiscal 2013 consisted of impairment, restructuring and other. These items are reflected in the quarterly financial information as follows: first quarter impairment, restructuring and other of $(0.4) million; second quarter impairment, restructuring and other of 0.1 million in cost of sales and $0.1 million in SG&amp;A; third quarter impairment, restructuring and other</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121" w:right="239" w:bottom="1440" w:gutter="0" w:footer="0" w:header="0"/>
          <w:type w:val="continuous"/>
        </w:sectPr>
      </w:pPr>
    </w:p>
    <w:bookmarkStart w:id="96" w:name="page97"/>
    <w:bookmarkEnd w:id="96"/>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1.5 million in cost of sales and $7.0 million in SG&amp;A; and fourth quarter impairment, restructuring and other of 0.6 million in cost of sales and $11.4 million in SG&amp;A.</w:t>
      </w:r>
    </w:p>
    <w:p>
      <w:pPr>
        <w:spacing w:after="0" w:line="116"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Unusual items during fiscal 2012 consisted of product registration and recall charges and impairment, restructuring and other. These items are reflected in the quarterly financial information as follows: first quarter product registration and recall charges of $0.3 million and impairment, restructuring and other of $2.5 million; second quarter product registration and recall charges of $3.5 million and impairment, restructuring and other of $5.0 million; third quarter product registration and recall charges of $4.0 million and an adjustment to impairment, restructuring and other of $(0.4) million; and fourth quarter product registration and recall charges of $0.4 million. In the fourth quarter of fiscal year 2012, the Company completed the wind down of the Company's professional seed business. As a result, effective in its fourth quarter of fiscal 2012, the Company classified its results of operations for all periods presented to reflect the professional seed business as a discontinued operation. The company recorded a $0.4 million impairment charge related to the investment in Turf-Seed (Europe) Limited in fiscal 2012. In addition, in the third quarter of fiscal 2012, the Company recorded an adjustment of $1.7 million as a change in estimate on the tax due on the sale of Global Pro.</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FINANCIAL INFORMATION FOR SUBSIDIARY GUARANTORS AND NON-GUARANTORS</w:t>
      </w:r>
    </w:p>
    <w:p>
      <w:pPr>
        <w:spacing w:after="0" w:line="94"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7"/>
          <w:szCs w:val="17"/>
          <w:color w:val="auto"/>
        </w:rPr>
        <w:t xml:space="preserve">The 7.25% and 6.625% Senior Notes (collectively, the “Senior Notes”) issued by Scotts Miracle-Gro on January 14, 2010 and December 16, 2010, respectively, are guaranteed by certain of its domestic subsidiaries and, therefore, the Company has disclosed condensed, consolidating financial information in accordance with SEC Regulation S-X Rule 3-10, </w:t>
      </w:r>
      <w:r>
        <w:rPr>
          <w:rFonts w:ascii="Arial" w:cs="Arial" w:eastAsia="Arial" w:hAnsi="Arial"/>
          <w:sz w:val="17"/>
          <w:szCs w:val="17"/>
          <w:i w:val="1"/>
          <w:iCs w:val="1"/>
          <w:color w:val="auto"/>
        </w:rPr>
        <w:t>Financial Statements of Guarantors and Issuers of Guaranteed Securities Registered or Being Registered.</w:t>
      </w:r>
      <w:r>
        <w:rPr>
          <w:rFonts w:ascii="Arial" w:cs="Arial" w:eastAsia="Arial" w:hAnsi="Arial"/>
          <w:sz w:val="17"/>
          <w:szCs w:val="17"/>
          <w:color w:val="auto"/>
        </w:rPr>
        <w:t xml:space="preserve"> The following 100% directly or indirectly owned subsidiaries fully and unconditionally guarantee the Senior Notes on a joint and several basis: EG Systems, Inc., dba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Gutwein &amp; Co., Inc.; Hyponex Corporation; Miracle-Gro Lawn Products, Inc.; OMS Investments, Inc.; Rod McLellan Company; Sanford Scientific, Inc.; Scotts Temecula Operations, LLC; Scotts Manufacturing Company; Scotts Products Co.; Scotts Professional Products Co.; Scotts-Sierra Investments LLC; SMG Growing Media, Inc.; SMGM LLC; Swiss Farms Products, Inc.; and The Scotts Company LLC (collectively, the “Guarantors”). SMGM LLC was added as a Guarantor of the Senior Notes on September 30, 2013. Accordingly, SMGM LLC has been classified as a Guarantor for all periods presented in the condensed, consolidating financial information accompanying this Note 23. SMG Brands, Inc. was merged into OMS Investments., Inc. effective September 27, 2013.</w:t>
      </w:r>
    </w:p>
    <w:p>
      <w:pPr>
        <w:spacing w:after="0" w:line="135"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The following information presents condensed, consolidating Statements of Operations, Statement of Comprehensive Income and Statements of Cash Flows for each of the three years ended September 30, 2013, and condensed, consolidating Balance Sheets as of September 30, 2013 and September 30, 2012. The consolidating financial information presents, in separate columns, financial information for: Scotts Miracle-Gro on a Parent-only basis, carrying its investment in subsidiaries under the equity method; Guarantors on a combined basis, carrying investments in subsidiaries 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and income in subsidiaries. Because the Parent is obligated to pay the unpaid principal amount and interest on all amounts borrowed by the Guarantors or Non-Guarantors under the credit facility (and was obligated to pay the unpaid principal amount and interest on all amounts borrowed by the Guarantors and Non-Guarantors under the previous senior secured five-year revolving loan facility), the borrowings and related interest expense for the loans outstanding of the Guarantors and Non-Guarantors are also presented in the accompanying Parent-only financial information, and are then eliminated.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color w:val="auto"/>
              </w:rPr>
              <w:t>Subsidiary</w:t>
            </w:r>
          </w:p>
        </w:tc>
        <w:tc>
          <w:tcPr>
            <w:tcW w:w="180" w:type="dxa"/>
            <w:vAlign w:val="bottom"/>
          </w:tcPr>
          <w:p>
            <w:pPr>
              <w:spacing w:after="0"/>
              <w:rPr>
                <w:sz w:val="14"/>
                <w:szCs w:val="14"/>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color w:val="auto"/>
              </w:rPr>
              <w:t>Non-</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8"/>
        </w:trPr>
        <w:tc>
          <w:tcPr>
            <w:tcW w:w="5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97"/>
              </w:rPr>
              <w:t>Guarantors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97"/>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95"/>
              </w:rPr>
              <w:t>Consolidated</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2,816.5</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1,480.4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351.5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1,831.9</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 impairment, restructuring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837.0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982.4</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516.8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661.1</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313.2</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income in subsidiaries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59.2</w:t>
            </w: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92.8</w:t>
            </w: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161.2</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161.1</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pension and other post retirement benefits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color w:val="auto"/>
              </w:rPr>
              <w:t>Subsidiary</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w w:val="98"/>
              </w:rPr>
              <w:t>Non-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8"/>
        </w:trPr>
        <w:tc>
          <w:tcPr>
            <w:tcW w:w="4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color w:val="auto"/>
              </w:rPr>
              <w:t>Parent</w:t>
            </w: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color w:val="auto"/>
              </w:rPr>
              <w:t>Guarantors</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Guarantors</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Eliminations</w:t>
            </w:r>
          </w:p>
        </w:tc>
        <w:tc>
          <w:tcPr>
            <w:tcW w:w="180" w:type="dxa"/>
            <w:vAlign w:val="bottom"/>
          </w:tcPr>
          <w:p>
            <w:pPr>
              <w:spacing w:after="0"/>
              <w:rPr>
                <w:sz w:val="16"/>
                <w:szCs w:val="16"/>
                <w:color w:val="auto"/>
              </w:rPr>
            </w:pPr>
          </w:p>
        </w:tc>
        <w:tc>
          <w:tcPr>
            <w:tcW w:w="1080" w:type="dxa"/>
            <w:vAlign w:val="bottom"/>
          </w:tcPr>
          <w:p>
            <w:pPr>
              <w:jc w:val="right"/>
              <w:ind w:right="151"/>
              <w:spacing w:after="0"/>
              <w:rPr>
                <w:sz w:val="20"/>
                <w:szCs w:val="20"/>
                <w:color w:val="auto"/>
              </w:rPr>
            </w:pPr>
            <w:r>
              <w:rPr>
                <w:rFonts w:ascii="Arial" w:cs="Arial" w:eastAsia="Arial" w:hAnsi="Arial"/>
                <w:sz w:val="14"/>
                <w:szCs w:val="14"/>
                <w:color w:val="auto"/>
              </w:rPr>
              <w:t>Consolidated</w:t>
            </w:r>
          </w:p>
        </w:tc>
      </w:tr>
      <w:tr>
        <w:trPr>
          <w:trHeight w:val="215"/>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OPERATING</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342.0</w:t>
            </w: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41"/>
        </w:trPr>
        <w:tc>
          <w:tcPr>
            <w:tcW w:w="4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(60.1)</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w w:val="94"/>
              </w:rPr>
              <w:t>Investments in acquired businesses, net of cash acquired</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41"/>
        </w:trPr>
        <w:tc>
          <w:tcPr>
            <w:tcW w:w="4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Borrowings under revolving and bank lines of credit and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1,130.4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344.4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1,474.8</w:t>
            </w: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4"/>
              </w:rPr>
              <w:t>Repayments under revolving and bank lines of credit and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term loans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(1,682.1)</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Payments on seller notes</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Excess tax benefits from share-based payment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arrangements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Cash received from exercise of stock options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13.3</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financing</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(280.6)</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129.8</w:t>
            </w: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00" w:name="page101"/>
    <w:bookmarkEnd w:id="100"/>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color w:val="auto"/>
              </w:rPr>
              <w:t>Subsidiary</w:t>
            </w: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Non-</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6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280"/>
              <w:spacing w:after="0"/>
              <w:rPr>
                <w:sz w:val="20"/>
                <w:szCs w:val="20"/>
                <w:color w:val="auto"/>
              </w:rPr>
            </w:pPr>
            <w:r>
              <w:rPr>
                <w:rFonts w:ascii="Arial" w:cs="Arial" w:eastAsia="Arial" w:hAnsi="Arial"/>
                <w:sz w:val="14"/>
                <w:szCs w:val="14"/>
                <w:color w:val="auto"/>
              </w:rPr>
              <w:t>Parent</w:t>
            </w: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color w:val="auto"/>
              </w:rPr>
              <w:t>Guarantors</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Guarantors</w:t>
            </w:r>
          </w:p>
        </w:tc>
        <w:tc>
          <w:tcPr>
            <w:tcW w:w="16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Eliminations</w:t>
            </w:r>
          </w:p>
        </w:tc>
        <w:tc>
          <w:tcPr>
            <w:tcW w:w="160" w:type="dxa"/>
            <w:vAlign w:val="bottom"/>
          </w:tcPr>
          <w:p>
            <w:pPr>
              <w:spacing w:after="0"/>
              <w:rPr>
                <w:sz w:val="16"/>
                <w:szCs w:val="16"/>
                <w:color w:val="auto"/>
              </w:rPr>
            </w:pPr>
          </w:p>
        </w:tc>
        <w:tc>
          <w:tcPr>
            <w:tcW w:w="980" w:type="dxa"/>
            <w:vAlign w:val="bottom"/>
          </w:tcPr>
          <w:p>
            <w:pPr>
              <w:jc w:val="right"/>
              <w:ind w:right="91"/>
              <w:spacing w:after="0"/>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236"/>
        </w:trPr>
        <w:tc>
          <w:tcPr>
            <w:tcW w:w="368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b w:val="1"/>
                <w:bCs w:val="1"/>
                <w:color w:val="auto"/>
                <w:w w:val="88"/>
              </w:rPr>
              <w:t>ASSETS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pledged</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247.2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5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328.4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881.0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422.3</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Goodwill</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314.4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725.7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1,937.2</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8"/>
                <w:szCs w:val="18"/>
                <w:b w:val="1"/>
                <w:bCs w:val="1"/>
                <w:color w:val="auto"/>
              </w:rPr>
              <w:t>LIABILITIES AND</w:t>
            </w: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68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1300" w:type="dxa"/>
            <w:vAlign w:val="bottom"/>
            <w:gridSpan w:val="3"/>
          </w:tcPr>
          <w:p>
            <w:pPr>
              <w:ind w:left="100"/>
              <w:spacing w:after="0"/>
              <w:rPr>
                <w:sz w:val="20"/>
                <w:szCs w:val="20"/>
                <w:color w:val="auto"/>
              </w:rPr>
            </w:pPr>
            <w:r>
              <w:rPr>
                <w:rFonts w:ascii="Arial" w:cs="Arial" w:eastAsia="Arial" w:hAnsi="Arial"/>
                <w:sz w:val="18"/>
                <w:szCs w:val="18"/>
                <w:b w:val="1"/>
                <w:bCs w:val="1"/>
                <w:color w:val="auto"/>
                <w:w w:val="75"/>
              </w:rPr>
              <w:t>SHAREHOLDERS’</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EQUITY</w:t>
            </w:r>
          </w:p>
        </w:tc>
        <w:tc>
          <w:tcPr>
            <w:tcW w:w="1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509.8</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327.0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478.1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5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354.7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1,461.2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1,226.7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710.5</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15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1,065.2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1,509.2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439.6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(1,076.8)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1,937.2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51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color w:val="auto"/>
              </w:rPr>
              <w:t>Subsidiary</w:t>
            </w:r>
          </w:p>
        </w:tc>
        <w:tc>
          <w:tcPr>
            <w:tcW w:w="180" w:type="dxa"/>
            <w:vAlign w:val="bottom"/>
          </w:tcPr>
          <w:p>
            <w:pPr>
              <w:spacing w:after="0"/>
              <w:rPr>
                <w:sz w:val="14"/>
                <w:szCs w:val="14"/>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color w:val="auto"/>
              </w:rPr>
              <w:t>Non-</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8"/>
        </w:trPr>
        <w:tc>
          <w:tcPr>
            <w:tcW w:w="5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97"/>
              </w:rPr>
              <w:t>Guarantors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97"/>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95"/>
              </w:rPr>
              <w:t>Consolidated</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2,826.1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1,511.2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353.2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1,864.4</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 product registration and recall matters</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809.3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961.3</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552.9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705.7</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7.8</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243.6</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non-operating income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94.4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214.8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181.8</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113.2</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106.5</w:t>
            </w:r>
          </w:p>
        </w:tc>
      </w:tr>
      <w:tr>
        <w:trPr>
          <w:trHeight w:val="27"/>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2" w:right="239" w:bottom="1440" w:gutter="0" w:footer="0" w:header="0"/>
        </w:sectPr>
      </w:pPr>
    </w:p>
    <w:bookmarkStart w:id="102" w:name="page103"/>
    <w:bookmarkEnd w:id="102"/>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pension and other post retirement benefits</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12"/>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color w:val="auto"/>
              </w:rPr>
              <w:t>Subsidiary</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w w:val="98"/>
              </w:rPr>
              <w:t>Non-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8"/>
        </w:trPr>
        <w:tc>
          <w:tcPr>
            <w:tcW w:w="4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color w:val="auto"/>
              </w:rPr>
              <w:t>Parent</w:t>
            </w: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color w:val="auto"/>
              </w:rPr>
              <w:t>Guarantors</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Guarantors</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Eliminations</w:t>
            </w:r>
          </w:p>
        </w:tc>
        <w:tc>
          <w:tcPr>
            <w:tcW w:w="180" w:type="dxa"/>
            <w:vAlign w:val="bottom"/>
          </w:tcPr>
          <w:p>
            <w:pPr>
              <w:spacing w:after="0"/>
              <w:rPr>
                <w:sz w:val="16"/>
                <w:szCs w:val="16"/>
                <w:color w:val="auto"/>
              </w:rPr>
            </w:pPr>
          </w:p>
        </w:tc>
        <w:tc>
          <w:tcPr>
            <w:tcW w:w="1080" w:type="dxa"/>
            <w:vAlign w:val="bottom"/>
          </w:tcPr>
          <w:p>
            <w:pPr>
              <w:jc w:val="right"/>
              <w:ind w:right="151"/>
              <w:spacing w:after="0"/>
              <w:rPr>
                <w:sz w:val="20"/>
                <w:szCs w:val="20"/>
                <w:color w:val="auto"/>
              </w:rPr>
            </w:pPr>
            <w:r>
              <w:rPr>
                <w:rFonts w:ascii="Arial" w:cs="Arial" w:eastAsia="Arial" w:hAnsi="Arial"/>
                <w:sz w:val="14"/>
                <w:szCs w:val="14"/>
                <w:color w:val="auto"/>
              </w:rPr>
              <w:t>Consolidated</w:t>
            </w:r>
          </w:p>
        </w:tc>
      </w:tr>
      <w:tr>
        <w:trPr>
          <w:trHeight w:val="215"/>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OPERATING</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153.4</w:t>
            </w: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41"/>
        </w:trPr>
        <w:tc>
          <w:tcPr>
            <w:tcW w:w="4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Investments in acquired businesses, net of cash acquired</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7"/>
              </w:rPr>
              <w:t>Borrowings under revolving and bank lines of credit and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term loans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853.4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830.6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1,684.0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Repayments under revolving and bank lines of credit and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(1,694.6)</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common shares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rPr>
              <w:t>Excess tax benefits from share-based payment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arrangements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6.6</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received from exercise of stock options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Intercompany financing</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130.9</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4" w:name="page105"/>
    <w:bookmarkEnd w:id="104"/>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color w:val="auto"/>
              </w:rPr>
              <w:t>Subsidiary</w:t>
            </w: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Non-</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8"/>
        </w:trPr>
        <w:tc>
          <w:tcPr>
            <w:tcW w:w="36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280"/>
              <w:spacing w:after="0"/>
              <w:rPr>
                <w:sz w:val="20"/>
                <w:szCs w:val="20"/>
                <w:color w:val="auto"/>
              </w:rPr>
            </w:pPr>
            <w:r>
              <w:rPr>
                <w:rFonts w:ascii="Arial" w:cs="Arial" w:eastAsia="Arial" w:hAnsi="Arial"/>
                <w:sz w:val="14"/>
                <w:szCs w:val="14"/>
                <w:color w:val="auto"/>
              </w:rPr>
              <w:t>Parent</w:t>
            </w: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color w:val="auto"/>
              </w:rPr>
              <w:t>Guarantors</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Guarantors</w:t>
            </w:r>
          </w:p>
        </w:tc>
        <w:tc>
          <w:tcPr>
            <w:tcW w:w="16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Eliminations</w:t>
            </w:r>
          </w:p>
        </w:tc>
        <w:tc>
          <w:tcPr>
            <w:tcW w:w="160" w:type="dxa"/>
            <w:vAlign w:val="bottom"/>
          </w:tcPr>
          <w:p>
            <w:pPr>
              <w:spacing w:after="0"/>
              <w:rPr>
                <w:sz w:val="16"/>
                <w:szCs w:val="16"/>
                <w:color w:val="auto"/>
              </w:rPr>
            </w:pPr>
          </w:p>
        </w:tc>
        <w:tc>
          <w:tcPr>
            <w:tcW w:w="980" w:type="dxa"/>
            <w:vAlign w:val="bottom"/>
          </w:tcPr>
          <w:p>
            <w:pPr>
              <w:jc w:val="right"/>
              <w:ind w:right="91"/>
              <w:spacing w:after="0"/>
              <w:rPr>
                <w:sz w:val="20"/>
                <w:szCs w:val="20"/>
                <w:color w:val="auto"/>
              </w:rPr>
            </w:pPr>
            <w:r>
              <w:rPr>
                <w:rFonts w:ascii="Arial" w:cs="Arial" w:eastAsia="Arial" w:hAnsi="Arial"/>
                <w:sz w:val="14"/>
                <w:szCs w:val="14"/>
                <w:color w:val="auto"/>
                <w:w w:val="95"/>
              </w:rPr>
              <w:t>Consolidated</w:t>
            </w:r>
          </w:p>
        </w:tc>
      </w:tr>
      <w:tr>
        <w:trPr>
          <w:trHeight w:val="236"/>
        </w:trPr>
        <w:tc>
          <w:tcPr>
            <w:tcW w:w="368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b w:val="1"/>
                <w:bCs w:val="1"/>
                <w:color w:val="auto"/>
                <w:w w:val="88"/>
              </w:rPr>
              <w:t>ASSETS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w:t>
            </w: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248.4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330.9</w:t>
            </w: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414.9</w:t>
            </w: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122.3</w:t>
            </w:r>
          </w:p>
        </w:tc>
      </w:tr>
      <w:tr>
        <w:trPr>
          <w:trHeight w:val="27"/>
        </w:trPr>
        <w:tc>
          <w:tcPr>
            <w:tcW w:w="36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380.6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427.4</w:t>
            </w: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309.4</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307.1</w:t>
            </w: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828.5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5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1,414.9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1,636.3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451.6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(1,428.4)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2,074.4</w:t>
            </w:r>
          </w:p>
        </w:tc>
      </w:tr>
      <w:tr>
        <w:trPr>
          <w:trHeight w:val="67"/>
        </w:trPr>
        <w:tc>
          <w:tcPr>
            <w:tcW w:w="3680" w:type="dxa"/>
            <w:vAlign w:val="bottom"/>
            <w:tcBorders>
              <w:bottom w:val="single" w:sz="8" w:color="CCEEFF"/>
            </w:tcBorders>
          </w:tcPr>
          <w:p>
            <w:pPr>
              <w:spacing w:after="0"/>
              <w:rPr>
                <w:sz w:val="5"/>
                <w:szCs w:val="5"/>
                <w:color w:val="auto"/>
              </w:rPr>
            </w:pPr>
          </w:p>
        </w:tc>
        <w:tc>
          <w:tcPr>
            <w:tcW w:w="158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24"/>
        </w:trPr>
        <w:tc>
          <w:tcPr>
            <w:tcW w:w="3680" w:type="dxa"/>
            <w:vAlign w:val="bottom"/>
            <w:shd w:val="clear" w:color="auto" w:fill="CCEEFF"/>
          </w:tcPr>
          <w:p>
            <w:pPr>
              <w:spacing w:after="0"/>
              <w:rPr>
                <w:sz w:val="19"/>
                <w:szCs w:val="19"/>
                <w:color w:val="auto"/>
              </w:rPr>
            </w:pPr>
          </w:p>
        </w:tc>
        <w:tc>
          <w:tcPr>
            <w:tcW w:w="158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b w:val="1"/>
                <w:bCs w:val="1"/>
                <w:color w:val="auto"/>
              </w:rPr>
              <w:t>LIABILITIES AND</w:t>
            </w:r>
          </w:p>
        </w:tc>
        <w:tc>
          <w:tcPr>
            <w:tcW w:w="1300" w:type="dxa"/>
            <w:vAlign w:val="bottom"/>
            <w:gridSpan w:val="3"/>
            <w:shd w:val="clear" w:color="auto" w:fill="CCEEFF"/>
          </w:tcPr>
          <w:p>
            <w:pPr>
              <w:ind w:left="100"/>
              <w:spacing w:after="0"/>
              <w:rPr>
                <w:sz w:val="20"/>
                <w:szCs w:val="20"/>
                <w:color w:val="auto"/>
              </w:rPr>
            </w:pPr>
            <w:r>
              <w:rPr>
                <w:rFonts w:ascii="Arial" w:cs="Arial" w:eastAsia="Arial" w:hAnsi="Arial"/>
                <w:sz w:val="18"/>
                <w:szCs w:val="18"/>
                <w:b w:val="1"/>
                <w:bCs w:val="1"/>
                <w:color w:val="auto"/>
                <w:w w:val="75"/>
              </w:rPr>
              <w:t>SHAREHOLDERS’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EQUITY</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152.3</w:t>
            </w: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279.8</w:t>
            </w: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5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284.0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433.6</w:t>
            </w: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781.1</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257.8</w:t>
            </w: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Intercompany liabilities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6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1,472.5</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601.9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658.3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601.9</w:t>
            </w:r>
          </w:p>
        </w:tc>
      </w:tr>
      <w:tr>
        <w:trPr>
          <w:trHeight w:val="27"/>
        </w:trPr>
        <w:tc>
          <w:tcPr>
            <w:tcW w:w="36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2,074.4</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3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511"/>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color w:val="auto"/>
              </w:rPr>
              <w:t>Subsidiary</w:t>
            </w:r>
          </w:p>
        </w:tc>
        <w:tc>
          <w:tcPr>
            <w:tcW w:w="180" w:type="dxa"/>
            <w:vAlign w:val="bottom"/>
          </w:tcPr>
          <w:p>
            <w:pPr>
              <w:spacing w:after="0"/>
              <w:rPr>
                <w:sz w:val="14"/>
                <w:szCs w:val="14"/>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color w:val="auto"/>
              </w:rPr>
              <w:t>Non-</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8"/>
        </w:trPr>
        <w:tc>
          <w:tcPr>
            <w:tcW w:w="5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97"/>
              </w:rPr>
              <w:t>Guarantors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97"/>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95"/>
              </w:rPr>
              <w:t>Consolidated</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2,799.7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1,422.9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1,769.0</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 impairment, 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 — product registration and recall matters</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w:t>
            </w: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1,009.2</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686.3</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37.6</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274.8</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income in subsidiaries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Costs related to refinancing</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156.9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286.2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222.6</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167.9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139.9</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167.9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186.8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167.9</w:t>
            </w:r>
          </w:p>
        </w:tc>
      </w:tr>
      <w:tr>
        <w:trPr>
          <w:trHeight w:val="27"/>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420"/>
          </w:cols>
          <w:pgMar w:left="240" w:top="121" w:right="239" w:bottom="1440" w:gutter="0" w:footer="0" w:header="0"/>
          <w:type w:val="continuous"/>
        </w:sectPr>
      </w:pPr>
    </w:p>
    <w:bookmarkStart w:id="106" w:name="page107"/>
    <w:bookmarkEnd w:id="106"/>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pension and other post retirement benefits</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12"/>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07" w:name="page108"/>
    <w:bookmarkEnd w:id="107"/>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color w:val="auto"/>
              </w:rPr>
              <w:t>Subsidiary</w:t>
            </w:r>
          </w:p>
        </w:tc>
        <w:tc>
          <w:tcPr>
            <w:tcW w:w="180" w:type="dxa"/>
            <w:vAlign w:val="bottom"/>
          </w:tcPr>
          <w:p>
            <w:pPr>
              <w:spacing w:after="0"/>
              <w:rPr>
                <w:sz w:val="14"/>
                <w:szCs w:val="14"/>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color w:val="auto"/>
              </w:rPr>
              <w:t>Non-</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8"/>
        </w:trPr>
        <w:tc>
          <w:tcPr>
            <w:tcW w:w="5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w w:val="97"/>
              </w:rPr>
              <w:t>Guarantors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w w:val="97"/>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95"/>
              </w:rPr>
              <w:t>Consolidated</w:t>
            </w: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NET CASH (USED IN) PROVIDED BY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w:t>
            </w:r>
          </w:p>
        </w:tc>
      </w:tr>
      <w:tr>
        <w:trPr>
          <w:trHeight w:val="223"/>
        </w:trPr>
        <w:tc>
          <w:tcPr>
            <w:tcW w:w="526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41"/>
        </w:trPr>
        <w:tc>
          <w:tcPr>
            <w:tcW w:w="5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Proceeds from sale of business, net of transaction costs</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253.6</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Contingent consideration and related payments</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acquired businesses, net of cash acquired</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37"/>
        </w:trPr>
        <w:tc>
          <w:tcPr>
            <w:tcW w:w="5260" w:type="dxa"/>
            <w:vAlign w:val="bottom"/>
          </w:tcPr>
          <w:p>
            <w:pPr>
              <w:ind w:left="720"/>
              <w:spacing w:after="0"/>
              <w:rPr>
                <w:sz w:val="20"/>
                <w:szCs w:val="20"/>
                <w:color w:val="auto"/>
              </w:rPr>
            </w:pPr>
            <w:r>
              <w:rPr>
                <w:rFonts w:ascii="Arial" w:cs="Arial" w:eastAsia="Arial" w:hAnsi="Arial"/>
                <w:sz w:val="18"/>
                <w:szCs w:val="18"/>
                <w:color w:val="auto"/>
              </w:rPr>
              <w:t>Net cash provided by investing activities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153.5</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5260" w:type="dxa"/>
            <w:vAlign w:val="bottom"/>
          </w:tcPr>
          <w:p>
            <w:pPr>
              <w:ind w:left="380"/>
              <w:spacing w:after="0"/>
              <w:rPr>
                <w:sz w:val="20"/>
                <w:szCs w:val="20"/>
                <w:color w:val="auto"/>
              </w:rPr>
            </w:pPr>
            <w:r>
              <w:rPr>
                <w:rFonts w:ascii="Arial" w:cs="Arial" w:eastAsia="Arial" w:hAnsi="Arial"/>
                <w:sz w:val="18"/>
                <w:szCs w:val="18"/>
                <w:color w:val="auto"/>
              </w:rPr>
              <w:t>Borrowings under revolving and bank lines of credit and term</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260" w:type="dxa"/>
            <w:vAlign w:val="bottom"/>
          </w:tcPr>
          <w:p>
            <w:pPr>
              <w:ind w:left="380"/>
              <w:spacing w:after="0"/>
              <w:rPr>
                <w:sz w:val="20"/>
                <w:szCs w:val="20"/>
                <w:color w:val="auto"/>
              </w:rPr>
            </w:pPr>
            <w:r>
              <w:rPr>
                <w:rFonts w:ascii="Arial" w:cs="Arial" w:eastAsia="Arial" w:hAnsi="Arial"/>
                <w:sz w:val="18"/>
                <w:szCs w:val="18"/>
                <w:color w:val="auto"/>
              </w:rPr>
              <w:t>loans</w:t>
            </w:r>
          </w:p>
        </w:tc>
        <w:tc>
          <w:tcPr>
            <w:tcW w:w="22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908.2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1,610.1</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52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Repayments under revolving and bank lines of credit and term</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loans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(1,632.1)</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Proceeds from issuance of Senior Notes, net of discount</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200.0</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and issuance fees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(67.9)</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common shares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(358.7)</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Payments on seller notes</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Excess tax benefits from share-based payment arrangements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Cash received from exercise of stock options</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31.5</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financing</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526.9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260" w:type="dxa"/>
            <w:vAlign w:val="bottom"/>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(230.7)</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42.8</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130.9</w:t>
            </w:r>
          </w:p>
        </w:tc>
      </w:tr>
      <w:tr>
        <w:trPr>
          <w:trHeight w:val="27"/>
        </w:trPr>
        <w:tc>
          <w:tcPr>
            <w:tcW w:w="5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11"/>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08" w:name="page109"/>
    <w:bookmarkEnd w:id="108"/>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2013</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4"/>
          </w:tcPr>
          <w:p>
            <w:pPr>
              <w:ind w:left="40"/>
              <w:spacing w:after="0"/>
              <w:rPr>
                <w:sz w:val="20"/>
                <w:szCs w:val="20"/>
                <w:color w:val="auto"/>
              </w:rPr>
            </w:pPr>
            <w:r>
              <w:rPr>
                <w:rFonts w:ascii="Arial" w:cs="Arial" w:eastAsia="Arial" w:hAnsi="Arial"/>
                <w:sz w:val="14"/>
                <w:szCs w:val="14"/>
                <w:b w:val="1"/>
                <w:bCs w:val="1"/>
                <w:color w:val="auto"/>
              </w:rPr>
              <w:t>Column A</w:t>
            </w:r>
          </w:p>
        </w:tc>
        <w:tc>
          <w:tcPr>
            <w:tcW w:w="2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Column B</w:t>
            </w: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Column C</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Column D</w:t>
            </w: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Column E</w:t>
            </w:r>
          </w:p>
        </w:tc>
        <w:tc>
          <w:tcPr>
            <w:tcW w:w="200" w:type="dxa"/>
            <w:vAlign w:val="bottom"/>
          </w:tcPr>
          <w:p>
            <w:pPr>
              <w:spacing w:after="0"/>
              <w:rPr>
                <w:sz w:val="14"/>
                <w:szCs w:val="14"/>
                <w:color w:val="auto"/>
              </w:rPr>
            </w:pPr>
          </w:p>
        </w:tc>
        <w:tc>
          <w:tcPr>
            <w:tcW w:w="940" w:type="dxa"/>
            <w:vAlign w:val="bottom"/>
          </w:tcPr>
          <w:p>
            <w:pPr>
              <w:jc w:val="center"/>
              <w:ind w:right="122"/>
              <w:spacing w:after="0"/>
              <w:rPr>
                <w:sz w:val="20"/>
                <w:szCs w:val="20"/>
                <w:color w:val="auto"/>
              </w:rPr>
            </w:pPr>
            <w:r>
              <w:rPr>
                <w:rFonts w:ascii="Arial" w:cs="Arial" w:eastAsia="Arial" w:hAnsi="Arial"/>
                <w:sz w:val="14"/>
                <w:szCs w:val="14"/>
                <w:b w:val="1"/>
                <w:bCs w:val="1"/>
                <w:color w:val="auto"/>
                <w:w w:val="95"/>
              </w:rPr>
              <w:t>Column F</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3"/>
              </w:rPr>
              <w:t>Balance</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2"/>
              </w:rPr>
              <w:t>Additions</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1"/>
              </w:rPr>
              <w:t>Deductions</w:t>
            </w:r>
          </w:p>
        </w:tc>
        <w:tc>
          <w:tcPr>
            <w:tcW w:w="200" w:type="dxa"/>
            <w:vAlign w:val="bottom"/>
          </w:tcPr>
          <w:p>
            <w:pPr>
              <w:spacing w:after="0"/>
              <w:rPr>
                <w:sz w:val="12"/>
                <w:szCs w:val="12"/>
                <w:color w:val="auto"/>
              </w:rPr>
            </w:pPr>
          </w:p>
        </w:tc>
        <w:tc>
          <w:tcPr>
            <w:tcW w:w="94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at</w:t>
            </w:r>
          </w:p>
        </w:tc>
        <w:tc>
          <w:tcPr>
            <w:tcW w:w="1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6"/>
              </w:rPr>
              <w:t>Reserves</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Charged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Credited</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Classification</w:t>
            </w: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to</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and</w:t>
            </w:r>
          </w:p>
        </w:tc>
        <w:tc>
          <w:tcPr>
            <w:tcW w:w="200" w:type="dxa"/>
            <w:vAlign w:val="bottom"/>
          </w:tcPr>
          <w:p>
            <w:pPr>
              <w:spacing w:after="0"/>
              <w:rPr>
                <w:sz w:val="12"/>
                <w:szCs w:val="12"/>
                <w:color w:val="auto"/>
              </w:rPr>
            </w:pPr>
          </w:p>
        </w:tc>
        <w:tc>
          <w:tcPr>
            <w:tcW w:w="94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6"/>
              </w:rPr>
              <w:t>at End of</w:t>
            </w:r>
          </w:p>
        </w:tc>
        <w:tc>
          <w:tcPr>
            <w:tcW w:w="0" w:type="dxa"/>
            <w:vAlign w:val="bottom"/>
          </w:tcPr>
          <w:p>
            <w:pPr>
              <w:spacing w:after="0"/>
              <w:rPr>
                <w:sz w:val="1"/>
                <w:szCs w:val="1"/>
                <w:color w:val="auto"/>
              </w:rPr>
            </w:pPr>
          </w:p>
        </w:tc>
      </w:tr>
      <w:tr>
        <w:trPr>
          <w:trHeight w:val="158"/>
        </w:trPr>
        <w:tc>
          <w:tcPr>
            <w:tcW w:w="3120" w:type="dxa"/>
            <w:vAlign w:val="bottom"/>
            <w:gridSpan w:val="4"/>
            <w:vMerge w:val="continue"/>
          </w:tcPr>
          <w:p>
            <w:pPr>
              <w:spacing w:after="0"/>
              <w:rPr>
                <w:sz w:val="13"/>
                <w:szCs w:val="13"/>
                <w:color w:val="auto"/>
              </w:rPr>
            </w:pPr>
          </w:p>
        </w:tc>
        <w:tc>
          <w:tcPr>
            <w:tcW w:w="2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5"/>
              </w:rPr>
              <w:t>of Period</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5"/>
              </w:rPr>
              <w:t>Acquired</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6"/>
              </w:rPr>
              <w:t>Expense</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7"/>
              </w:rPr>
              <w:t>Write-Offs</w:t>
            </w:r>
          </w:p>
        </w:tc>
        <w:tc>
          <w:tcPr>
            <w:tcW w:w="200" w:type="dxa"/>
            <w:vAlign w:val="bottom"/>
          </w:tcPr>
          <w:p>
            <w:pPr>
              <w:spacing w:after="0"/>
              <w:rPr>
                <w:sz w:val="13"/>
                <w:szCs w:val="13"/>
                <w:color w:val="auto"/>
              </w:rPr>
            </w:pPr>
          </w:p>
        </w:tc>
        <w:tc>
          <w:tcPr>
            <w:tcW w:w="940" w:type="dxa"/>
            <w:vAlign w:val="bottom"/>
          </w:tcPr>
          <w:p>
            <w:pPr>
              <w:jc w:val="center"/>
              <w:ind w:right="122"/>
              <w:spacing w:after="0" w:line="158"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46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w w:val="98"/>
              </w:rPr>
              <w:t>Valuation and qualifying accounts deducted from the assets to which</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they apply:</w:t>
            </w:r>
          </w:p>
        </w:tc>
        <w:tc>
          <w:tcPr>
            <w:tcW w:w="2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20" w:type="dxa"/>
            <w:vAlign w:val="bottom"/>
            <w:gridSpan w:val="4"/>
          </w:tcPr>
          <w:p>
            <w:pPr>
              <w:ind w:left="40"/>
              <w:spacing w:after="0"/>
              <w:rPr>
                <w:sz w:val="20"/>
                <w:szCs w:val="20"/>
                <w:color w:val="auto"/>
              </w:rPr>
            </w:pPr>
            <w:r>
              <w:rPr>
                <w:rFonts w:ascii="Arial" w:cs="Arial" w:eastAsia="Arial" w:hAnsi="Arial"/>
                <w:sz w:val="18"/>
                <w:szCs w:val="18"/>
                <w:color w:val="auto"/>
              </w:rPr>
              <w:t>Allowance for doubtful accounts</w:t>
            </w:r>
          </w:p>
        </w:tc>
        <w:tc>
          <w:tcPr>
            <w:tcW w:w="2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2"/>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44"/>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22"/>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tax valuation allowance</w:t>
            </w:r>
          </w:p>
        </w:tc>
        <w:tc>
          <w:tcPr>
            <w:tcW w:w="2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630"/>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680" w:type="dxa"/>
            <w:vAlign w:val="bottom"/>
            <w:gridSpan w:val="7"/>
          </w:tcPr>
          <w:p>
            <w:pPr>
              <w:jc w:val="center"/>
              <w:ind w:left="430"/>
              <w:spacing w:after="0"/>
              <w:rPr>
                <w:sz w:val="20"/>
                <w:szCs w:val="20"/>
                <w:color w:val="auto"/>
              </w:rPr>
            </w:pPr>
            <w:r>
              <w:rPr>
                <w:rFonts w:ascii="Arial" w:cs="Arial" w:eastAsia="Arial" w:hAnsi="Arial"/>
                <w:sz w:val="18"/>
                <w:szCs w:val="18"/>
                <w:b w:val="1"/>
                <w:bCs w:val="1"/>
                <w:color w:val="auto"/>
                <w:w w:val="91"/>
              </w:rPr>
              <w:t>Schedule II—Valuation and Qualifying Accounts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680" w:type="dxa"/>
            <w:vAlign w:val="bottom"/>
            <w:gridSpan w:val="7"/>
          </w:tcPr>
          <w:p>
            <w:pPr>
              <w:jc w:val="center"/>
              <w:ind w:left="430"/>
              <w:spacing w:after="0"/>
              <w:rPr>
                <w:sz w:val="20"/>
                <w:szCs w:val="20"/>
                <w:color w:val="auto"/>
              </w:rPr>
            </w:pPr>
            <w:r>
              <w:rPr>
                <w:rFonts w:ascii="Arial" w:cs="Arial" w:eastAsia="Arial" w:hAnsi="Arial"/>
                <w:sz w:val="18"/>
                <w:szCs w:val="18"/>
                <w:b w:val="1"/>
                <w:bCs w:val="1"/>
                <w:color w:val="auto"/>
                <w:w w:val="89"/>
              </w:rPr>
              <w:t>for the fiscal year ended September 30, 2012</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120" w:type="dxa"/>
            <w:vAlign w:val="bottom"/>
            <w:gridSpan w:val="4"/>
          </w:tcPr>
          <w:p>
            <w:pPr>
              <w:ind w:left="40"/>
              <w:spacing w:after="0"/>
              <w:rPr>
                <w:sz w:val="20"/>
                <w:szCs w:val="20"/>
                <w:color w:val="auto"/>
              </w:rPr>
            </w:pPr>
            <w:r>
              <w:rPr>
                <w:rFonts w:ascii="Arial" w:cs="Arial" w:eastAsia="Arial" w:hAnsi="Arial"/>
                <w:sz w:val="14"/>
                <w:szCs w:val="14"/>
                <w:b w:val="1"/>
                <w:bCs w:val="1"/>
                <w:color w:val="auto"/>
              </w:rPr>
              <w:t>Column A</w:t>
            </w: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Column B</w:t>
            </w: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Column C</w:t>
            </w:r>
          </w:p>
        </w:tc>
        <w:tc>
          <w:tcPr>
            <w:tcW w:w="14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Column D</w:t>
            </w:r>
          </w:p>
        </w:tc>
        <w:tc>
          <w:tcPr>
            <w:tcW w:w="18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Column E</w:t>
            </w:r>
          </w:p>
        </w:tc>
        <w:tc>
          <w:tcPr>
            <w:tcW w:w="200" w:type="dxa"/>
            <w:vAlign w:val="bottom"/>
          </w:tcPr>
          <w:p>
            <w:pPr>
              <w:spacing w:after="0"/>
              <w:rPr>
                <w:sz w:val="24"/>
                <w:szCs w:val="24"/>
                <w:color w:val="auto"/>
              </w:rPr>
            </w:pPr>
          </w:p>
        </w:tc>
        <w:tc>
          <w:tcPr>
            <w:tcW w:w="940" w:type="dxa"/>
            <w:vAlign w:val="bottom"/>
          </w:tcPr>
          <w:p>
            <w:pPr>
              <w:jc w:val="center"/>
              <w:ind w:right="122"/>
              <w:spacing w:after="0"/>
              <w:rPr>
                <w:sz w:val="20"/>
                <w:szCs w:val="20"/>
                <w:color w:val="auto"/>
              </w:rPr>
            </w:pPr>
            <w:r>
              <w:rPr>
                <w:rFonts w:ascii="Arial" w:cs="Arial" w:eastAsia="Arial" w:hAnsi="Arial"/>
                <w:sz w:val="14"/>
                <w:szCs w:val="14"/>
                <w:b w:val="1"/>
                <w:bCs w:val="1"/>
                <w:color w:val="auto"/>
                <w:w w:val="95"/>
              </w:rPr>
              <w:t>Column F</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3"/>
              </w:rPr>
              <w:t>Balance</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2"/>
              </w:rPr>
              <w:t>Additions</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1"/>
              </w:rPr>
              <w:t>Deductions</w:t>
            </w:r>
          </w:p>
        </w:tc>
        <w:tc>
          <w:tcPr>
            <w:tcW w:w="200" w:type="dxa"/>
            <w:vAlign w:val="bottom"/>
          </w:tcPr>
          <w:p>
            <w:pPr>
              <w:spacing w:after="0"/>
              <w:rPr>
                <w:sz w:val="12"/>
                <w:szCs w:val="12"/>
                <w:color w:val="auto"/>
              </w:rPr>
            </w:pPr>
          </w:p>
        </w:tc>
        <w:tc>
          <w:tcPr>
            <w:tcW w:w="94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at</w:t>
            </w:r>
          </w:p>
        </w:tc>
        <w:tc>
          <w:tcPr>
            <w:tcW w:w="1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6"/>
              </w:rPr>
              <w:t>Reserves</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Charged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Credited</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Classification</w:t>
            </w: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to</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and</w:t>
            </w:r>
          </w:p>
        </w:tc>
        <w:tc>
          <w:tcPr>
            <w:tcW w:w="200" w:type="dxa"/>
            <w:vAlign w:val="bottom"/>
          </w:tcPr>
          <w:p>
            <w:pPr>
              <w:spacing w:after="0"/>
              <w:rPr>
                <w:sz w:val="12"/>
                <w:szCs w:val="12"/>
                <w:color w:val="auto"/>
              </w:rPr>
            </w:pPr>
          </w:p>
        </w:tc>
        <w:tc>
          <w:tcPr>
            <w:tcW w:w="94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6"/>
              </w:rPr>
              <w:t>at End of</w:t>
            </w:r>
          </w:p>
        </w:tc>
        <w:tc>
          <w:tcPr>
            <w:tcW w:w="0" w:type="dxa"/>
            <w:vAlign w:val="bottom"/>
          </w:tcPr>
          <w:p>
            <w:pPr>
              <w:spacing w:after="0"/>
              <w:rPr>
                <w:sz w:val="1"/>
                <w:szCs w:val="1"/>
                <w:color w:val="auto"/>
              </w:rPr>
            </w:pPr>
          </w:p>
        </w:tc>
      </w:tr>
      <w:tr>
        <w:trPr>
          <w:trHeight w:val="158"/>
        </w:trPr>
        <w:tc>
          <w:tcPr>
            <w:tcW w:w="3120" w:type="dxa"/>
            <w:vAlign w:val="bottom"/>
            <w:gridSpan w:val="4"/>
            <w:vMerge w:val="continue"/>
          </w:tcPr>
          <w:p>
            <w:pPr>
              <w:spacing w:after="0"/>
              <w:rPr>
                <w:sz w:val="13"/>
                <w:szCs w:val="13"/>
                <w:color w:val="auto"/>
              </w:rPr>
            </w:pPr>
          </w:p>
        </w:tc>
        <w:tc>
          <w:tcPr>
            <w:tcW w:w="2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5"/>
              </w:rPr>
              <w:t>of Period</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5"/>
              </w:rPr>
              <w:t>Acquired</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6"/>
              </w:rPr>
              <w:t>Expense</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7"/>
              </w:rPr>
              <w:t>Write-Offs</w:t>
            </w:r>
          </w:p>
        </w:tc>
        <w:tc>
          <w:tcPr>
            <w:tcW w:w="200" w:type="dxa"/>
            <w:vAlign w:val="bottom"/>
          </w:tcPr>
          <w:p>
            <w:pPr>
              <w:spacing w:after="0"/>
              <w:rPr>
                <w:sz w:val="13"/>
                <w:szCs w:val="13"/>
                <w:color w:val="auto"/>
              </w:rPr>
            </w:pPr>
          </w:p>
        </w:tc>
        <w:tc>
          <w:tcPr>
            <w:tcW w:w="940" w:type="dxa"/>
            <w:vAlign w:val="bottom"/>
          </w:tcPr>
          <w:p>
            <w:pPr>
              <w:jc w:val="center"/>
              <w:ind w:right="122"/>
              <w:spacing w:after="0" w:line="158"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46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w w:val="98"/>
              </w:rPr>
              <w:t>Valuation and qualifying accounts deducted from the assets to which</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they apply:</w:t>
            </w:r>
          </w:p>
        </w:tc>
        <w:tc>
          <w:tcPr>
            <w:tcW w:w="2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20" w:type="dxa"/>
            <w:vAlign w:val="bottom"/>
            <w:gridSpan w:val="4"/>
          </w:tcPr>
          <w:p>
            <w:pPr>
              <w:ind w:left="40"/>
              <w:spacing w:after="0"/>
              <w:rPr>
                <w:sz w:val="20"/>
                <w:szCs w:val="20"/>
                <w:color w:val="auto"/>
              </w:rPr>
            </w:pPr>
            <w:r>
              <w:rPr>
                <w:rFonts w:ascii="Arial" w:cs="Arial" w:eastAsia="Arial" w:hAnsi="Arial"/>
                <w:sz w:val="18"/>
                <w:szCs w:val="18"/>
                <w:color w:val="auto"/>
              </w:rPr>
              <w:t>Allowance for doubtful accounts</w:t>
            </w:r>
          </w:p>
        </w:tc>
        <w:tc>
          <w:tcPr>
            <w:tcW w:w="2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2"/>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44"/>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22"/>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tax valuation allowance</w:t>
            </w:r>
          </w:p>
        </w:tc>
        <w:tc>
          <w:tcPr>
            <w:tcW w:w="2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630"/>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680" w:type="dxa"/>
            <w:vAlign w:val="bottom"/>
            <w:gridSpan w:val="7"/>
          </w:tcPr>
          <w:p>
            <w:pPr>
              <w:jc w:val="center"/>
              <w:ind w:left="430"/>
              <w:spacing w:after="0"/>
              <w:rPr>
                <w:sz w:val="20"/>
                <w:szCs w:val="20"/>
                <w:color w:val="auto"/>
              </w:rPr>
            </w:pPr>
            <w:r>
              <w:rPr>
                <w:rFonts w:ascii="Arial" w:cs="Arial" w:eastAsia="Arial" w:hAnsi="Arial"/>
                <w:sz w:val="18"/>
                <w:szCs w:val="18"/>
                <w:b w:val="1"/>
                <w:bCs w:val="1"/>
                <w:color w:val="auto"/>
                <w:w w:val="91"/>
              </w:rPr>
              <w:t>Schedule II—Valuation and Qualifying Accounts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680" w:type="dxa"/>
            <w:vAlign w:val="bottom"/>
            <w:gridSpan w:val="7"/>
          </w:tcPr>
          <w:p>
            <w:pPr>
              <w:jc w:val="center"/>
              <w:ind w:left="410"/>
              <w:spacing w:after="0"/>
              <w:rPr>
                <w:sz w:val="20"/>
                <w:szCs w:val="20"/>
                <w:color w:val="auto"/>
              </w:rPr>
            </w:pPr>
            <w:r>
              <w:rPr>
                <w:rFonts w:ascii="Arial" w:cs="Arial" w:eastAsia="Arial" w:hAnsi="Arial"/>
                <w:sz w:val="18"/>
                <w:szCs w:val="18"/>
                <w:b w:val="1"/>
                <w:bCs w:val="1"/>
                <w:color w:val="auto"/>
                <w:w w:val="88"/>
              </w:rPr>
              <w:t>for the fiscal year ended September 30, 2011</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120" w:type="dxa"/>
            <w:vAlign w:val="bottom"/>
            <w:gridSpan w:val="4"/>
          </w:tcPr>
          <w:p>
            <w:pPr>
              <w:ind w:left="40"/>
              <w:spacing w:after="0"/>
              <w:rPr>
                <w:sz w:val="20"/>
                <w:szCs w:val="20"/>
                <w:color w:val="auto"/>
              </w:rPr>
            </w:pPr>
            <w:r>
              <w:rPr>
                <w:rFonts w:ascii="Arial" w:cs="Arial" w:eastAsia="Arial" w:hAnsi="Arial"/>
                <w:sz w:val="14"/>
                <w:szCs w:val="14"/>
                <w:b w:val="1"/>
                <w:bCs w:val="1"/>
                <w:color w:val="auto"/>
              </w:rPr>
              <w:t>Column A</w:t>
            </w: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Column B</w:t>
            </w: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Column C</w:t>
            </w:r>
          </w:p>
        </w:tc>
        <w:tc>
          <w:tcPr>
            <w:tcW w:w="14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Column D</w:t>
            </w:r>
          </w:p>
        </w:tc>
        <w:tc>
          <w:tcPr>
            <w:tcW w:w="18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Column E</w:t>
            </w:r>
          </w:p>
        </w:tc>
        <w:tc>
          <w:tcPr>
            <w:tcW w:w="200" w:type="dxa"/>
            <w:vAlign w:val="bottom"/>
          </w:tcPr>
          <w:p>
            <w:pPr>
              <w:spacing w:after="0"/>
              <w:rPr>
                <w:sz w:val="24"/>
                <w:szCs w:val="24"/>
                <w:color w:val="auto"/>
              </w:rPr>
            </w:pPr>
          </w:p>
        </w:tc>
        <w:tc>
          <w:tcPr>
            <w:tcW w:w="940" w:type="dxa"/>
            <w:vAlign w:val="bottom"/>
          </w:tcPr>
          <w:p>
            <w:pPr>
              <w:jc w:val="center"/>
              <w:ind w:right="122"/>
              <w:spacing w:after="0"/>
              <w:rPr>
                <w:sz w:val="20"/>
                <w:szCs w:val="20"/>
                <w:color w:val="auto"/>
              </w:rPr>
            </w:pPr>
            <w:r>
              <w:rPr>
                <w:rFonts w:ascii="Arial" w:cs="Arial" w:eastAsia="Arial" w:hAnsi="Arial"/>
                <w:sz w:val="14"/>
                <w:szCs w:val="14"/>
                <w:b w:val="1"/>
                <w:bCs w:val="1"/>
                <w:color w:val="auto"/>
                <w:w w:val="95"/>
              </w:rPr>
              <w:t>Column F</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3"/>
              </w:rPr>
              <w:t>Balance</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2"/>
              </w:rPr>
              <w:t>Additions</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1"/>
              </w:rPr>
              <w:t>Deductions</w:t>
            </w:r>
          </w:p>
        </w:tc>
        <w:tc>
          <w:tcPr>
            <w:tcW w:w="200" w:type="dxa"/>
            <w:vAlign w:val="bottom"/>
          </w:tcPr>
          <w:p>
            <w:pPr>
              <w:spacing w:after="0"/>
              <w:rPr>
                <w:sz w:val="12"/>
                <w:szCs w:val="12"/>
                <w:color w:val="auto"/>
              </w:rPr>
            </w:pPr>
          </w:p>
        </w:tc>
        <w:tc>
          <w:tcPr>
            <w:tcW w:w="94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at</w:t>
            </w:r>
          </w:p>
        </w:tc>
        <w:tc>
          <w:tcPr>
            <w:tcW w:w="1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6"/>
              </w:rPr>
              <w:t>Reserves</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Charged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Credited</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Classification</w:t>
            </w: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to</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and</w:t>
            </w:r>
          </w:p>
        </w:tc>
        <w:tc>
          <w:tcPr>
            <w:tcW w:w="200" w:type="dxa"/>
            <w:vAlign w:val="bottom"/>
          </w:tcPr>
          <w:p>
            <w:pPr>
              <w:spacing w:after="0"/>
              <w:rPr>
                <w:sz w:val="12"/>
                <w:szCs w:val="12"/>
                <w:color w:val="auto"/>
              </w:rPr>
            </w:pPr>
          </w:p>
        </w:tc>
        <w:tc>
          <w:tcPr>
            <w:tcW w:w="94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6"/>
              </w:rPr>
              <w:t>at End of</w:t>
            </w:r>
          </w:p>
        </w:tc>
        <w:tc>
          <w:tcPr>
            <w:tcW w:w="0" w:type="dxa"/>
            <w:vAlign w:val="bottom"/>
          </w:tcPr>
          <w:p>
            <w:pPr>
              <w:spacing w:after="0"/>
              <w:rPr>
                <w:sz w:val="1"/>
                <w:szCs w:val="1"/>
                <w:color w:val="auto"/>
              </w:rPr>
            </w:pPr>
          </w:p>
        </w:tc>
      </w:tr>
      <w:tr>
        <w:trPr>
          <w:trHeight w:val="158"/>
        </w:trPr>
        <w:tc>
          <w:tcPr>
            <w:tcW w:w="3120" w:type="dxa"/>
            <w:vAlign w:val="bottom"/>
            <w:gridSpan w:val="4"/>
            <w:vMerge w:val="continue"/>
          </w:tcPr>
          <w:p>
            <w:pPr>
              <w:spacing w:after="0"/>
              <w:rPr>
                <w:sz w:val="13"/>
                <w:szCs w:val="13"/>
                <w:color w:val="auto"/>
              </w:rPr>
            </w:pPr>
          </w:p>
        </w:tc>
        <w:tc>
          <w:tcPr>
            <w:tcW w:w="2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5"/>
              </w:rPr>
              <w:t>of Period</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5"/>
              </w:rPr>
              <w:t>Acquired</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6"/>
              </w:rPr>
              <w:t>Expense</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7"/>
              </w:rPr>
              <w:t>Write-Offs</w:t>
            </w:r>
          </w:p>
        </w:tc>
        <w:tc>
          <w:tcPr>
            <w:tcW w:w="200" w:type="dxa"/>
            <w:vAlign w:val="bottom"/>
          </w:tcPr>
          <w:p>
            <w:pPr>
              <w:spacing w:after="0"/>
              <w:rPr>
                <w:sz w:val="13"/>
                <w:szCs w:val="13"/>
                <w:color w:val="auto"/>
              </w:rPr>
            </w:pPr>
          </w:p>
        </w:tc>
        <w:tc>
          <w:tcPr>
            <w:tcW w:w="940" w:type="dxa"/>
            <w:vAlign w:val="bottom"/>
          </w:tcPr>
          <w:p>
            <w:pPr>
              <w:jc w:val="center"/>
              <w:ind w:right="122"/>
              <w:spacing w:after="0" w:line="158"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46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w w:val="98"/>
              </w:rPr>
              <w:t>Valuation and qualifying accounts deducted from the assets to which</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they apply:</w:t>
            </w:r>
          </w:p>
        </w:tc>
        <w:tc>
          <w:tcPr>
            <w:tcW w:w="2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20" w:type="dxa"/>
            <w:vAlign w:val="bottom"/>
            <w:gridSpan w:val="4"/>
          </w:tcPr>
          <w:p>
            <w:pPr>
              <w:ind w:left="40"/>
              <w:spacing w:after="0"/>
              <w:rPr>
                <w:sz w:val="20"/>
                <w:szCs w:val="20"/>
                <w:color w:val="auto"/>
              </w:rPr>
            </w:pPr>
            <w:r>
              <w:rPr>
                <w:rFonts w:ascii="Arial" w:cs="Arial" w:eastAsia="Arial" w:hAnsi="Arial"/>
                <w:sz w:val="18"/>
                <w:szCs w:val="18"/>
                <w:color w:val="auto"/>
              </w:rPr>
              <w:t>Allowance for doubtful accounts</w:t>
            </w:r>
          </w:p>
        </w:tc>
        <w:tc>
          <w:tcPr>
            <w:tcW w:w="2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2"/>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4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44"/>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22"/>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tax valuation allowance</w:t>
            </w:r>
          </w:p>
        </w:tc>
        <w:tc>
          <w:tcPr>
            <w:tcW w:w="2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675"/>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center"/>
              <w:ind w:right="402"/>
              <w:spacing w:after="0"/>
              <w:rPr>
                <w:sz w:val="20"/>
                <w:szCs w:val="20"/>
                <w:color w:val="auto"/>
              </w:rPr>
            </w:pPr>
            <w:r>
              <w:rPr>
                <w:rFonts w:ascii="Arial" w:cs="Arial" w:eastAsia="Arial" w:hAnsi="Arial"/>
                <w:sz w:val="18"/>
                <w:szCs w:val="18"/>
                <w:color w:val="auto"/>
                <w:w w:val="86"/>
              </w:rPr>
              <w:t>109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9" w:name="page110"/>
    <w:bookmarkEnd w:id="109"/>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The Scotts Miracle-Gro Company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90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No.</w:t>
            </w:r>
          </w:p>
        </w:tc>
        <w:tc>
          <w:tcPr>
            <w:tcW w:w="100" w:type="dxa"/>
            <w:vAlign w:val="bottom"/>
          </w:tcPr>
          <w:p>
            <w:pPr>
              <w:spacing w:after="0"/>
              <w:rPr>
                <w:sz w:val="16"/>
                <w:szCs w:val="16"/>
                <w:color w:val="auto"/>
              </w:rPr>
            </w:pPr>
          </w:p>
        </w:tc>
        <w:tc>
          <w:tcPr>
            <w:tcW w:w="4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3.1(a)</w:t>
            </w:r>
          </w:p>
        </w:tc>
        <w:tc>
          <w:tcPr>
            <w:tcW w:w="4900" w:type="dxa"/>
            <w:vAlign w:val="bottom"/>
          </w:tcPr>
          <w:p>
            <w:pPr>
              <w:ind w:left="20"/>
              <w:spacing w:after="0"/>
              <w:rPr>
                <w:sz w:val="20"/>
                <w:szCs w:val="20"/>
                <w:color w:val="auto"/>
              </w:rPr>
            </w:pPr>
            <w:r>
              <w:rPr>
                <w:rFonts w:ascii="Arial" w:cs="Arial" w:eastAsia="Arial" w:hAnsi="Arial"/>
                <w:sz w:val="18"/>
                <w:szCs w:val="18"/>
                <w:color w:val="auto"/>
              </w:rPr>
              <w:t>Initial  Articles  of  Incorporation  of  The  Scotts  Miracle-Gro</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5"/>
              </w:rPr>
              <w:t>Company as filed with the Ohio Secretary of State on November</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22, 2004</w:t>
            </w:r>
          </w:p>
        </w:tc>
        <w:tc>
          <w:tcPr>
            <w:tcW w:w="0" w:type="dxa"/>
            <w:vAlign w:val="bottom"/>
          </w:tcPr>
          <w:p>
            <w:pPr>
              <w:spacing w:after="0"/>
              <w:rPr>
                <w:sz w:val="1"/>
                <w:szCs w:val="1"/>
                <w:color w:val="auto"/>
              </w:rPr>
            </w:pPr>
          </w:p>
        </w:tc>
      </w:tr>
      <w:tr>
        <w:trPr>
          <w:trHeight w:val="377"/>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3.1(b)</w:t>
            </w:r>
          </w:p>
        </w:tc>
        <w:tc>
          <w:tcPr>
            <w:tcW w:w="4900" w:type="dxa"/>
            <w:vAlign w:val="bottom"/>
          </w:tcPr>
          <w:p>
            <w:pPr>
              <w:ind w:left="20"/>
              <w:spacing w:after="0"/>
              <w:rPr>
                <w:sz w:val="20"/>
                <w:szCs w:val="20"/>
                <w:color w:val="auto"/>
              </w:rPr>
            </w:pPr>
            <w:r>
              <w:rPr>
                <w:rFonts w:ascii="Arial" w:cs="Arial" w:eastAsia="Arial" w:hAnsi="Arial"/>
                <w:sz w:val="18"/>
                <w:szCs w:val="18"/>
                <w:color w:val="auto"/>
              </w:rPr>
              <w:t>Certificate  of  Amendment  by  Shareholders  to  Articles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7"/>
              </w:rPr>
              <w:t>Incorporation of The Scotts Miracle-Gro Company as filed with</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the Ohio Secretary of State on March 18, 2005</w:t>
            </w:r>
          </w:p>
        </w:tc>
        <w:tc>
          <w:tcPr>
            <w:tcW w:w="0" w:type="dxa"/>
            <w:vAlign w:val="bottom"/>
          </w:tcPr>
          <w:p>
            <w:pPr>
              <w:spacing w:after="0"/>
              <w:rPr>
                <w:sz w:val="1"/>
                <w:szCs w:val="1"/>
                <w:color w:val="auto"/>
              </w:rPr>
            </w:pPr>
          </w:p>
        </w:tc>
      </w:tr>
      <w:tr>
        <w:trPr>
          <w:trHeight w:val="392"/>
        </w:trPr>
        <w:tc>
          <w:tcPr>
            <w:tcW w:w="1380" w:type="dxa"/>
            <w:vAlign w:val="bottom"/>
          </w:tcPr>
          <w:p>
            <w:pPr>
              <w:ind w:left="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Code of Regulations of The Scotts Miracle-Gro Company</w:t>
            </w:r>
          </w:p>
        </w:tc>
        <w:tc>
          <w:tcPr>
            <w:tcW w:w="0" w:type="dxa"/>
            <w:vAlign w:val="bottom"/>
          </w:tcPr>
          <w:p>
            <w:pPr>
              <w:spacing w:after="0"/>
              <w:rPr>
                <w:sz w:val="1"/>
                <w:szCs w:val="1"/>
                <w:color w:val="auto"/>
              </w:rPr>
            </w:pPr>
          </w:p>
        </w:tc>
      </w:tr>
      <w:tr>
        <w:trPr>
          <w:trHeight w:val="810"/>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4.1(a)</w:t>
            </w:r>
          </w:p>
        </w:tc>
        <w:tc>
          <w:tcPr>
            <w:tcW w:w="4900" w:type="dxa"/>
            <w:vAlign w:val="bottom"/>
          </w:tcPr>
          <w:p>
            <w:pPr>
              <w:ind w:left="20"/>
              <w:spacing w:after="0"/>
              <w:rPr>
                <w:sz w:val="20"/>
                <w:szCs w:val="20"/>
                <w:color w:val="auto"/>
              </w:rPr>
            </w:pPr>
            <w:r>
              <w:rPr>
                <w:rFonts w:ascii="Arial" w:cs="Arial" w:eastAsia="Arial" w:hAnsi="Arial"/>
                <w:sz w:val="18"/>
                <w:szCs w:val="18"/>
                <w:color w:val="auto"/>
                <w:w w:val="91"/>
              </w:rPr>
              <w:t>Indenture, dated January 14, 2010, among The Scotts Miracle-Gro</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2"/>
              </w:rPr>
              <w:t>Company, the guarantors from time to time party thereto and U.S.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Bank National Association, as trustee</w:t>
            </w:r>
          </w:p>
        </w:tc>
        <w:tc>
          <w:tcPr>
            <w:tcW w:w="0" w:type="dxa"/>
            <w:vAlign w:val="bottom"/>
          </w:tcPr>
          <w:p>
            <w:pPr>
              <w:spacing w:after="0"/>
              <w:rPr>
                <w:sz w:val="1"/>
                <w:szCs w:val="1"/>
                <w:color w:val="auto"/>
              </w:rPr>
            </w:pPr>
          </w:p>
        </w:tc>
      </w:tr>
      <w:tr>
        <w:trPr>
          <w:trHeight w:val="377"/>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4.1(b)</w:t>
            </w:r>
          </w:p>
        </w:tc>
        <w:tc>
          <w:tcPr>
            <w:tcW w:w="4900" w:type="dxa"/>
            <w:vAlign w:val="bottom"/>
          </w:tcPr>
          <w:p>
            <w:pPr>
              <w:ind w:left="20"/>
              <w:spacing w:after="0"/>
              <w:rPr>
                <w:sz w:val="20"/>
                <w:szCs w:val="20"/>
                <w:color w:val="auto"/>
              </w:rPr>
            </w:pPr>
            <w:r>
              <w:rPr>
                <w:rFonts w:ascii="Arial" w:cs="Arial" w:eastAsia="Arial" w:hAnsi="Arial"/>
                <w:sz w:val="18"/>
                <w:szCs w:val="18"/>
                <w:color w:val="auto"/>
                <w:w w:val="91"/>
              </w:rPr>
              <w:t>First Supplemental Indenture, dated January 14, 2010, among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6"/>
              </w:rPr>
              <w:t>Scotts Miracle-Gro Company, the subsidiary guarantors named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therein and U.S. Bank National Association, as trustee</w:t>
            </w:r>
          </w:p>
        </w:tc>
        <w:tc>
          <w:tcPr>
            <w:tcW w:w="0" w:type="dxa"/>
            <w:vAlign w:val="bottom"/>
          </w:tcPr>
          <w:p>
            <w:pPr>
              <w:spacing w:after="0"/>
              <w:rPr>
                <w:sz w:val="1"/>
                <w:szCs w:val="1"/>
                <w:color w:val="auto"/>
              </w:rPr>
            </w:pPr>
          </w:p>
        </w:tc>
      </w:tr>
      <w:tr>
        <w:trPr>
          <w:trHeight w:val="377"/>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4.1(c)</w:t>
            </w:r>
          </w:p>
        </w:tc>
        <w:tc>
          <w:tcPr>
            <w:tcW w:w="4900" w:type="dxa"/>
            <w:vAlign w:val="bottom"/>
          </w:tcPr>
          <w:p>
            <w:pPr>
              <w:ind w:left="20"/>
              <w:spacing w:after="0"/>
              <w:rPr>
                <w:sz w:val="20"/>
                <w:szCs w:val="20"/>
                <w:color w:val="auto"/>
              </w:rPr>
            </w:pPr>
            <w:r>
              <w:rPr>
                <w:rFonts w:ascii="Arial" w:cs="Arial" w:eastAsia="Arial" w:hAnsi="Arial"/>
                <w:sz w:val="18"/>
                <w:szCs w:val="18"/>
                <w:color w:val="auto"/>
                <w:w w:val="89"/>
              </w:rPr>
              <w:t>Second Supplemental Indenture, dated September 28, 2011, among</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5"/>
              </w:rPr>
              <w:t>The  Scotts  Miracle-Gro  Company,  the  subsidiary  guarantors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8"/>
              </w:rPr>
              <w:t>named therein and U.S. Bank National Association, as trustee</w:t>
            </w:r>
          </w:p>
        </w:tc>
        <w:tc>
          <w:tcPr>
            <w:tcW w:w="0" w:type="dxa"/>
            <w:vAlign w:val="bottom"/>
          </w:tcPr>
          <w:p>
            <w:pPr>
              <w:spacing w:after="0"/>
              <w:rPr>
                <w:sz w:val="1"/>
                <w:szCs w:val="1"/>
                <w:color w:val="auto"/>
              </w:rPr>
            </w:pPr>
          </w:p>
        </w:tc>
      </w:tr>
      <w:tr>
        <w:trPr>
          <w:trHeight w:val="392"/>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4.1(d)</w:t>
            </w:r>
          </w:p>
        </w:tc>
        <w:tc>
          <w:tcPr>
            <w:tcW w:w="4900" w:type="dxa"/>
            <w:vAlign w:val="bottom"/>
          </w:tcPr>
          <w:p>
            <w:pPr>
              <w:ind w:left="20"/>
              <w:spacing w:after="0"/>
              <w:rPr>
                <w:sz w:val="20"/>
                <w:szCs w:val="20"/>
                <w:color w:val="auto"/>
              </w:rPr>
            </w:pPr>
            <w:r>
              <w:rPr>
                <w:rFonts w:ascii="Arial" w:cs="Arial" w:eastAsia="Arial" w:hAnsi="Arial"/>
                <w:sz w:val="18"/>
                <w:szCs w:val="18"/>
                <w:color w:val="auto"/>
              </w:rPr>
              <w:t>Form of 7.25% Senior Notes due 2018</w:t>
            </w:r>
          </w:p>
        </w:tc>
        <w:tc>
          <w:tcPr>
            <w:tcW w:w="0" w:type="dxa"/>
            <w:vAlign w:val="bottom"/>
          </w:tcPr>
          <w:p>
            <w:pPr>
              <w:spacing w:after="0"/>
              <w:rPr>
                <w:sz w:val="1"/>
                <w:szCs w:val="1"/>
                <w:color w:val="auto"/>
              </w:rPr>
            </w:pPr>
          </w:p>
        </w:tc>
      </w:tr>
      <w:tr>
        <w:trPr>
          <w:trHeight w:val="810"/>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4.2(a)</w:t>
            </w:r>
          </w:p>
        </w:tc>
        <w:tc>
          <w:tcPr>
            <w:tcW w:w="4900" w:type="dxa"/>
            <w:vAlign w:val="bottom"/>
          </w:tcPr>
          <w:p>
            <w:pPr>
              <w:ind w:left="20"/>
              <w:spacing w:after="0"/>
              <w:rPr>
                <w:sz w:val="20"/>
                <w:szCs w:val="20"/>
                <w:color w:val="auto"/>
              </w:rPr>
            </w:pPr>
            <w:r>
              <w:rPr>
                <w:rFonts w:ascii="Arial" w:cs="Arial" w:eastAsia="Arial" w:hAnsi="Arial"/>
                <w:sz w:val="18"/>
                <w:szCs w:val="18"/>
                <w:color w:val="auto"/>
                <w:w w:val="97"/>
              </w:rPr>
              <w:t>Indenture, dated as of December 16, 2010, by and among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3"/>
              </w:rPr>
              <w:t>Scotts Miracle-Gro Company, the Guarantors (as defined therein)</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and U.S. Bank National Association, as trustee</w:t>
            </w:r>
          </w:p>
        </w:tc>
        <w:tc>
          <w:tcPr>
            <w:tcW w:w="0" w:type="dxa"/>
            <w:vAlign w:val="bottom"/>
          </w:tcPr>
          <w:p>
            <w:pPr>
              <w:spacing w:after="0"/>
              <w:rPr>
                <w:sz w:val="1"/>
                <w:szCs w:val="1"/>
                <w:color w:val="auto"/>
              </w:rPr>
            </w:pPr>
          </w:p>
        </w:tc>
      </w:tr>
      <w:tr>
        <w:trPr>
          <w:trHeight w:val="377"/>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4.2(b)</w:t>
            </w:r>
          </w:p>
        </w:tc>
        <w:tc>
          <w:tcPr>
            <w:tcW w:w="4900" w:type="dxa"/>
            <w:vAlign w:val="bottom"/>
          </w:tcPr>
          <w:p>
            <w:pPr>
              <w:ind w:left="20"/>
              <w:spacing w:after="0"/>
              <w:rPr>
                <w:sz w:val="20"/>
                <w:szCs w:val="20"/>
                <w:color w:val="auto"/>
              </w:rPr>
            </w:pPr>
            <w:r>
              <w:rPr>
                <w:rFonts w:ascii="Arial" w:cs="Arial" w:eastAsia="Arial" w:hAnsi="Arial"/>
                <w:sz w:val="18"/>
                <w:szCs w:val="18"/>
                <w:color w:val="auto"/>
                <w:w w:val="92"/>
              </w:rPr>
              <w:t>First Supplemental Indenture, dated as of September 28, 2011,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3"/>
              </w:rPr>
              <w:t>and among The Scotts Miracle-Gro Company, the Guarantors (as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6"/>
              </w:rPr>
              <w:t>defined therein) and U.S. Bank National Association, as trustee</w:t>
            </w:r>
          </w:p>
        </w:tc>
        <w:tc>
          <w:tcPr>
            <w:tcW w:w="0" w:type="dxa"/>
            <w:vAlign w:val="bottom"/>
          </w:tcPr>
          <w:p>
            <w:pPr>
              <w:spacing w:after="0"/>
              <w:rPr>
                <w:sz w:val="1"/>
                <w:szCs w:val="1"/>
                <w:color w:val="auto"/>
              </w:rPr>
            </w:pPr>
          </w:p>
        </w:tc>
      </w:tr>
      <w:tr>
        <w:trPr>
          <w:trHeight w:val="392"/>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4.2(c)</w:t>
            </w:r>
          </w:p>
        </w:tc>
        <w:tc>
          <w:tcPr>
            <w:tcW w:w="4900" w:type="dxa"/>
            <w:vAlign w:val="bottom"/>
          </w:tcPr>
          <w:p>
            <w:pPr>
              <w:ind w:left="20"/>
              <w:spacing w:after="0"/>
              <w:rPr>
                <w:sz w:val="20"/>
                <w:szCs w:val="20"/>
                <w:color w:val="auto"/>
              </w:rPr>
            </w:pPr>
            <w:r>
              <w:rPr>
                <w:rFonts w:ascii="Arial" w:cs="Arial" w:eastAsia="Arial" w:hAnsi="Arial"/>
                <w:sz w:val="18"/>
                <w:szCs w:val="18"/>
                <w:color w:val="auto"/>
              </w:rPr>
              <w:t>Form of 6.625% Senior Notes due 2020</w:t>
            </w:r>
          </w:p>
        </w:tc>
        <w:tc>
          <w:tcPr>
            <w:tcW w:w="0" w:type="dxa"/>
            <w:vAlign w:val="bottom"/>
          </w:tcPr>
          <w:p>
            <w:pPr>
              <w:spacing w:after="0"/>
              <w:rPr>
                <w:sz w:val="1"/>
                <w:szCs w:val="1"/>
                <w:color w:val="auto"/>
              </w:rPr>
            </w:pPr>
          </w:p>
        </w:tc>
      </w:tr>
      <w:tr>
        <w:trPr>
          <w:trHeight w:val="810"/>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4.2(d)</w:t>
            </w:r>
          </w:p>
        </w:tc>
        <w:tc>
          <w:tcPr>
            <w:tcW w:w="4900" w:type="dxa"/>
            <w:vAlign w:val="bottom"/>
          </w:tcPr>
          <w:p>
            <w:pPr>
              <w:ind w:left="20"/>
              <w:spacing w:after="0"/>
              <w:rPr>
                <w:sz w:val="20"/>
                <w:szCs w:val="20"/>
                <w:color w:val="auto"/>
              </w:rPr>
            </w:pPr>
            <w:r>
              <w:rPr>
                <w:rFonts w:ascii="Arial" w:cs="Arial" w:eastAsia="Arial" w:hAnsi="Arial"/>
                <w:sz w:val="18"/>
                <w:szCs w:val="18"/>
                <w:color w:val="auto"/>
                <w:w w:val="90"/>
              </w:rPr>
              <w:t>Registration Rights Agreement, dated as of December 16, 2010,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9"/>
              </w:rPr>
              <w:t>and among The Scotts Miracle-Gro Company, the guarantors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8"/>
              </w:rPr>
              <w:t>named  therein  and  Merrill  Lynch,  Pierce,  Fenner  &amp;  Smith</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6"/>
              </w:rPr>
              <w:t>Incorporated, as representative of the several initial purchasers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named therein</w:t>
            </w:r>
          </w:p>
        </w:tc>
        <w:tc>
          <w:tcPr>
            <w:tcW w:w="0" w:type="dxa"/>
            <w:vAlign w:val="bottom"/>
          </w:tcPr>
          <w:p>
            <w:pPr>
              <w:spacing w:after="0"/>
              <w:rPr>
                <w:sz w:val="1"/>
                <w:szCs w:val="1"/>
                <w:color w:val="auto"/>
              </w:rPr>
            </w:pP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4"/>
              </w:rPr>
              <w:t>Agreement  to  furnish  copies  of  instruments  and  agreements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defining rights of holders of long-term debt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31127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Incorporated herein by reference to the Current Report on Form 8-K of The Scotts Miracle-Gro Company, (the “Registrant”) filed March 24, 2005 (File No. 1-11593) [Exhibit 3.1]</w:t>
      </w:r>
    </w:p>
    <w:p>
      <w:pPr>
        <w:spacing w:after="0" w:line="1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March 24, 2005 (File No. 1-11593) [Exhibit 3.2]</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March 24, 2005 (File No. 1-11593) [Exhibit 3.3]</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January 14, 2010 (File No. 1-11593) [Exhibit 4.1]</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January 14, 2010 (File No. 1-11593) [Exhibit 4.2]</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2011 (File No. 1-11593) [Exhibit 4.1(c)]</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January 14, 2010 (File No. 1-11593) [Included in Exhibit 4.2]</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December 16, 2010 (File No. 1-11593) [Exhibit 4.1]</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2011 (File No. 1-11593) [Exhibit 4.2(b)]</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December 16, 2010 (File No. 1-11593) [Included in Exhibit 4.1]</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December 16, 2010 (File No. 1-11593) [Exhibit 4.3]</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39" w:lineRule="exact"/>
        <w:rPr>
          <w:sz w:val="20"/>
          <w:szCs w:val="20"/>
          <w:color w:val="auto"/>
        </w:rPr>
      </w:pPr>
    </w:p>
    <w:p>
      <w:pPr>
        <w:sectPr>
          <w:pgSz w:w="11900" w:h="16838" w:orient="portrait"/>
          <w:cols w:equalWidth="0" w:num="2">
            <w:col w:w="6380" w:space="160"/>
            <w:col w:w="4860"/>
          </w:cols>
          <w:pgMar w:left="240" w:top="121" w:right="259" w:bottom="1440" w:gutter="0" w:footer="0" w:header="0"/>
          <w:type w:val="continuous"/>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400"/>
          </w:cols>
          <w:pgMar w:left="240" w:top="121" w:right="259" w:bottom="1440" w:gutter="0" w:footer="0" w:header="0"/>
          <w:type w:val="continuous"/>
        </w:sectPr>
      </w:pPr>
    </w:p>
    <w:bookmarkStart w:id="110" w:name="page111"/>
    <w:bookmarkEnd w:id="110"/>
    <w:p>
      <w:pPr>
        <w:spacing w:after="0"/>
        <w:rPr>
          <w:rFonts w:ascii="Arial" w:cs="Arial" w:eastAsia="Arial" w:hAnsi="Arial"/>
          <w:sz w:val="12"/>
          <w:szCs w:val="12"/>
          <w:u w:val="single" w:color="auto"/>
          <w:color w:val="0000FF"/>
        </w:rPr>
      </w:pPr>
      <w:hyperlink w:anchor="page45">
        <w:r>
          <w:rPr>
            <w:rFonts w:ascii="Arial" w:cs="Arial" w:eastAsia="Arial" w:hAnsi="Arial"/>
            <w:sz w:val="12"/>
            <w:szCs w:val="12"/>
            <w:u w:val="single" w:color="auto"/>
            <w:color w:val="0000FF"/>
          </w:rPr>
          <w:t>Table of Contents</w:t>
        </w:r>
      </w:hyperlink>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10.1(a)</w:t>
            </w:r>
          </w:p>
        </w:tc>
        <w:tc>
          <w:tcPr>
            <w:tcW w:w="5340" w:type="dxa"/>
            <w:vAlign w:val="bottom"/>
          </w:tcPr>
          <w:p>
            <w:pPr>
              <w:ind w:left="480"/>
              <w:spacing w:after="0"/>
              <w:rPr>
                <w:sz w:val="20"/>
                <w:szCs w:val="20"/>
                <w:color w:val="auto"/>
              </w:rPr>
            </w:pPr>
            <w:r>
              <w:rPr>
                <w:rFonts w:ascii="Arial" w:cs="Arial" w:eastAsia="Arial" w:hAnsi="Arial"/>
                <w:sz w:val="18"/>
                <w:szCs w:val="18"/>
                <w:color w:val="auto"/>
                <w:w w:val="89"/>
              </w:rPr>
              <w:t>Amended and Restated Agreement and Plan of Merger, dated as of</w:t>
            </w:r>
          </w:p>
        </w:tc>
      </w:tr>
      <w:tr>
        <w:trPr>
          <w:trHeight w:val="216"/>
        </w:trPr>
        <w:tc>
          <w:tcPr>
            <w:tcW w:w="980" w:type="dxa"/>
            <w:vAlign w:val="bottom"/>
          </w:tcPr>
          <w:p>
            <w:pPr>
              <w:spacing w:after="0"/>
              <w:rPr>
                <w:sz w:val="18"/>
                <w:szCs w:val="18"/>
                <w:color w:val="auto"/>
              </w:rPr>
            </w:pPr>
          </w:p>
        </w:tc>
        <w:tc>
          <w:tcPr>
            <w:tcW w:w="5340" w:type="dxa"/>
            <w:vAlign w:val="bottom"/>
          </w:tcPr>
          <w:p>
            <w:pPr>
              <w:ind w:left="480"/>
              <w:spacing w:after="0"/>
              <w:rPr>
                <w:sz w:val="20"/>
                <w:szCs w:val="20"/>
                <w:color w:val="auto"/>
              </w:rPr>
            </w:pPr>
            <w:r>
              <w:rPr>
                <w:rFonts w:ascii="Arial" w:cs="Arial" w:eastAsia="Arial" w:hAnsi="Arial"/>
                <w:sz w:val="18"/>
                <w:szCs w:val="18"/>
                <w:color w:val="auto"/>
                <w:w w:val="93"/>
              </w:rPr>
              <w:t>May 19, 1995, among Stern’s Miracle-Gro Products, Inc., Stern’s</w:t>
            </w:r>
          </w:p>
        </w:tc>
      </w:tr>
      <w:tr>
        <w:trPr>
          <w:trHeight w:val="230"/>
        </w:trPr>
        <w:tc>
          <w:tcPr>
            <w:tcW w:w="980" w:type="dxa"/>
            <w:vAlign w:val="bottom"/>
          </w:tcPr>
          <w:p>
            <w:pPr>
              <w:spacing w:after="0"/>
              <w:rPr>
                <w:sz w:val="20"/>
                <w:szCs w:val="20"/>
                <w:color w:val="auto"/>
              </w:rPr>
            </w:pPr>
          </w:p>
        </w:tc>
        <w:tc>
          <w:tcPr>
            <w:tcW w:w="5340" w:type="dxa"/>
            <w:vAlign w:val="bottom"/>
          </w:tcPr>
          <w:p>
            <w:pPr>
              <w:ind w:left="480"/>
              <w:spacing w:after="0"/>
              <w:rPr>
                <w:sz w:val="20"/>
                <w:szCs w:val="20"/>
                <w:color w:val="auto"/>
              </w:rPr>
            </w:pPr>
            <w:r>
              <w:rPr>
                <w:rFonts w:ascii="Arial" w:cs="Arial" w:eastAsia="Arial" w:hAnsi="Arial"/>
                <w:sz w:val="18"/>
                <w:szCs w:val="18"/>
                <w:color w:val="auto"/>
              </w:rPr>
              <w:t>Nurseries, Inc., Miracle-Gro Lawn Products Inc., Miracle-Gro</w:t>
            </w:r>
          </w:p>
        </w:tc>
      </w:tr>
    </w:tbl>
    <w:p>
      <w:pPr>
        <w:jc w:val="both"/>
        <w:ind w:left="1500"/>
        <w:spacing w:after="0" w:line="254" w:lineRule="auto"/>
        <w:rPr>
          <w:sz w:val="20"/>
          <w:szCs w:val="20"/>
          <w:color w:val="auto"/>
        </w:rPr>
      </w:pPr>
      <w:r>
        <w:rPr>
          <w:rFonts w:ascii="Arial" w:cs="Arial" w:eastAsia="Arial" w:hAnsi="Arial"/>
          <w:sz w:val="18"/>
          <w:szCs w:val="18"/>
          <w:color w:val="auto"/>
        </w:rPr>
        <w:t>Products Limited, Hagedorn Partnership, L.P., the general partners of Hagedorn Partnership, L.P., Horace Hagedorn, Community Funds, Inc., and John Kenlon, The Scotts Company and ZYX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Current Report on Form 8-K of The Scotts Company, a Delaware corporation, filed June 2, 1995 (File No. 0-19768) [Exhibit 2(b)]</w:t>
      </w:r>
    </w:p>
    <w:p>
      <w:pPr>
        <w:spacing w:after="0" w:line="1004"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10.1(b)</w:t>
            </w:r>
          </w:p>
        </w:tc>
        <w:tc>
          <w:tcPr>
            <w:tcW w:w="5320" w:type="dxa"/>
            <w:vAlign w:val="bottom"/>
          </w:tcPr>
          <w:p>
            <w:pPr>
              <w:ind w:left="460"/>
              <w:spacing w:after="0"/>
              <w:rPr>
                <w:sz w:val="20"/>
                <w:szCs w:val="20"/>
                <w:color w:val="auto"/>
              </w:rPr>
            </w:pPr>
            <w:r>
              <w:rPr>
                <w:rFonts w:ascii="Arial" w:cs="Arial" w:eastAsia="Arial" w:hAnsi="Arial"/>
                <w:sz w:val="18"/>
                <w:szCs w:val="18"/>
                <w:color w:val="auto"/>
                <w:w w:val="93"/>
              </w:rPr>
              <w:t>First Amendment to Amended and Restated Agreement and Plan</w:t>
            </w:r>
          </w:p>
        </w:tc>
      </w:tr>
      <w:tr>
        <w:trPr>
          <w:trHeight w:val="216"/>
        </w:trPr>
        <w:tc>
          <w:tcPr>
            <w:tcW w:w="1000" w:type="dxa"/>
            <w:vAlign w:val="bottom"/>
          </w:tcPr>
          <w:p>
            <w:pPr>
              <w:spacing w:after="0"/>
              <w:rPr>
                <w:sz w:val="18"/>
                <w:szCs w:val="18"/>
                <w:color w:val="auto"/>
              </w:rPr>
            </w:pPr>
          </w:p>
        </w:tc>
        <w:tc>
          <w:tcPr>
            <w:tcW w:w="5320" w:type="dxa"/>
            <w:vAlign w:val="bottom"/>
          </w:tcPr>
          <w:p>
            <w:pPr>
              <w:ind w:left="460"/>
              <w:spacing w:after="0"/>
              <w:rPr>
                <w:sz w:val="20"/>
                <w:szCs w:val="20"/>
                <w:color w:val="auto"/>
              </w:rPr>
            </w:pPr>
            <w:r>
              <w:rPr>
                <w:rFonts w:ascii="Arial" w:cs="Arial" w:eastAsia="Arial" w:hAnsi="Arial"/>
                <w:sz w:val="18"/>
                <w:szCs w:val="18"/>
                <w:color w:val="auto"/>
                <w:w w:val="94"/>
              </w:rPr>
              <w:t>of Merger, made and entered into as of October 1, 1999, among</w:t>
            </w:r>
          </w:p>
        </w:tc>
      </w:tr>
      <w:tr>
        <w:trPr>
          <w:trHeight w:val="230"/>
        </w:trPr>
        <w:tc>
          <w:tcPr>
            <w:tcW w:w="1000" w:type="dxa"/>
            <w:vAlign w:val="bottom"/>
          </w:tcPr>
          <w:p>
            <w:pPr>
              <w:spacing w:after="0"/>
              <w:rPr>
                <w:sz w:val="20"/>
                <w:szCs w:val="20"/>
                <w:color w:val="auto"/>
              </w:rPr>
            </w:pPr>
          </w:p>
        </w:tc>
        <w:tc>
          <w:tcPr>
            <w:tcW w:w="5320" w:type="dxa"/>
            <w:vAlign w:val="bottom"/>
          </w:tcPr>
          <w:p>
            <w:pPr>
              <w:ind w:left="460"/>
              <w:spacing w:after="0"/>
              <w:rPr>
                <w:sz w:val="20"/>
                <w:szCs w:val="20"/>
                <w:color w:val="auto"/>
              </w:rPr>
            </w:pPr>
            <w:r>
              <w:rPr>
                <w:rFonts w:ascii="Arial" w:cs="Arial" w:eastAsia="Arial" w:hAnsi="Arial"/>
                <w:sz w:val="18"/>
                <w:szCs w:val="18"/>
                <w:color w:val="auto"/>
                <w:w w:val="94"/>
              </w:rPr>
              <w:t>The  Scotts  Company,  Scotts’  Miracle-Gro  Products,  Inc.  (as</w:t>
            </w:r>
          </w:p>
        </w:tc>
      </w:tr>
    </w:tbl>
    <w:p>
      <w:pPr>
        <w:jc w:val="both"/>
        <w:ind w:left="1500"/>
        <w:spacing w:after="0" w:line="252" w:lineRule="auto"/>
        <w:rPr>
          <w:sz w:val="20"/>
          <w:szCs w:val="20"/>
          <w:color w:val="auto"/>
        </w:rPr>
      </w:pPr>
      <w:r>
        <w:rPr>
          <w:rFonts w:ascii="Arial" w:cs="Arial" w:eastAsia="Arial" w:hAnsi="Arial"/>
          <w:sz w:val="18"/>
          <w:szCs w:val="18"/>
          <w:color w:val="auto"/>
        </w:rPr>
        <w:t>successor to ZYX Corporation and Stern’s Miracle-Gro Products, Inc.), Miracle-Gro Lawn Products Inc., Miracle-Gro Products Limited, Hagedorn Partnership, L.P., Community Funds, Inc., Horace Hagedorn and John Kenlon, and James Hagedorn, Katherine Hagedorn Littlefield, Paul Hagedorn, Peter Hagedorn, Robert Hagedorn and Susan Hagedorn</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Current Report on Form 8-K of The Scotts Company, an Ohio corporation, filed October 5, 1999 (File No. 1-13292) [Exhibit 2]</w:t>
      </w:r>
    </w:p>
    <w:p>
      <w:pPr>
        <w:spacing w:after="0" w:line="1437"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880" w:type="dxa"/>
            <w:vAlign w:val="bottom"/>
          </w:tcPr>
          <w:p>
            <w:pPr>
              <w:jc w:val="right"/>
              <w:ind w:right="470"/>
              <w:spacing w:after="0"/>
              <w:rPr>
                <w:sz w:val="20"/>
                <w:szCs w:val="20"/>
                <w:color w:val="auto"/>
              </w:rPr>
            </w:pPr>
            <w:r>
              <w:rPr>
                <w:rFonts w:ascii="Arial" w:cs="Arial" w:eastAsia="Arial" w:hAnsi="Arial"/>
                <w:sz w:val="18"/>
                <w:szCs w:val="18"/>
                <w:color w:val="auto"/>
                <w:w w:val="85"/>
              </w:rPr>
              <w:t>10.2</w:t>
            </w:r>
          </w:p>
        </w:tc>
        <w:tc>
          <w:tcPr>
            <w:tcW w:w="5440" w:type="dxa"/>
            <w:vAlign w:val="bottom"/>
          </w:tcPr>
          <w:p>
            <w:pPr>
              <w:ind w:left="580"/>
              <w:spacing w:after="0"/>
              <w:rPr>
                <w:sz w:val="20"/>
                <w:szCs w:val="20"/>
                <w:color w:val="auto"/>
              </w:rPr>
            </w:pPr>
            <w:r>
              <w:rPr>
                <w:rFonts w:ascii="Arial" w:cs="Arial" w:eastAsia="Arial" w:hAnsi="Arial"/>
                <w:sz w:val="18"/>
                <w:szCs w:val="18"/>
                <w:color w:val="auto"/>
                <w:w w:val="88"/>
              </w:rPr>
              <w:t>Second Amended and Restated Credit Agreement, dated as of June</w:t>
            </w:r>
          </w:p>
        </w:tc>
      </w:tr>
      <w:tr>
        <w:trPr>
          <w:trHeight w:val="216"/>
        </w:trPr>
        <w:tc>
          <w:tcPr>
            <w:tcW w:w="880" w:type="dxa"/>
            <w:vAlign w:val="bottom"/>
          </w:tcPr>
          <w:p>
            <w:pPr>
              <w:spacing w:after="0"/>
              <w:rPr>
                <w:sz w:val="18"/>
                <w:szCs w:val="18"/>
                <w:color w:val="auto"/>
              </w:rPr>
            </w:pPr>
          </w:p>
        </w:tc>
        <w:tc>
          <w:tcPr>
            <w:tcW w:w="5440" w:type="dxa"/>
            <w:vAlign w:val="bottom"/>
          </w:tcPr>
          <w:p>
            <w:pPr>
              <w:ind w:left="580"/>
              <w:spacing w:after="0"/>
              <w:rPr>
                <w:sz w:val="20"/>
                <w:szCs w:val="20"/>
                <w:color w:val="auto"/>
              </w:rPr>
            </w:pPr>
            <w:r>
              <w:rPr>
                <w:rFonts w:ascii="Arial" w:cs="Arial" w:eastAsia="Arial" w:hAnsi="Arial"/>
                <w:sz w:val="18"/>
                <w:szCs w:val="18"/>
                <w:color w:val="auto"/>
                <w:w w:val="93"/>
              </w:rPr>
              <w:t>30, 2011, by and among The Scotts Miracle-Gro Company as the</w:t>
            </w:r>
          </w:p>
        </w:tc>
      </w:tr>
      <w:tr>
        <w:trPr>
          <w:trHeight w:val="216"/>
        </w:trPr>
        <w:tc>
          <w:tcPr>
            <w:tcW w:w="880" w:type="dxa"/>
            <w:vAlign w:val="bottom"/>
          </w:tcPr>
          <w:p>
            <w:pPr>
              <w:spacing w:after="0"/>
              <w:rPr>
                <w:sz w:val="18"/>
                <w:szCs w:val="18"/>
                <w:color w:val="auto"/>
              </w:rPr>
            </w:pPr>
          </w:p>
        </w:tc>
        <w:tc>
          <w:tcPr>
            <w:tcW w:w="5440" w:type="dxa"/>
            <w:vAlign w:val="bottom"/>
          </w:tcPr>
          <w:p>
            <w:pPr>
              <w:ind w:left="580"/>
              <w:spacing w:after="0"/>
              <w:rPr>
                <w:sz w:val="20"/>
                <w:szCs w:val="20"/>
                <w:color w:val="auto"/>
              </w:rPr>
            </w:pPr>
            <w:r>
              <w:rPr>
                <w:rFonts w:ascii="Arial" w:cs="Arial" w:eastAsia="Arial" w:hAnsi="Arial"/>
                <w:sz w:val="18"/>
                <w:szCs w:val="18"/>
                <w:color w:val="auto"/>
                <w:w w:val="96"/>
              </w:rPr>
              <w:t>“Borrower” the Subsidiary Borrowers (as defined in the Second</w:t>
            </w:r>
          </w:p>
        </w:tc>
      </w:tr>
      <w:tr>
        <w:trPr>
          <w:trHeight w:val="230"/>
        </w:trPr>
        <w:tc>
          <w:tcPr>
            <w:tcW w:w="880" w:type="dxa"/>
            <w:vAlign w:val="bottom"/>
          </w:tcPr>
          <w:p>
            <w:pPr>
              <w:spacing w:after="0"/>
              <w:rPr>
                <w:sz w:val="20"/>
                <w:szCs w:val="20"/>
                <w:color w:val="auto"/>
              </w:rPr>
            </w:pPr>
          </w:p>
        </w:tc>
        <w:tc>
          <w:tcPr>
            <w:tcW w:w="5440" w:type="dxa"/>
            <w:vAlign w:val="bottom"/>
          </w:tcPr>
          <w:p>
            <w:pPr>
              <w:ind w:left="580"/>
              <w:spacing w:after="0"/>
              <w:rPr>
                <w:sz w:val="20"/>
                <w:szCs w:val="20"/>
                <w:color w:val="auto"/>
              </w:rPr>
            </w:pPr>
            <w:r>
              <w:rPr>
                <w:rFonts w:ascii="Arial" w:cs="Arial" w:eastAsia="Arial" w:hAnsi="Arial"/>
                <w:sz w:val="18"/>
                <w:szCs w:val="18"/>
                <w:color w:val="auto"/>
                <w:w w:val="91"/>
              </w:rPr>
              <w:t>Amended and Restated Credit Agreement); the several banks and</w:t>
            </w:r>
          </w:p>
        </w:tc>
      </w:tr>
    </w:tbl>
    <w:p>
      <w:pPr>
        <w:jc w:val="both"/>
        <w:ind w:left="1500"/>
        <w:spacing w:after="0" w:line="288" w:lineRule="auto"/>
        <w:rPr>
          <w:sz w:val="20"/>
          <w:szCs w:val="20"/>
          <w:color w:val="auto"/>
        </w:rPr>
      </w:pPr>
      <w:r>
        <w:rPr>
          <w:rFonts w:ascii="Arial" w:cs="Arial" w:eastAsia="Arial" w:hAnsi="Arial"/>
          <w:sz w:val="16"/>
          <w:szCs w:val="16"/>
          <w:color w:val="auto"/>
        </w:rPr>
        <w:t>other financial institutions from time to time parties to the Second Amended and Restated Credit Agreement (the “Lenders”); Bank of America, N.A., as Syndication Agent; Cobank, ACB, BNP Paribas, Credit Agricole Corporate and Investment Bank, Rabobank Nederland, Citizens Bank of Pennsylvania, The Bank of Nova Scotia and Wells Fargo Bank, N.A., as Documentation Agents; and JPMorgan Chase Bank, N.A., as Administrative Agent</w:t>
      </w:r>
    </w:p>
    <w:p>
      <w:pPr>
        <w:spacing w:after="0" w:line="20" w:lineRule="exact"/>
        <w:rPr>
          <w:sz w:val="20"/>
          <w:szCs w:val="20"/>
          <w:color w:val="auto"/>
        </w:rPr>
      </w:pPr>
      <w:r>
        <w:rPr>
          <w:sz w:val="20"/>
          <w:szCs w:val="20"/>
          <w:color w:val="auto"/>
        </w:rPr>
        <w:br w:type="column"/>
      </w:r>
    </w:p>
    <w:p>
      <w:pPr>
        <w:ind w:right="20"/>
        <w:spacing w:after="0" w:line="342" w:lineRule="auto"/>
        <w:rPr>
          <w:sz w:val="20"/>
          <w:szCs w:val="20"/>
          <w:color w:val="auto"/>
        </w:rPr>
      </w:pPr>
      <w:r>
        <w:rPr>
          <w:rFonts w:ascii="Arial" w:cs="Arial" w:eastAsia="Arial" w:hAnsi="Arial"/>
          <w:sz w:val="16"/>
          <w:szCs w:val="16"/>
          <w:color w:val="auto"/>
        </w:rPr>
        <w:t>Incorporated herein by reference to the Registrant’s Current Report on Form 8-K filed July 1, 2011 (File No. 1-11593) [Exhibit 4.1]</w:t>
      </w:r>
    </w:p>
    <w:p>
      <w:pPr>
        <w:spacing w:after="0" w:line="2027"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880" w:type="dxa"/>
            <w:vAlign w:val="bottom"/>
          </w:tcPr>
          <w:p>
            <w:pPr>
              <w:jc w:val="right"/>
              <w:ind w:right="470"/>
              <w:spacing w:after="0"/>
              <w:rPr>
                <w:sz w:val="20"/>
                <w:szCs w:val="20"/>
                <w:color w:val="auto"/>
              </w:rPr>
            </w:pPr>
            <w:r>
              <w:rPr>
                <w:rFonts w:ascii="Arial" w:cs="Arial" w:eastAsia="Arial" w:hAnsi="Arial"/>
                <w:sz w:val="18"/>
                <w:szCs w:val="18"/>
                <w:color w:val="auto"/>
                <w:w w:val="85"/>
              </w:rPr>
              <w:t>10.3</w:t>
            </w:r>
          </w:p>
        </w:tc>
        <w:tc>
          <w:tcPr>
            <w:tcW w:w="2020" w:type="dxa"/>
            <w:vAlign w:val="bottom"/>
          </w:tcPr>
          <w:p>
            <w:pPr>
              <w:ind w:left="580"/>
              <w:spacing w:after="0"/>
              <w:rPr>
                <w:sz w:val="20"/>
                <w:szCs w:val="20"/>
                <w:color w:val="auto"/>
              </w:rPr>
            </w:pPr>
            <w:r>
              <w:rPr>
                <w:rFonts w:ascii="Arial" w:cs="Arial" w:eastAsia="Arial" w:hAnsi="Arial"/>
                <w:sz w:val="18"/>
                <w:szCs w:val="18"/>
                <w:color w:val="auto"/>
                <w:w w:val="95"/>
              </w:rPr>
              <w:t>Second  Amended</w:t>
            </w:r>
          </w:p>
        </w:tc>
        <w:tc>
          <w:tcPr>
            <w:tcW w:w="480" w:type="dxa"/>
            <w:vAlign w:val="bottom"/>
          </w:tcPr>
          <w:p>
            <w:pPr>
              <w:ind w:left="140"/>
              <w:spacing w:after="0"/>
              <w:rPr>
                <w:sz w:val="20"/>
                <w:szCs w:val="20"/>
                <w:color w:val="auto"/>
              </w:rPr>
            </w:pPr>
            <w:r>
              <w:rPr>
                <w:rFonts w:ascii="Arial" w:cs="Arial" w:eastAsia="Arial" w:hAnsi="Arial"/>
                <w:sz w:val="18"/>
                <w:szCs w:val="18"/>
                <w:color w:val="auto"/>
              </w:rPr>
              <w:t>and</w:t>
            </w:r>
          </w:p>
        </w:tc>
        <w:tc>
          <w:tcPr>
            <w:tcW w:w="760" w:type="dxa"/>
            <w:vAlign w:val="bottom"/>
          </w:tcPr>
          <w:p>
            <w:pPr>
              <w:jc w:val="right"/>
              <w:spacing w:after="0"/>
              <w:rPr>
                <w:sz w:val="20"/>
                <w:szCs w:val="20"/>
                <w:color w:val="auto"/>
              </w:rPr>
            </w:pPr>
            <w:r>
              <w:rPr>
                <w:rFonts w:ascii="Arial" w:cs="Arial" w:eastAsia="Arial" w:hAnsi="Arial"/>
                <w:sz w:val="18"/>
                <w:szCs w:val="18"/>
                <w:color w:val="auto"/>
                <w:w w:val="94"/>
              </w:rPr>
              <w:t>Restated</w:t>
            </w: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Guarantee</w:t>
            </w:r>
          </w:p>
        </w:tc>
        <w:tc>
          <w:tcPr>
            <w:tcW w:w="32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860" w:type="dxa"/>
            <w:vAlign w:val="bottom"/>
          </w:tcPr>
          <w:p>
            <w:pPr>
              <w:jc w:val="right"/>
              <w:spacing w:after="0"/>
              <w:rPr>
                <w:sz w:val="20"/>
                <w:szCs w:val="20"/>
                <w:color w:val="auto"/>
              </w:rPr>
            </w:pPr>
            <w:r>
              <w:rPr>
                <w:rFonts w:ascii="Arial" w:cs="Arial" w:eastAsia="Arial" w:hAnsi="Arial"/>
                <w:sz w:val="18"/>
                <w:szCs w:val="18"/>
                <w:color w:val="auto"/>
              </w:rPr>
              <w:t>Collateral</w:t>
            </w:r>
          </w:p>
        </w:tc>
      </w:tr>
      <w:tr>
        <w:trPr>
          <w:trHeight w:val="230"/>
        </w:trPr>
        <w:tc>
          <w:tcPr>
            <w:tcW w:w="880" w:type="dxa"/>
            <w:vAlign w:val="bottom"/>
          </w:tcPr>
          <w:p>
            <w:pPr>
              <w:spacing w:after="0"/>
              <w:rPr>
                <w:sz w:val="20"/>
                <w:szCs w:val="20"/>
                <w:color w:val="auto"/>
              </w:rPr>
            </w:pPr>
          </w:p>
        </w:tc>
        <w:tc>
          <w:tcPr>
            <w:tcW w:w="2020" w:type="dxa"/>
            <w:vAlign w:val="bottom"/>
          </w:tcPr>
          <w:p>
            <w:pPr>
              <w:ind w:left="580"/>
              <w:spacing w:after="0"/>
              <w:rPr>
                <w:sz w:val="20"/>
                <w:szCs w:val="20"/>
                <w:color w:val="auto"/>
              </w:rPr>
            </w:pPr>
            <w:r>
              <w:rPr>
                <w:rFonts w:ascii="Arial" w:cs="Arial" w:eastAsia="Arial" w:hAnsi="Arial"/>
                <w:sz w:val="18"/>
                <w:szCs w:val="18"/>
                <w:color w:val="auto"/>
                <w:w w:val="99"/>
              </w:rPr>
              <w:t>Agreement, dated</w:t>
            </w:r>
          </w:p>
        </w:tc>
        <w:tc>
          <w:tcPr>
            <w:tcW w:w="480" w:type="dxa"/>
            <w:vAlign w:val="bottom"/>
          </w:tcPr>
          <w:p>
            <w:pPr>
              <w:ind w:left="20"/>
              <w:spacing w:after="0"/>
              <w:rPr>
                <w:sz w:val="20"/>
                <w:szCs w:val="20"/>
                <w:color w:val="auto"/>
              </w:rPr>
            </w:pPr>
            <w:r>
              <w:rPr>
                <w:rFonts w:ascii="Arial" w:cs="Arial" w:eastAsia="Arial" w:hAnsi="Arial"/>
                <w:sz w:val="18"/>
                <w:szCs w:val="18"/>
                <w:color w:val="auto"/>
              </w:rPr>
              <w:t>as of</w:t>
            </w:r>
          </w:p>
        </w:tc>
        <w:tc>
          <w:tcPr>
            <w:tcW w:w="760" w:type="dxa"/>
            <w:vAlign w:val="bottom"/>
          </w:tcPr>
          <w:p>
            <w:pPr>
              <w:jc w:val="right"/>
              <w:spacing w:after="0"/>
              <w:rPr>
                <w:sz w:val="20"/>
                <w:szCs w:val="20"/>
                <w:color w:val="auto"/>
              </w:rPr>
            </w:pPr>
            <w:r>
              <w:rPr>
                <w:rFonts w:ascii="Arial" w:cs="Arial" w:eastAsia="Arial" w:hAnsi="Arial"/>
                <w:sz w:val="18"/>
                <w:szCs w:val="18"/>
                <w:color w:val="auto"/>
              </w:rPr>
              <w:t>June 30,</w:t>
            </w:r>
          </w:p>
        </w:tc>
        <w:tc>
          <w:tcPr>
            <w:tcW w:w="1000" w:type="dxa"/>
            <w:vAlign w:val="bottom"/>
          </w:tcPr>
          <w:p>
            <w:pPr>
              <w:jc w:val="center"/>
              <w:spacing w:after="0"/>
              <w:rPr>
                <w:sz w:val="20"/>
                <w:szCs w:val="20"/>
                <w:color w:val="auto"/>
              </w:rPr>
            </w:pPr>
            <w:r>
              <w:rPr>
                <w:rFonts w:ascii="Arial" w:cs="Arial" w:eastAsia="Arial" w:hAnsi="Arial"/>
                <w:sz w:val="18"/>
                <w:szCs w:val="18"/>
                <w:color w:val="auto"/>
                <w:w w:val="94"/>
              </w:rPr>
              <w:t>2011, made</w:t>
            </w:r>
          </w:p>
        </w:tc>
        <w:tc>
          <w:tcPr>
            <w:tcW w:w="320" w:type="dxa"/>
            <w:vAlign w:val="bottom"/>
          </w:tcPr>
          <w:p>
            <w:pPr>
              <w:jc w:val="center"/>
              <w:spacing w:after="0"/>
              <w:rPr>
                <w:sz w:val="20"/>
                <w:szCs w:val="20"/>
                <w:color w:val="auto"/>
              </w:rPr>
            </w:pPr>
            <w:r>
              <w:rPr>
                <w:rFonts w:ascii="Arial" w:cs="Arial" w:eastAsia="Arial" w:hAnsi="Arial"/>
                <w:sz w:val="18"/>
                <w:szCs w:val="18"/>
                <w:color w:val="auto"/>
                <w:w w:val="94"/>
              </w:rPr>
              <w:t>by</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The Scotts</w:t>
            </w:r>
          </w:p>
        </w:tc>
      </w:tr>
    </w:tbl>
    <w:p>
      <w:pPr>
        <w:jc w:val="both"/>
        <w:ind w:left="1500"/>
        <w:spacing w:after="0" w:line="273" w:lineRule="auto"/>
        <w:rPr>
          <w:sz w:val="20"/>
          <w:szCs w:val="20"/>
          <w:color w:val="auto"/>
        </w:rPr>
      </w:pPr>
      <w:r>
        <w:rPr>
          <w:rFonts w:ascii="Arial" w:cs="Arial" w:eastAsia="Arial" w:hAnsi="Arial"/>
          <w:sz w:val="17"/>
          <w:szCs w:val="17"/>
          <w:color w:val="auto"/>
        </w:rPr>
        <w:t>Miracle-Gro Company, each domestic Subsidiary Borrower under the Second Amended and Restated Credit Agreement, and certain of its and their domestic subsidiaries, in favor of JPMorgan Chase Bank, N.A., as Administrative Agent</w:t>
      </w:r>
    </w:p>
    <w:p>
      <w:pPr>
        <w:spacing w:after="0" w:line="20" w:lineRule="exact"/>
        <w:rPr>
          <w:sz w:val="20"/>
          <w:szCs w:val="20"/>
          <w:color w:val="auto"/>
        </w:rPr>
      </w:pPr>
      <w:r>
        <w:rPr>
          <w:sz w:val="20"/>
          <w:szCs w:val="20"/>
          <w:color w:val="auto"/>
        </w:rPr>
        <w:br w:type="column"/>
      </w:r>
    </w:p>
    <w:p>
      <w:pPr>
        <w:ind w:right="20"/>
        <w:spacing w:after="0" w:line="342" w:lineRule="auto"/>
        <w:rPr>
          <w:sz w:val="20"/>
          <w:szCs w:val="20"/>
          <w:color w:val="auto"/>
        </w:rPr>
      </w:pPr>
      <w:r>
        <w:rPr>
          <w:rFonts w:ascii="Arial" w:cs="Arial" w:eastAsia="Arial" w:hAnsi="Arial"/>
          <w:sz w:val="16"/>
          <w:szCs w:val="16"/>
          <w:color w:val="auto"/>
        </w:rPr>
        <w:t>Incorporated herein by reference to the Registrant’s Current Report on Form 8-K filed July 1, 2011 (File No. 1-11593) [Exhibit 4.2]</w:t>
      </w:r>
    </w:p>
    <w:p>
      <w:pPr>
        <w:spacing w:after="0" w:line="947"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10.4(a)†</w:t>
            </w:r>
          </w:p>
        </w:tc>
        <w:tc>
          <w:tcPr>
            <w:tcW w:w="5240" w:type="dxa"/>
            <w:vAlign w:val="bottom"/>
          </w:tcPr>
          <w:p>
            <w:pPr>
              <w:ind w:left="380"/>
              <w:spacing w:after="0"/>
              <w:rPr>
                <w:sz w:val="20"/>
                <w:szCs w:val="20"/>
                <w:color w:val="auto"/>
              </w:rPr>
            </w:pPr>
            <w:r>
              <w:rPr>
                <w:rFonts w:ascii="Arial" w:cs="Arial" w:eastAsia="Arial" w:hAnsi="Arial"/>
                <w:sz w:val="18"/>
                <w:szCs w:val="18"/>
                <w:color w:val="auto"/>
                <w:w w:val="95"/>
              </w:rPr>
              <w:t>The Scotts Miracle-Gro Company Amended and Restated 1996</w:t>
            </w:r>
          </w:p>
        </w:tc>
      </w:tr>
      <w:tr>
        <w:trPr>
          <w:trHeight w:val="230"/>
        </w:trPr>
        <w:tc>
          <w:tcPr>
            <w:tcW w:w="1120" w:type="dxa"/>
            <w:vAlign w:val="bottom"/>
          </w:tcPr>
          <w:p>
            <w:pPr>
              <w:spacing w:after="0"/>
              <w:rPr>
                <w:sz w:val="20"/>
                <w:szCs w:val="20"/>
                <w:color w:val="auto"/>
              </w:rPr>
            </w:pPr>
          </w:p>
        </w:tc>
        <w:tc>
          <w:tcPr>
            <w:tcW w:w="5240" w:type="dxa"/>
            <w:vAlign w:val="bottom"/>
          </w:tcPr>
          <w:p>
            <w:pPr>
              <w:ind w:left="380"/>
              <w:spacing w:after="0"/>
              <w:rPr>
                <w:sz w:val="20"/>
                <w:szCs w:val="20"/>
                <w:color w:val="auto"/>
              </w:rPr>
            </w:pPr>
            <w:r>
              <w:rPr>
                <w:rFonts w:ascii="Arial" w:cs="Arial" w:eastAsia="Arial" w:hAnsi="Arial"/>
                <w:sz w:val="18"/>
                <w:szCs w:val="18"/>
                <w:color w:val="auto"/>
              </w:rPr>
              <w:t>Stock Option Plan (effective as of October 30, 2007)</w:t>
            </w:r>
          </w:p>
        </w:tc>
      </w:tr>
      <w:tr>
        <w:trPr>
          <w:trHeight w:val="593"/>
        </w:trPr>
        <w:tc>
          <w:tcPr>
            <w:tcW w:w="1120" w:type="dxa"/>
            <w:vAlign w:val="bottom"/>
          </w:tcPr>
          <w:p>
            <w:pPr>
              <w:spacing w:after="0"/>
              <w:rPr>
                <w:sz w:val="20"/>
                <w:szCs w:val="20"/>
                <w:color w:val="auto"/>
              </w:rPr>
            </w:pPr>
            <w:r>
              <w:rPr>
                <w:rFonts w:ascii="Arial" w:cs="Arial" w:eastAsia="Arial" w:hAnsi="Arial"/>
                <w:sz w:val="18"/>
                <w:szCs w:val="18"/>
                <w:color w:val="auto"/>
              </w:rPr>
              <w:t>10.4(b)†</w:t>
            </w:r>
          </w:p>
        </w:tc>
        <w:tc>
          <w:tcPr>
            <w:tcW w:w="5240" w:type="dxa"/>
            <w:vAlign w:val="bottom"/>
          </w:tcPr>
          <w:p>
            <w:pPr>
              <w:ind w:left="380"/>
              <w:spacing w:after="0"/>
              <w:rPr>
                <w:sz w:val="20"/>
                <w:szCs w:val="20"/>
                <w:color w:val="auto"/>
              </w:rPr>
            </w:pPr>
            <w:r>
              <w:rPr>
                <w:rFonts w:ascii="Arial" w:cs="Arial" w:eastAsia="Arial" w:hAnsi="Arial"/>
                <w:sz w:val="18"/>
                <w:szCs w:val="18"/>
                <w:color w:val="auto"/>
              </w:rPr>
              <w:t>Specimen form of Stock Option Agreement for Non-Qualified</w:t>
            </w:r>
          </w:p>
        </w:tc>
      </w:tr>
      <w:tr>
        <w:trPr>
          <w:trHeight w:val="216"/>
        </w:trPr>
        <w:tc>
          <w:tcPr>
            <w:tcW w:w="1120" w:type="dxa"/>
            <w:vAlign w:val="bottom"/>
          </w:tcPr>
          <w:p>
            <w:pPr>
              <w:spacing w:after="0"/>
              <w:rPr>
                <w:sz w:val="18"/>
                <w:szCs w:val="18"/>
                <w:color w:val="auto"/>
              </w:rPr>
            </w:pPr>
          </w:p>
        </w:tc>
        <w:tc>
          <w:tcPr>
            <w:tcW w:w="5240" w:type="dxa"/>
            <w:vAlign w:val="bottom"/>
          </w:tcPr>
          <w:p>
            <w:pPr>
              <w:ind w:left="380"/>
              <w:spacing w:after="0"/>
              <w:rPr>
                <w:sz w:val="20"/>
                <w:szCs w:val="20"/>
                <w:color w:val="auto"/>
              </w:rPr>
            </w:pPr>
            <w:r>
              <w:rPr>
                <w:rFonts w:ascii="Arial" w:cs="Arial" w:eastAsia="Arial" w:hAnsi="Arial"/>
                <w:sz w:val="18"/>
                <w:szCs w:val="18"/>
                <w:color w:val="auto"/>
                <w:w w:val="94"/>
              </w:rPr>
              <w:t>Stock Options granted to employees under The Scotts Company</w:t>
            </w:r>
          </w:p>
        </w:tc>
      </w:tr>
      <w:tr>
        <w:trPr>
          <w:trHeight w:val="216"/>
        </w:trPr>
        <w:tc>
          <w:tcPr>
            <w:tcW w:w="1120" w:type="dxa"/>
            <w:vAlign w:val="bottom"/>
          </w:tcPr>
          <w:p>
            <w:pPr>
              <w:spacing w:after="0"/>
              <w:rPr>
                <w:sz w:val="18"/>
                <w:szCs w:val="18"/>
                <w:color w:val="auto"/>
              </w:rPr>
            </w:pPr>
          </w:p>
        </w:tc>
        <w:tc>
          <w:tcPr>
            <w:tcW w:w="5240" w:type="dxa"/>
            <w:vAlign w:val="bottom"/>
          </w:tcPr>
          <w:p>
            <w:pPr>
              <w:ind w:left="380"/>
              <w:spacing w:after="0"/>
              <w:rPr>
                <w:sz w:val="20"/>
                <w:szCs w:val="20"/>
                <w:color w:val="auto"/>
              </w:rPr>
            </w:pPr>
            <w:r>
              <w:rPr>
                <w:rFonts w:ascii="Arial" w:cs="Arial" w:eastAsia="Arial" w:hAnsi="Arial"/>
                <w:sz w:val="18"/>
                <w:szCs w:val="18"/>
                <w:color w:val="auto"/>
                <w:w w:val="95"/>
              </w:rPr>
              <w:t>1996 Stock Option Plan (now known as The Scotts Miracle-Gro</w:t>
            </w:r>
          </w:p>
        </w:tc>
      </w:tr>
      <w:tr>
        <w:trPr>
          <w:trHeight w:val="230"/>
        </w:trPr>
        <w:tc>
          <w:tcPr>
            <w:tcW w:w="1120" w:type="dxa"/>
            <w:vAlign w:val="bottom"/>
          </w:tcPr>
          <w:p>
            <w:pPr>
              <w:spacing w:after="0"/>
              <w:rPr>
                <w:sz w:val="20"/>
                <w:szCs w:val="20"/>
                <w:color w:val="auto"/>
              </w:rPr>
            </w:pPr>
          </w:p>
        </w:tc>
        <w:tc>
          <w:tcPr>
            <w:tcW w:w="5240" w:type="dxa"/>
            <w:vAlign w:val="bottom"/>
          </w:tcPr>
          <w:p>
            <w:pPr>
              <w:ind w:left="380"/>
              <w:spacing w:after="0"/>
              <w:rPr>
                <w:sz w:val="20"/>
                <w:szCs w:val="20"/>
                <w:color w:val="auto"/>
              </w:rPr>
            </w:pPr>
            <w:r>
              <w:rPr>
                <w:rFonts w:ascii="Arial" w:cs="Arial" w:eastAsia="Arial" w:hAnsi="Arial"/>
                <w:sz w:val="18"/>
                <w:szCs w:val="18"/>
                <w:color w:val="auto"/>
              </w:rPr>
              <w:t>Company Amended and Restated 1996 Stock Option Plan)</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10.5(a)†</w:t>
            </w:r>
          </w:p>
        </w:tc>
        <w:tc>
          <w:tcPr>
            <w:tcW w:w="5240" w:type="dxa"/>
            <w:vAlign w:val="bottom"/>
          </w:tcPr>
          <w:p>
            <w:pPr>
              <w:ind w:left="380"/>
              <w:spacing w:after="0"/>
              <w:rPr>
                <w:sz w:val="20"/>
                <w:szCs w:val="20"/>
                <w:color w:val="auto"/>
              </w:rPr>
            </w:pPr>
            <w:r>
              <w:rPr>
                <w:rFonts w:ascii="Arial" w:cs="Arial" w:eastAsia="Arial" w:hAnsi="Arial"/>
                <w:sz w:val="18"/>
                <w:szCs w:val="18"/>
                <w:color w:val="auto"/>
                <w:w w:val="95"/>
              </w:rPr>
              <w:t>The Scotts Miracle-Gro Company Amended and Restated 2003</w:t>
            </w:r>
          </w:p>
        </w:tc>
      </w:tr>
      <w:tr>
        <w:trPr>
          <w:trHeight w:val="216"/>
        </w:trPr>
        <w:tc>
          <w:tcPr>
            <w:tcW w:w="1120" w:type="dxa"/>
            <w:vAlign w:val="bottom"/>
          </w:tcPr>
          <w:p>
            <w:pPr>
              <w:spacing w:after="0"/>
              <w:rPr>
                <w:sz w:val="18"/>
                <w:szCs w:val="18"/>
                <w:color w:val="auto"/>
              </w:rPr>
            </w:pPr>
          </w:p>
        </w:tc>
        <w:tc>
          <w:tcPr>
            <w:tcW w:w="5240" w:type="dxa"/>
            <w:vAlign w:val="bottom"/>
          </w:tcPr>
          <w:p>
            <w:pPr>
              <w:ind w:left="380"/>
              <w:spacing w:after="0"/>
              <w:rPr>
                <w:sz w:val="20"/>
                <w:szCs w:val="20"/>
                <w:color w:val="auto"/>
              </w:rPr>
            </w:pPr>
            <w:r>
              <w:rPr>
                <w:rFonts w:ascii="Arial" w:cs="Arial" w:eastAsia="Arial" w:hAnsi="Arial"/>
                <w:sz w:val="18"/>
                <w:szCs w:val="18"/>
                <w:color w:val="auto"/>
              </w:rPr>
              <w:t>Stock  Option  and  Incentive  Equity  Plan  (effective  as  of</w:t>
            </w:r>
          </w:p>
        </w:tc>
      </w:tr>
      <w:tr>
        <w:trPr>
          <w:trHeight w:val="230"/>
        </w:trPr>
        <w:tc>
          <w:tcPr>
            <w:tcW w:w="1120" w:type="dxa"/>
            <w:vAlign w:val="bottom"/>
          </w:tcPr>
          <w:p>
            <w:pPr>
              <w:spacing w:after="0"/>
              <w:rPr>
                <w:sz w:val="20"/>
                <w:szCs w:val="20"/>
                <w:color w:val="auto"/>
              </w:rPr>
            </w:pPr>
          </w:p>
        </w:tc>
        <w:tc>
          <w:tcPr>
            <w:tcW w:w="5240" w:type="dxa"/>
            <w:vAlign w:val="bottom"/>
          </w:tcPr>
          <w:p>
            <w:pPr>
              <w:ind w:left="380"/>
              <w:spacing w:after="0"/>
              <w:rPr>
                <w:sz w:val="20"/>
                <w:szCs w:val="20"/>
                <w:color w:val="auto"/>
              </w:rPr>
            </w:pPr>
            <w:r>
              <w:rPr>
                <w:rFonts w:ascii="Arial" w:cs="Arial" w:eastAsia="Arial" w:hAnsi="Arial"/>
                <w:sz w:val="18"/>
                <w:szCs w:val="18"/>
                <w:color w:val="auto"/>
              </w:rPr>
              <w:t>October 30, 2007)</w:t>
            </w:r>
          </w:p>
        </w:tc>
      </w:tr>
      <w:tr>
        <w:trPr>
          <w:trHeight w:val="377"/>
        </w:trPr>
        <w:tc>
          <w:tcPr>
            <w:tcW w:w="1120" w:type="dxa"/>
            <w:vAlign w:val="bottom"/>
          </w:tcPr>
          <w:p>
            <w:pPr>
              <w:ind w:left="40"/>
              <w:spacing w:after="0"/>
              <w:rPr>
                <w:sz w:val="20"/>
                <w:szCs w:val="20"/>
                <w:color w:val="auto"/>
              </w:rPr>
            </w:pPr>
            <w:r>
              <w:rPr>
                <w:rFonts w:ascii="Arial" w:cs="Arial" w:eastAsia="Arial" w:hAnsi="Arial"/>
                <w:sz w:val="18"/>
                <w:szCs w:val="18"/>
                <w:color w:val="auto"/>
              </w:rPr>
              <w:t>10.5(b)(i)</w:t>
            </w:r>
          </w:p>
        </w:tc>
        <w:tc>
          <w:tcPr>
            <w:tcW w:w="5240" w:type="dxa"/>
            <w:vAlign w:val="bottom"/>
          </w:tcPr>
          <w:p>
            <w:pPr>
              <w:ind w:left="380"/>
              <w:spacing w:after="0"/>
              <w:rPr>
                <w:sz w:val="20"/>
                <w:szCs w:val="20"/>
                <w:color w:val="auto"/>
              </w:rPr>
            </w:pPr>
            <w:r>
              <w:rPr>
                <w:rFonts w:ascii="Arial" w:cs="Arial" w:eastAsia="Arial" w:hAnsi="Arial"/>
                <w:sz w:val="18"/>
                <w:szCs w:val="18"/>
                <w:color w:val="auto"/>
                <w:w w:val="97"/>
              </w:rPr>
              <w:t>Specimen  form  of  Award  Agreement  for  Directors  used  to</w:t>
            </w:r>
          </w:p>
        </w:tc>
      </w:tr>
      <w:tr>
        <w:trPr>
          <w:trHeight w:val="216"/>
        </w:trPr>
        <w:tc>
          <w:tcPr>
            <w:tcW w:w="1120" w:type="dxa"/>
            <w:vAlign w:val="bottom"/>
          </w:tcPr>
          <w:p>
            <w:pPr>
              <w:spacing w:after="0"/>
              <w:rPr>
                <w:sz w:val="18"/>
                <w:szCs w:val="18"/>
                <w:color w:val="auto"/>
              </w:rPr>
            </w:pPr>
          </w:p>
        </w:tc>
        <w:tc>
          <w:tcPr>
            <w:tcW w:w="5240" w:type="dxa"/>
            <w:vAlign w:val="bottom"/>
          </w:tcPr>
          <w:p>
            <w:pPr>
              <w:ind w:left="380"/>
              <w:spacing w:after="0"/>
              <w:rPr>
                <w:sz w:val="20"/>
                <w:szCs w:val="20"/>
                <w:color w:val="auto"/>
              </w:rPr>
            </w:pPr>
            <w:r>
              <w:rPr>
                <w:rFonts w:ascii="Arial" w:cs="Arial" w:eastAsia="Arial" w:hAnsi="Arial"/>
                <w:sz w:val="18"/>
                <w:szCs w:val="18"/>
                <w:color w:val="auto"/>
                <w:w w:val="95"/>
              </w:rPr>
              <w:t>evidence grants of Nonqualified Stock Options made under The</w:t>
            </w:r>
          </w:p>
        </w:tc>
      </w:tr>
      <w:tr>
        <w:trPr>
          <w:trHeight w:val="216"/>
        </w:trPr>
        <w:tc>
          <w:tcPr>
            <w:tcW w:w="1120" w:type="dxa"/>
            <w:vAlign w:val="bottom"/>
          </w:tcPr>
          <w:p>
            <w:pPr>
              <w:spacing w:after="0"/>
              <w:rPr>
                <w:sz w:val="18"/>
                <w:szCs w:val="18"/>
                <w:color w:val="auto"/>
              </w:rPr>
            </w:pPr>
          </w:p>
        </w:tc>
        <w:tc>
          <w:tcPr>
            <w:tcW w:w="5240" w:type="dxa"/>
            <w:vAlign w:val="bottom"/>
          </w:tcPr>
          <w:p>
            <w:pPr>
              <w:ind w:left="380"/>
              <w:spacing w:after="0"/>
              <w:rPr>
                <w:sz w:val="20"/>
                <w:szCs w:val="20"/>
                <w:color w:val="auto"/>
              </w:rPr>
            </w:pPr>
            <w:r>
              <w:rPr>
                <w:rFonts w:ascii="Arial" w:cs="Arial" w:eastAsia="Arial" w:hAnsi="Arial"/>
                <w:sz w:val="18"/>
                <w:szCs w:val="18"/>
                <w:color w:val="auto"/>
                <w:w w:val="98"/>
              </w:rPr>
              <w:t>Scotts Company 2003 Stock Option and Incentive Equity Plan</w:t>
            </w:r>
          </w:p>
        </w:tc>
      </w:tr>
      <w:tr>
        <w:trPr>
          <w:trHeight w:val="216"/>
        </w:trPr>
        <w:tc>
          <w:tcPr>
            <w:tcW w:w="1120" w:type="dxa"/>
            <w:vAlign w:val="bottom"/>
          </w:tcPr>
          <w:p>
            <w:pPr>
              <w:spacing w:after="0"/>
              <w:rPr>
                <w:sz w:val="18"/>
                <w:szCs w:val="18"/>
                <w:color w:val="auto"/>
              </w:rPr>
            </w:pPr>
          </w:p>
        </w:tc>
        <w:tc>
          <w:tcPr>
            <w:tcW w:w="5240" w:type="dxa"/>
            <w:vAlign w:val="bottom"/>
          </w:tcPr>
          <w:p>
            <w:pPr>
              <w:ind w:left="380"/>
              <w:spacing w:after="0"/>
              <w:rPr>
                <w:sz w:val="20"/>
                <w:szCs w:val="20"/>
                <w:color w:val="auto"/>
              </w:rPr>
            </w:pPr>
            <w:r>
              <w:rPr>
                <w:rFonts w:ascii="Arial" w:cs="Arial" w:eastAsia="Arial" w:hAnsi="Arial"/>
                <w:sz w:val="18"/>
                <w:szCs w:val="18"/>
                <w:color w:val="auto"/>
                <w:w w:val="95"/>
              </w:rPr>
              <w:t>(now known as The Scotts Miracle-Gro Company Amended and</w:t>
            </w:r>
          </w:p>
        </w:tc>
      </w:tr>
      <w:tr>
        <w:trPr>
          <w:trHeight w:val="216"/>
        </w:trPr>
        <w:tc>
          <w:tcPr>
            <w:tcW w:w="1120" w:type="dxa"/>
            <w:vAlign w:val="bottom"/>
          </w:tcPr>
          <w:p>
            <w:pPr>
              <w:spacing w:after="0"/>
              <w:rPr>
                <w:sz w:val="18"/>
                <w:szCs w:val="18"/>
                <w:color w:val="auto"/>
              </w:rPr>
            </w:pPr>
          </w:p>
        </w:tc>
        <w:tc>
          <w:tcPr>
            <w:tcW w:w="5240" w:type="dxa"/>
            <w:vAlign w:val="bottom"/>
          </w:tcPr>
          <w:p>
            <w:pPr>
              <w:ind w:left="380"/>
              <w:spacing w:after="0"/>
              <w:rPr>
                <w:sz w:val="20"/>
                <w:szCs w:val="20"/>
                <w:color w:val="auto"/>
              </w:rPr>
            </w:pPr>
            <w:r>
              <w:rPr>
                <w:rFonts w:ascii="Arial" w:cs="Arial" w:eastAsia="Arial" w:hAnsi="Arial"/>
                <w:sz w:val="18"/>
                <w:szCs w:val="18"/>
                <w:color w:val="auto"/>
                <w:w w:val="98"/>
              </w:rPr>
              <w:t>Restated 2003 Stock Option and Incentive Equity Plan) [2003</w:t>
            </w:r>
          </w:p>
        </w:tc>
      </w:tr>
      <w:tr>
        <w:trPr>
          <w:trHeight w:val="230"/>
        </w:trPr>
        <w:tc>
          <w:tcPr>
            <w:tcW w:w="1120" w:type="dxa"/>
            <w:vAlign w:val="bottom"/>
          </w:tcPr>
          <w:p>
            <w:pPr>
              <w:spacing w:after="0"/>
              <w:rPr>
                <w:sz w:val="20"/>
                <w:szCs w:val="20"/>
                <w:color w:val="auto"/>
              </w:rPr>
            </w:pPr>
          </w:p>
        </w:tc>
        <w:tc>
          <w:tcPr>
            <w:tcW w:w="5240" w:type="dxa"/>
            <w:vAlign w:val="bottom"/>
          </w:tcPr>
          <w:p>
            <w:pPr>
              <w:ind w:left="380"/>
              <w:spacing w:after="0"/>
              <w:rPr>
                <w:sz w:val="20"/>
                <w:szCs w:val="20"/>
                <w:color w:val="auto"/>
              </w:rPr>
            </w:pPr>
            <w:r>
              <w:rPr>
                <w:rFonts w:ascii="Arial" w:cs="Arial" w:eastAsia="Arial" w:hAnsi="Arial"/>
                <w:sz w:val="18"/>
                <w:szCs w:val="18"/>
                <w:color w:val="auto"/>
              </w:rPr>
              <w:t>version]</w:t>
            </w:r>
          </w:p>
        </w:tc>
      </w:tr>
      <w:tr>
        <w:trPr>
          <w:trHeight w:val="608"/>
        </w:trPr>
        <w:tc>
          <w:tcPr>
            <w:tcW w:w="1120" w:type="dxa"/>
            <w:vAlign w:val="bottom"/>
          </w:tcPr>
          <w:p>
            <w:pPr>
              <w:spacing w:after="0"/>
              <w:rPr>
                <w:sz w:val="24"/>
                <w:szCs w:val="24"/>
                <w:color w:val="auto"/>
              </w:rPr>
            </w:pPr>
          </w:p>
        </w:tc>
        <w:tc>
          <w:tcPr>
            <w:tcW w:w="5240" w:type="dxa"/>
            <w:vAlign w:val="bottom"/>
          </w:tcPr>
          <w:p>
            <w:pPr>
              <w:ind w:left="4460"/>
              <w:spacing w:after="0"/>
              <w:rPr>
                <w:sz w:val="20"/>
                <w:szCs w:val="20"/>
                <w:color w:val="auto"/>
              </w:rPr>
            </w:pPr>
            <w:r>
              <w:rPr>
                <w:rFonts w:ascii="Arial" w:cs="Arial" w:eastAsia="Arial" w:hAnsi="Arial"/>
                <w:sz w:val="18"/>
                <w:szCs w:val="18"/>
                <w:color w:val="auto"/>
              </w:rPr>
              <w:t>111</w:t>
            </w:r>
          </w:p>
        </w:tc>
      </w:tr>
    </w:tbl>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1-11593) [Exhibit 10(d)(4)]</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Current Report on Form 8-K of The Scotts Company, an Ohio corporation, filed November 19, 2004 (File No. 1-11593) [Exhibit 10.7]</w:t>
      </w:r>
    </w:p>
    <w:p>
      <w:pPr>
        <w:spacing w:after="0" w:line="3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1-11593) [Exhibit 10(j)(3)]</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Current Report on Form 8-K of The Scotts Company, an Ohio corporation, filed November 19, 2004 (File No. 1-11593) [Exhibit 10.9]</w:t>
      </w:r>
    </w:p>
    <w:p>
      <w:pPr>
        <w:sectPr>
          <w:pgSz w:w="11900" w:h="16838" w:orient="portrait"/>
          <w:cols w:equalWidth="0" w:num="2">
            <w:col w:w="6360" w:space="180"/>
            <w:col w:w="4860"/>
          </w:cols>
          <w:pgMar w:left="240" w:top="121" w:right="259" w:bottom="1440" w:gutter="0" w:footer="0" w:header="0"/>
          <w:type w:val="continuous"/>
        </w:sectPr>
      </w:pPr>
    </w:p>
    <w:bookmarkStart w:id="111" w:name="page112"/>
    <w:bookmarkEnd w:id="111"/>
    <w:p>
      <w:pPr>
        <w:spacing w:after="0"/>
        <w:rPr>
          <w:rFonts w:ascii="Arial" w:cs="Arial" w:eastAsia="Arial" w:hAnsi="Arial"/>
          <w:sz w:val="12"/>
          <w:szCs w:val="12"/>
          <w:u w:val="single" w:color="auto"/>
          <w:color w:val="0000FF"/>
        </w:rPr>
      </w:pPr>
      <w:hyperlink w:anchor="page45">
        <w:r>
          <w:rPr>
            <w:rFonts w:ascii="Arial" w:cs="Arial" w:eastAsia="Arial" w:hAnsi="Arial"/>
            <w:sz w:val="12"/>
            <w:szCs w:val="12"/>
            <w:u w:val="single" w:color="auto"/>
            <w:color w:val="0000FF"/>
          </w:rPr>
          <w:t>Table of Contents</w:t>
        </w:r>
      </w:hyperlink>
    </w:p>
    <w:p>
      <w:pPr>
        <w:sectPr>
          <w:pgSz w:w="11900" w:h="16838" w:orient="portrait"/>
          <w:cols w:equalWidth="0" w:num="1">
            <w:col w:w="11400"/>
          </w:cols>
          <w:pgMar w:left="240" w:top="12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10.5(b)(ii)</w:t>
            </w:r>
          </w:p>
        </w:tc>
        <w:tc>
          <w:tcPr>
            <w:tcW w:w="5200" w:type="dxa"/>
            <w:vAlign w:val="bottom"/>
          </w:tcPr>
          <w:p>
            <w:pPr>
              <w:ind w:left="360"/>
              <w:spacing w:after="0"/>
              <w:rPr>
                <w:sz w:val="20"/>
                <w:szCs w:val="20"/>
                <w:color w:val="auto"/>
              </w:rPr>
            </w:pPr>
            <w:r>
              <w:rPr>
                <w:rFonts w:ascii="Arial" w:cs="Arial" w:eastAsia="Arial" w:hAnsi="Arial"/>
                <w:sz w:val="18"/>
                <w:szCs w:val="18"/>
                <w:color w:val="auto"/>
                <w:w w:val="96"/>
              </w:rPr>
              <w:t>Specimen  form  of  Award  Agreement  for  Directors  used  to</w:t>
            </w:r>
          </w:p>
        </w:tc>
      </w:tr>
      <w:tr>
        <w:trPr>
          <w:trHeight w:val="216"/>
        </w:trPr>
        <w:tc>
          <w:tcPr>
            <w:tcW w:w="1100" w:type="dxa"/>
            <w:vAlign w:val="bottom"/>
          </w:tcPr>
          <w:p>
            <w:pPr>
              <w:spacing w:after="0"/>
              <w:rPr>
                <w:sz w:val="18"/>
                <w:szCs w:val="18"/>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w w:val="95"/>
              </w:rPr>
              <w:t>evidence grants of Nonqualified Stock Options made under The</w:t>
            </w:r>
          </w:p>
        </w:tc>
      </w:tr>
      <w:tr>
        <w:trPr>
          <w:trHeight w:val="230"/>
        </w:trPr>
        <w:tc>
          <w:tcPr>
            <w:tcW w:w="1100" w:type="dxa"/>
            <w:vAlign w:val="bottom"/>
          </w:tcPr>
          <w:p>
            <w:pPr>
              <w:spacing w:after="0"/>
              <w:rPr>
                <w:sz w:val="20"/>
                <w:szCs w:val="20"/>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w w:val="97"/>
              </w:rPr>
              <w:t>Scotts Miracle-Gro Company 2003 Stock Option and Incentive</w:t>
            </w:r>
          </w:p>
        </w:tc>
      </w:tr>
    </w:tbl>
    <w:p>
      <w:pPr>
        <w:jc w:val="both"/>
        <w:ind w:left="1500"/>
        <w:spacing w:after="0" w:line="255" w:lineRule="auto"/>
        <w:rPr>
          <w:sz w:val="20"/>
          <w:szCs w:val="20"/>
          <w:color w:val="auto"/>
        </w:rPr>
      </w:pPr>
      <w:r>
        <w:rPr>
          <w:rFonts w:ascii="Arial" w:cs="Arial" w:eastAsia="Arial" w:hAnsi="Arial"/>
          <w:sz w:val="18"/>
          <w:szCs w:val="18"/>
          <w:color w:val="auto"/>
        </w:rPr>
        <w:t>Equity Plan (now known as The Scotts Miracle-Gro Company Amended and Restated 2003 Stock Option and Incentive Equity Plan) [post-2003 version]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2005 (File No. 1-11593) [Exhibit 10(v)]</w:t>
      </w:r>
    </w:p>
    <w:p>
      <w:pPr>
        <w:spacing w:after="0" w:line="789" w:lineRule="exact"/>
        <w:rPr>
          <w:sz w:val="20"/>
          <w:szCs w:val="20"/>
          <w:color w:val="auto"/>
        </w:rPr>
      </w:pPr>
    </w:p>
    <w:p>
      <w:pPr>
        <w:sectPr>
          <w:pgSz w:w="11900" w:h="16838" w:orient="portrait"/>
          <w:cols w:equalWidth="0" w:num="2">
            <w:col w:w="6360" w:space="180"/>
            <w:col w:w="4860"/>
          </w:cols>
          <w:pgMar w:left="240" w:top="122"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10.5(c)(i)†</w:t>
            </w:r>
          </w:p>
        </w:tc>
        <w:tc>
          <w:tcPr>
            <w:tcW w:w="5200" w:type="dxa"/>
            <w:vAlign w:val="bottom"/>
          </w:tcPr>
          <w:p>
            <w:pPr>
              <w:ind w:left="360"/>
              <w:spacing w:after="0"/>
              <w:rPr>
                <w:sz w:val="20"/>
                <w:szCs w:val="20"/>
                <w:color w:val="auto"/>
              </w:rPr>
            </w:pPr>
            <w:r>
              <w:rPr>
                <w:rFonts w:ascii="Arial" w:cs="Arial" w:eastAsia="Arial" w:hAnsi="Arial"/>
                <w:sz w:val="18"/>
                <w:szCs w:val="18"/>
                <w:color w:val="auto"/>
                <w:w w:val="98"/>
              </w:rPr>
              <w:t>Specimen form of Award Agreement for Nondirectors used to</w:t>
            </w:r>
          </w:p>
        </w:tc>
      </w:tr>
      <w:tr>
        <w:trPr>
          <w:trHeight w:val="216"/>
        </w:trPr>
        <w:tc>
          <w:tcPr>
            <w:tcW w:w="1140" w:type="dxa"/>
            <w:vAlign w:val="bottom"/>
          </w:tcPr>
          <w:p>
            <w:pPr>
              <w:spacing w:after="0"/>
              <w:rPr>
                <w:sz w:val="18"/>
                <w:szCs w:val="18"/>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w w:val="96"/>
              </w:rPr>
              <w:t>evidence grants of Incentive Stock Options, Nonqualified Stock</w:t>
            </w:r>
          </w:p>
        </w:tc>
      </w:tr>
      <w:tr>
        <w:trPr>
          <w:trHeight w:val="216"/>
        </w:trPr>
        <w:tc>
          <w:tcPr>
            <w:tcW w:w="1140" w:type="dxa"/>
            <w:vAlign w:val="bottom"/>
          </w:tcPr>
          <w:p>
            <w:pPr>
              <w:spacing w:after="0"/>
              <w:rPr>
                <w:sz w:val="18"/>
                <w:szCs w:val="18"/>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w w:val="99"/>
              </w:rPr>
              <w:t>Options,  Stock  Appreciation  Rights,  Restricted  Stock  and</w:t>
            </w:r>
          </w:p>
        </w:tc>
      </w:tr>
      <w:tr>
        <w:trPr>
          <w:trHeight w:val="216"/>
        </w:trPr>
        <w:tc>
          <w:tcPr>
            <w:tcW w:w="1140" w:type="dxa"/>
            <w:vAlign w:val="bottom"/>
          </w:tcPr>
          <w:p>
            <w:pPr>
              <w:spacing w:after="0"/>
              <w:rPr>
                <w:sz w:val="18"/>
                <w:szCs w:val="18"/>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w w:val="92"/>
              </w:rPr>
              <w:t>Performance Stock made under The Scotts Company 2003 Stock</w:t>
            </w:r>
          </w:p>
        </w:tc>
      </w:tr>
      <w:tr>
        <w:trPr>
          <w:trHeight w:val="230"/>
        </w:trPr>
        <w:tc>
          <w:tcPr>
            <w:tcW w:w="1140" w:type="dxa"/>
            <w:vAlign w:val="bottom"/>
          </w:tcPr>
          <w:p>
            <w:pPr>
              <w:spacing w:after="0"/>
              <w:rPr>
                <w:sz w:val="20"/>
                <w:szCs w:val="20"/>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rPr>
              <w:t>Option and Incentive Equity Plan (now known as The Scotts</w:t>
            </w:r>
          </w:p>
        </w:tc>
      </w:tr>
    </w:tbl>
    <w:p>
      <w:pPr>
        <w:ind w:left="1500"/>
        <w:spacing w:after="0" w:line="323" w:lineRule="auto"/>
        <w:rPr>
          <w:sz w:val="20"/>
          <w:szCs w:val="20"/>
          <w:color w:val="auto"/>
        </w:rPr>
      </w:pPr>
      <w:r>
        <w:rPr>
          <w:rFonts w:ascii="Arial" w:cs="Arial" w:eastAsia="Arial" w:hAnsi="Arial"/>
          <w:sz w:val="16"/>
          <w:szCs w:val="16"/>
          <w:color w:val="auto"/>
        </w:rPr>
        <w:t>Miracle-Gro Company Amended and Restated 2003 Stock Option and Incentive Equity Plan) [pre-December 1, 2004 version]</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Current Report on Form 8-K of The Scotts Company, an Ohio corporation, filed November 19, 2004 (File No. 1-11593) [Exhibit 10.8]</w:t>
      </w:r>
    </w:p>
    <w:p>
      <w:pPr>
        <w:spacing w:after="0" w:line="1004" w:lineRule="exact"/>
        <w:rPr>
          <w:sz w:val="20"/>
          <w:szCs w:val="20"/>
          <w:color w:val="auto"/>
        </w:rPr>
      </w:pPr>
    </w:p>
    <w:p>
      <w:pPr>
        <w:sectPr>
          <w:pgSz w:w="11900" w:h="16838" w:orient="portrait"/>
          <w:cols w:equalWidth="0" w:num="2">
            <w:col w:w="6360" w:space="180"/>
            <w:col w:w="4860"/>
          </w:cols>
          <w:pgMar w:left="240" w:top="122" w:right="259" w:bottom="1440" w:gutter="0" w:footer="0" w:header="0"/>
          <w:type w:val="continuous"/>
        </w:sectPr>
      </w:pPr>
    </w:p>
    <w:p>
      <w:pPr>
        <w:spacing w:after="0"/>
        <w:tabs>
          <w:tab w:leader="none" w:pos="1480" w:val="left"/>
        </w:tabs>
        <w:rPr>
          <w:sz w:val="20"/>
          <w:szCs w:val="20"/>
          <w:color w:val="auto"/>
        </w:rPr>
      </w:pPr>
      <w:r>
        <w:rPr>
          <w:rFonts w:ascii="Arial" w:cs="Arial" w:eastAsia="Arial" w:hAnsi="Arial"/>
          <w:sz w:val="18"/>
          <w:szCs w:val="18"/>
          <w:color w:val="auto"/>
        </w:rPr>
        <w:t>10.5(c)(ii)†</w:t>
      </w:r>
      <w:r>
        <w:rPr>
          <w:sz w:val="20"/>
          <w:szCs w:val="20"/>
          <w:color w:val="auto"/>
        </w:rPr>
        <w:tab/>
      </w:r>
      <w:r>
        <w:rPr>
          <w:rFonts w:ascii="Arial" w:cs="Arial" w:eastAsia="Arial" w:hAnsi="Arial"/>
          <w:sz w:val="17"/>
          <w:szCs w:val="17"/>
          <w:color w:val="auto"/>
        </w:rPr>
        <w:t>Specimen form of Award Agreement for Nondirectors used to</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evidence grants of Incentive Stock Options, Nonqualified Stock</w:t>
      </w:r>
    </w:p>
    <w:p>
      <w:pPr>
        <w:spacing w:after="0" w:line="21" w:lineRule="exact"/>
        <w:rPr>
          <w:sz w:val="20"/>
          <w:szCs w:val="20"/>
          <w:color w:val="auto"/>
        </w:rPr>
      </w:pPr>
    </w:p>
    <w:p>
      <w:pPr>
        <w:ind w:left="1500"/>
        <w:spacing w:after="0"/>
        <w:tabs>
          <w:tab w:leader="none" w:pos="2260" w:val="left"/>
          <w:tab w:leader="none" w:pos="2840" w:val="left"/>
          <w:tab w:leader="none" w:pos="3940" w:val="left"/>
          <w:tab w:leader="none" w:pos="4600" w:val="left"/>
          <w:tab w:leader="none" w:pos="5500" w:val="left"/>
          <w:tab w:leader="none" w:pos="6060" w:val="left"/>
        </w:tabs>
        <w:rPr>
          <w:sz w:val="20"/>
          <w:szCs w:val="20"/>
          <w:color w:val="auto"/>
        </w:rPr>
      </w:pPr>
      <w:r>
        <w:rPr>
          <w:rFonts w:ascii="Arial" w:cs="Arial" w:eastAsia="Arial" w:hAnsi="Arial"/>
          <w:sz w:val="18"/>
          <w:szCs w:val="18"/>
          <w:color w:val="auto"/>
        </w:rPr>
        <w:t>Options,</w:t>
        <w:tab/>
        <w:t>Stock</w:t>
        <w:tab/>
        <w:t>Appreciation</w:t>
        <w:tab/>
        <w:t>Rights,</w:t>
        <w:tab/>
        <w:t>Restricted</w:t>
        <w:tab/>
        <w:t>Stock</w:t>
      </w:r>
      <w:r>
        <w:rPr>
          <w:sz w:val="20"/>
          <w:szCs w:val="20"/>
          <w:color w:val="auto"/>
        </w:rPr>
        <w:tab/>
      </w:r>
      <w:r>
        <w:rPr>
          <w:rFonts w:ascii="Arial" w:cs="Arial" w:eastAsia="Arial" w:hAnsi="Arial"/>
          <w:sz w:val="15"/>
          <w:szCs w:val="15"/>
          <w:color w:val="auto"/>
        </w:rPr>
        <w:t>and</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Performance Shares made under The Scotts Miracle-Gro Company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2003 Stock Option and Incentive Equity Plan (now known as The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Scotts Miracle-Gro Company Amended and Restated 2003 Stock</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Option and Incentive Equity Plan) [effective December 1, 2004]</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2005 (File No. 1-11593) [Exhibit 10(u)]</w:t>
      </w:r>
    </w:p>
    <w:p>
      <w:pPr>
        <w:spacing w:after="0" w:line="1005" w:lineRule="exact"/>
        <w:rPr>
          <w:sz w:val="20"/>
          <w:szCs w:val="20"/>
          <w:color w:val="auto"/>
        </w:rPr>
      </w:pPr>
    </w:p>
    <w:p>
      <w:pPr>
        <w:sectPr>
          <w:pgSz w:w="11900" w:h="16838" w:orient="portrait"/>
          <w:cols w:equalWidth="0" w:num="2">
            <w:col w:w="6360" w:space="180"/>
            <w:col w:w="4860"/>
          </w:cols>
          <w:pgMar w:left="240" w:top="122"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10.6(a)†</w:t>
            </w:r>
          </w:p>
        </w:tc>
        <w:tc>
          <w:tcPr>
            <w:tcW w:w="5260" w:type="dxa"/>
            <w:vAlign w:val="bottom"/>
          </w:tcPr>
          <w:p>
            <w:pPr>
              <w:ind w:left="420"/>
              <w:spacing w:after="0"/>
              <w:rPr>
                <w:sz w:val="20"/>
                <w:szCs w:val="20"/>
                <w:color w:val="auto"/>
              </w:rPr>
            </w:pPr>
            <w:r>
              <w:rPr>
                <w:rFonts w:ascii="Arial" w:cs="Arial" w:eastAsia="Arial" w:hAnsi="Arial"/>
                <w:sz w:val="18"/>
                <w:szCs w:val="18"/>
                <w:color w:val="auto"/>
                <w:w w:val="94"/>
              </w:rPr>
              <w:t>The  Scotts  Miracle-Gro  Company  Long-Term  Incentive  Plan</w:t>
            </w:r>
          </w:p>
        </w:tc>
      </w:tr>
      <w:tr>
        <w:trPr>
          <w:trHeight w:val="230"/>
        </w:trPr>
        <w:tc>
          <w:tcPr>
            <w:tcW w:w="1040" w:type="dxa"/>
            <w:vAlign w:val="bottom"/>
          </w:tcPr>
          <w:p>
            <w:pPr>
              <w:spacing w:after="0"/>
              <w:rPr>
                <w:sz w:val="20"/>
                <w:szCs w:val="20"/>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(effective as of January 17, 2013)</w:t>
            </w:r>
          </w:p>
        </w:tc>
      </w:tr>
      <w:tr>
        <w:trPr>
          <w:trHeight w:val="593"/>
        </w:trPr>
        <w:tc>
          <w:tcPr>
            <w:tcW w:w="1040" w:type="dxa"/>
            <w:vAlign w:val="bottom"/>
          </w:tcPr>
          <w:p>
            <w:pPr>
              <w:spacing w:after="0"/>
              <w:rPr>
                <w:sz w:val="20"/>
                <w:szCs w:val="20"/>
                <w:color w:val="auto"/>
              </w:rPr>
            </w:pPr>
            <w:r>
              <w:rPr>
                <w:rFonts w:ascii="Arial" w:cs="Arial" w:eastAsia="Arial" w:hAnsi="Arial"/>
                <w:sz w:val="18"/>
                <w:szCs w:val="18"/>
                <w:color w:val="auto"/>
              </w:rPr>
              <w:t>10.6(b)</w:t>
            </w:r>
          </w:p>
        </w:tc>
        <w:tc>
          <w:tcPr>
            <w:tcW w:w="5260" w:type="dxa"/>
            <w:vAlign w:val="bottom"/>
          </w:tcPr>
          <w:p>
            <w:pPr>
              <w:ind w:left="420"/>
              <w:spacing w:after="0"/>
              <w:rPr>
                <w:sz w:val="20"/>
                <w:szCs w:val="20"/>
                <w:color w:val="auto"/>
              </w:rPr>
            </w:pPr>
            <w:r>
              <w:rPr>
                <w:rFonts w:ascii="Arial" w:cs="Arial" w:eastAsia="Arial" w:hAnsi="Arial"/>
                <w:sz w:val="18"/>
                <w:szCs w:val="18"/>
                <w:color w:val="auto"/>
                <w:w w:val="94"/>
              </w:rPr>
              <w:t>Specimen form of Award Agreement for Nonemployee Directors</w:t>
            </w:r>
          </w:p>
        </w:tc>
      </w:tr>
      <w:tr>
        <w:trPr>
          <w:trHeight w:val="216"/>
        </w:trPr>
        <w:tc>
          <w:tcPr>
            <w:tcW w:w="104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w w:val="95"/>
              </w:rPr>
              <w:t>used  to  evidence  grants  of  Time-Based  Nonqualified  Stock</w:t>
            </w:r>
          </w:p>
        </w:tc>
      </w:tr>
      <w:tr>
        <w:trPr>
          <w:trHeight w:val="216"/>
        </w:trPr>
        <w:tc>
          <w:tcPr>
            <w:tcW w:w="104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w w:val="94"/>
              </w:rPr>
              <w:t>Options  which  may  be  made  under  The  Scotts  Miracle-Gro</w:t>
            </w:r>
          </w:p>
        </w:tc>
      </w:tr>
      <w:tr>
        <w:trPr>
          <w:trHeight w:val="216"/>
        </w:trPr>
        <w:tc>
          <w:tcPr>
            <w:tcW w:w="104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w w:val="97"/>
              </w:rPr>
              <w:t>Company 2006 Long-Term Incentive Plan (now known as The</w:t>
            </w:r>
          </w:p>
        </w:tc>
      </w:tr>
      <w:tr>
        <w:trPr>
          <w:trHeight w:val="230"/>
        </w:trPr>
        <w:tc>
          <w:tcPr>
            <w:tcW w:w="1040" w:type="dxa"/>
            <w:vAlign w:val="bottom"/>
          </w:tcPr>
          <w:p>
            <w:pPr>
              <w:spacing w:after="0"/>
              <w:rPr>
                <w:sz w:val="20"/>
                <w:szCs w:val="20"/>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Scotts Miracle-Gro Company Long-Term Incentive Plan)</w:t>
            </w:r>
          </w:p>
        </w:tc>
      </w:tr>
    </w:tbl>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January 24, 2013 (File No. 1-11593) [Exhibit 10.1]</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February 2, 2006 (File No. 1-11593) [Exhibit 10.3]</w:t>
      </w:r>
    </w:p>
    <w:p>
      <w:pPr>
        <w:spacing w:after="0" w:line="572" w:lineRule="exact"/>
        <w:rPr>
          <w:sz w:val="20"/>
          <w:szCs w:val="20"/>
          <w:color w:val="auto"/>
        </w:rPr>
      </w:pPr>
    </w:p>
    <w:p>
      <w:pPr>
        <w:sectPr>
          <w:pgSz w:w="11900" w:h="16838" w:orient="portrait"/>
          <w:cols w:equalWidth="0" w:num="2">
            <w:col w:w="6340" w:space="200"/>
            <w:col w:w="4860"/>
          </w:cols>
          <w:pgMar w:left="240" w:top="122"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10.6(c)(i)</w:t>
            </w:r>
          </w:p>
        </w:tc>
        <w:tc>
          <w:tcPr>
            <w:tcW w:w="5240" w:type="dxa"/>
            <w:vAlign w:val="bottom"/>
          </w:tcPr>
          <w:p>
            <w:pPr>
              <w:ind w:left="380"/>
              <w:spacing w:after="0"/>
              <w:rPr>
                <w:sz w:val="20"/>
                <w:szCs w:val="20"/>
                <w:color w:val="auto"/>
              </w:rPr>
            </w:pPr>
            <w:r>
              <w:rPr>
                <w:rFonts w:ascii="Arial" w:cs="Arial" w:eastAsia="Arial" w:hAnsi="Arial"/>
                <w:sz w:val="18"/>
                <w:szCs w:val="18"/>
                <w:color w:val="auto"/>
              </w:rPr>
              <w:t>Specimen form of Deferred Stock Unit Award Agreement for</w:t>
            </w:r>
          </w:p>
        </w:tc>
      </w:tr>
      <w:tr>
        <w:trPr>
          <w:trHeight w:val="216"/>
        </w:trPr>
        <w:tc>
          <w:tcPr>
            <w:tcW w:w="1080" w:type="dxa"/>
            <w:vAlign w:val="bottom"/>
          </w:tcPr>
          <w:p>
            <w:pPr>
              <w:spacing w:after="0"/>
              <w:rPr>
                <w:sz w:val="18"/>
                <w:szCs w:val="18"/>
                <w:color w:val="auto"/>
              </w:rPr>
            </w:pPr>
          </w:p>
        </w:tc>
        <w:tc>
          <w:tcPr>
            <w:tcW w:w="5240" w:type="dxa"/>
            <w:vAlign w:val="bottom"/>
          </w:tcPr>
          <w:p>
            <w:pPr>
              <w:ind w:left="380"/>
              <w:spacing w:after="0"/>
              <w:rPr>
                <w:sz w:val="20"/>
                <w:szCs w:val="20"/>
                <w:color w:val="auto"/>
              </w:rPr>
            </w:pPr>
            <w:r>
              <w:rPr>
                <w:rFonts w:ascii="Arial" w:cs="Arial" w:eastAsia="Arial" w:hAnsi="Arial"/>
                <w:sz w:val="18"/>
                <w:szCs w:val="18"/>
                <w:color w:val="auto"/>
                <w:w w:val="92"/>
              </w:rPr>
              <w:t>Nonemployee Directors (with Related Dividend Equivalents) used</w:t>
            </w:r>
          </w:p>
        </w:tc>
      </w:tr>
      <w:tr>
        <w:trPr>
          <w:trHeight w:val="216"/>
        </w:trPr>
        <w:tc>
          <w:tcPr>
            <w:tcW w:w="1080" w:type="dxa"/>
            <w:vAlign w:val="bottom"/>
          </w:tcPr>
          <w:p>
            <w:pPr>
              <w:spacing w:after="0"/>
              <w:rPr>
                <w:sz w:val="18"/>
                <w:szCs w:val="18"/>
                <w:color w:val="auto"/>
              </w:rPr>
            </w:pPr>
          </w:p>
        </w:tc>
        <w:tc>
          <w:tcPr>
            <w:tcW w:w="5240" w:type="dxa"/>
            <w:vAlign w:val="bottom"/>
          </w:tcPr>
          <w:p>
            <w:pPr>
              <w:ind w:left="380"/>
              <w:spacing w:after="0"/>
              <w:rPr>
                <w:sz w:val="20"/>
                <w:szCs w:val="20"/>
                <w:color w:val="auto"/>
              </w:rPr>
            </w:pPr>
            <w:r>
              <w:rPr>
                <w:rFonts w:ascii="Arial" w:cs="Arial" w:eastAsia="Arial" w:hAnsi="Arial"/>
                <w:sz w:val="18"/>
                <w:szCs w:val="18"/>
                <w:color w:val="auto"/>
                <w:w w:val="91"/>
              </w:rPr>
              <w:t>to evidence grants of Deferred Stock Units made under The Scotts</w:t>
            </w:r>
          </w:p>
        </w:tc>
      </w:tr>
      <w:tr>
        <w:trPr>
          <w:trHeight w:val="216"/>
        </w:trPr>
        <w:tc>
          <w:tcPr>
            <w:tcW w:w="1080" w:type="dxa"/>
            <w:vAlign w:val="bottom"/>
          </w:tcPr>
          <w:p>
            <w:pPr>
              <w:spacing w:after="0"/>
              <w:rPr>
                <w:sz w:val="18"/>
                <w:szCs w:val="18"/>
                <w:color w:val="auto"/>
              </w:rPr>
            </w:pPr>
          </w:p>
        </w:tc>
        <w:tc>
          <w:tcPr>
            <w:tcW w:w="5240" w:type="dxa"/>
            <w:vAlign w:val="bottom"/>
          </w:tcPr>
          <w:p>
            <w:pPr>
              <w:ind w:left="380"/>
              <w:spacing w:after="0"/>
              <w:rPr>
                <w:sz w:val="20"/>
                <w:szCs w:val="20"/>
                <w:color w:val="auto"/>
              </w:rPr>
            </w:pPr>
            <w:r>
              <w:rPr>
                <w:rFonts w:ascii="Arial" w:cs="Arial" w:eastAsia="Arial" w:hAnsi="Arial"/>
                <w:sz w:val="18"/>
                <w:szCs w:val="18"/>
                <w:color w:val="auto"/>
                <w:w w:val="95"/>
              </w:rPr>
              <w:t>Miracle-Gro Company Amended and Restated 2006 Long-Term</w:t>
            </w:r>
          </w:p>
        </w:tc>
      </w:tr>
      <w:tr>
        <w:trPr>
          <w:trHeight w:val="216"/>
        </w:trPr>
        <w:tc>
          <w:tcPr>
            <w:tcW w:w="1080" w:type="dxa"/>
            <w:vAlign w:val="bottom"/>
          </w:tcPr>
          <w:p>
            <w:pPr>
              <w:spacing w:after="0"/>
              <w:rPr>
                <w:sz w:val="18"/>
                <w:szCs w:val="18"/>
                <w:color w:val="auto"/>
              </w:rPr>
            </w:pPr>
          </w:p>
        </w:tc>
        <w:tc>
          <w:tcPr>
            <w:tcW w:w="5240" w:type="dxa"/>
            <w:vAlign w:val="bottom"/>
          </w:tcPr>
          <w:p>
            <w:pPr>
              <w:ind w:left="380"/>
              <w:spacing w:after="0"/>
              <w:rPr>
                <w:sz w:val="20"/>
                <w:szCs w:val="20"/>
                <w:color w:val="auto"/>
              </w:rPr>
            </w:pPr>
            <w:r>
              <w:rPr>
                <w:rFonts w:ascii="Arial" w:cs="Arial" w:eastAsia="Arial" w:hAnsi="Arial"/>
                <w:sz w:val="18"/>
                <w:szCs w:val="18"/>
                <w:color w:val="auto"/>
                <w:w w:val="94"/>
              </w:rPr>
              <w:t>Incentive Plan (now known as The Scotts Miracle-Gro Company</w:t>
            </w:r>
          </w:p>
        </w:tc>
      </w:tr>
      <w:tr>
        <w:trPr>
          <w:trHeight w:val="216"/>
        </w:trPr>
        <w:tc>
          <w:tcPr>
            <w:tcW w:w="1080" w:type="dxa"/>
            <w:vAlign w:val="bottom"/>
          </w:tcPr>
          <w:p>
            <w:pPr>
              <w:spacing w:after="0"/>
              <w:rPr>
                <w:sz w:val="18"/>
                <w:szCs w:val="18"/>
                <w:color w:val="auto"/>
              </w:rPr>
            </w:pPr>
          </w:p>
        </w:tc>
        <w:tc>
          <w:tcPr>
            <w:tcW w:w="5240" w:type="dxa"/>
            <w:vAlign w:val="bottom"/>
          </w:tcPr>
          <w:p>
            <w:pPr>
              <w:ind w:left="380"/>
              <w:spacing w:after="0"/>
              <w:rPr>
                <w:sz w:val="20"/>
                <w:szCs w:val="20"/>
                <w:color w:val="auto"/>
              </w:rPr>
            </w:pPr>
            <w:r>
              <w:rPr>
                <w:rFonts w:ascii="Arial" w:cs="Arial" w:eastAsia="Arial" w:hAnsi="Arial"/>
                <w:sz w:val="18"/>
                <w:szCs w:val="18"/>
                <w:color w:val="auto"/>
                <w:w w:val="92"/>
              </w:rPr>
              <w:t>Long-Term Incentive Plan) (February 4, 2008 through January 22,</w:t>
            </w:r>
          </w:p>
        </w:tc>
      </w:tr>
      <w:tr>
        <w:trPr>
          <w:trHeight w:val="230"/>
        </w:trPr>
        <w:tc>
          <w:tcPr>
            <w:tcW w:w="1080" w:type="dxa"/>
            <w:vAlign w:val="bottom"/>
          </w:tcPr>
          <w:p>
            <w:pPr>
              <w:spacing w:after="0"/>
              <w:rPr>
                <w:sz w:val="20"/>
                <w:szCs w:val="20"/>
                <w:color w:val="auto"/>
              </w:rPr>
            </w:pPr>
          </w:p>
        </w:tc>
        <w:tc>
          <w:tcPr>
            <w:tcW w:w="5240" w:type="dxa"/>
            <w:vAlign w:val="bottom"/>
          </w:tcPr>
          <w:p>
            <w:pPr>
              <w:ind w:left="380"/>
              <w:spacing w:after="0"/>
              <w:rPr>
                <w:sz w:val="20"/>
                <w:szCs w:val="20"/>
                <w:color w:val="auto"/>
              </w:rPr>
            </w:pPr>
            <w:r>
              <w:rPr>
                <w:rFonts w:ascii="Arial" w:cs="Arial" w:eastAsia="Arial" w:hAnsi="Arial"/>
                <w:sz w:val="18"/>
                <w:szCs w:val="18"/>
                <w:color w:val="auto"/>
              </w:rPr>
              <w:t>2009 version)</w:t>
            </w:r>
          </w:p>
        </w:tc>
      </w:tr>
    </w:tbl>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29, 2007 (File No. 1-11593) [Exhibit 10(m)]</w:t>
      </w:r>
    </w:p>
    <w:p>
      <w:pPr>
        <w:spacing w:after="0" w:line="1004" w:lineRule="exact"/>
        <w:rPr>
          <w:sz w:val="20"/>
          <w:szCs w:val="20"/>
          <w:color w:val="auto"/>
        </w:rPr>
      </w:pPr>
    </w:p>
    <w:p>
      <w:pPr>
        <w:sectPr>
          <w:pgSz w:w="11900" w:h="16838" w:orient="portrait"/>
          <w:cols w:equalWidth="0" w:num="2">
            <w:col w:w="6360" w:space="180"/>
            <w:col w:w="4860"/>
          </w:cols>
          <w:pgMar w:left="240" w:top="122"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10.6(c)(ii)</w:t>
            </w:r>
          </w:p>
        </w:tc>
        <w:tc>
          <w:tcPr>
            <w:tcW w:w="5200" w:type="dxa"/>
            <w:vAlign w:val="bottom"/>
          </w:tcPr>
          <w:p>
            <w:pPr>
              <w:ind w:left="360"/>
              <w:spacing w:after="0"/>
              <w:rPr>
                <w:sz w:val="20"/>
                <w:szCs w:val="20"/>
                <w:color w:val="auto"/>
              </w:rPr>
            </w:pPr>
            <w:r>
              <w:rPr>
                <w:rFonts w:ascii="Arial" w:cs="Arial" w:eastAsia="Arial" w:hAnsi="Arial"/>
                <w:sz w:val="18"/>
                <w:szCs w:val="18"/>
                <w:color w:val="auto"/>
              </w:rPr>
              <w:t>Specimen form of Deferred Stock Unit Award Agreement for</w:t>
            </w:r>
          </w:p>
        </w:tc>
      </w:tr>
      <w:tr>
        <w:trPr>
          <w:trHeight w:val="216"/>
        </w:trPr>
        <w:tc>
          <w:tcPr>
            <w:tcW w:w="1100" w:type="dxa"/>
            <w:vAlign w:val="bottom"/>
          </w:tcPr>
          <w:p>
            <w:pPr>
              <w:spacing w:after="0"/>
              <w:rPr>
                <w:sz w:val="18"/>
                <w:szCs w:val="18"/>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w w:val="92"/>
              </w:rPr>
              <w:t>Nonemployee Directors (with Related Dividend Equivalents) used</w:t>
            </w:r>
          </w:p>
        </w:tc>
      </w:tr>
      <w:tr>
        <w:trPr>
          <w:trHeight w:val="216"/>
        </w:trPr>
        <w:tc>
          <w:tcPr>
            <w:tcW w:w="1100" w:type="dxa"/>
            <w:vAlign w:val="bottom"/>
          </w:tcPr>
          <w:p>
            <w:pPr>
              <w:spacing w:after="0"/>
              <w:rPr>
                <w:sz w:val="18"/>
                <w:szCs w:val="18"/>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w w:val="95"/>
              </w:rPr>
              <w:t>to evidence grants of Deferred Stock Units which may be made</w:t>
            </w:r>
          </w:p>
        </w:tc>
      </w:tr>
      <w:tr>
        <w:trPr>
          <w:trHeight w:val="216"/>
        </w:trPr>
        <w:tc>
          <w:tcPr>
            <w:tcW w:w="1100" w:type="dxa"/>
            <w:vAlign w:val="bottom"/>
          </w:tcPr>
          <w:p>
            <w:pPr>
              <w:spacing w:after="0"/>
              <w:rPr>
                <w:sz w:val="18"/>
                <w:szCs w:val="18"/>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w w:val="94"/>
              </w:rPr>
              <w:t>under The Scotts Miracle-Gro Company Amended and Restated</w:t>
            </w:r>
          </w:p>
        </w:tc>
      </w:tr>
      <w:tr>
        <w:trPr>
          <w:trHeight w:val="230"/>
        </w:trPr>
        <w:tc>
          <w:tcPr>
            <w:tcW w:w="1100" w:type="dxa"/>
            <w:vAlign w:val="bottom"/>
          </w:tcPr>
          <w:p>
            <w:pPr>
              <w:spacing w:after="0"/>
              <w:rPr>
                <w:sz w:val="20"/>
                <w:szCs w:val="20"/>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w w:val="95"/>
              </w:rPr>
              <w:t>2006  Long-Term  Incentive  Plan  (now  known  as  The  Scotts</w:t>
            </w:r>
          </w:p>
        </w:tc>
      </w:tr>
    </w:tbl>
    <w:p>
      <w:pPr>
        <w:ind w:left="1500"/>
        <w:spacing w:after="0" w:line="261" w:lineRule="auto"/>
        <w:rPr>
          <w:sz w:val="20"/>
          <w:szCs w:val="20"/>
          <w:color w:val="auto"/>
        </w:rPr>
      </w:pPr>
      <w:r>
        <w:rPr>
          <w:rFonts w:ascii="Arial" w:cs="Arial" w:eastAsia="Arial" w:hAnsi="Arial"/>
          <w:sz w:val="18"/>
          <w:szCs w:val="18"/>
          <w:color w:val="auto"/>
        </w:rPr>
        <w:t>Miracle-Gro Company Long-Term Incentive Plan) (January 23, 2009 through January 19, 2012)</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28, 2009 (File No. 1-11593) [Exhibit 10.1]</w:t>
      </w:r>
    </w:p>
    <w:p>
      <w:pPr>
        <w:spacing w:after="0" w:line="1004" w:lineRule="exact"/>
        <w:rPr>
          <w:sz w:val="20"/>
          <w:szCs w:val="20"/>
          <w:color w:val="auto"/>
        </w:rPr>
      </w:pPr>
    </w:p>
    <w:p>
      <w:pPr>
        <w:sectPr>
          <w:pgSz w:w="11900" w:h="16838" w:orient="portrait"/>
          <w:cols w:equalWidth="0" w:num="2">
            <w:col w:w="6340" w:space="200"/>
            <w:col w:w="4860"/>
          </w:cols>
          <w:pgMar w:left="240" w:top="122" w:right="259" w:bottom="1440" w:gutter="0" w:footer="0" w:header="0"/>
          <w:type w:val="continuous"/>
        </w:sectPr>
      </w:pPr>
    </w:p>
    <w:p>
      <w:pPr>
        <w:ind w:left="40"/>
        <w:spacing w:after="0"/>
        <w:tabs>
          <w:tab w:leader="none" w:pos="1480" w:val="left"/>
        </w:tabs>
        <w:rPr>
          <w:sz w:val="20"/>
          <w:szCs w:val="20"/>
          <w:color w:val="auto"/>
        </w:rPr>
      </w:pPr>
      <w:r>
        <w:rPr>
          <w:rFonts w:ascii="Arial" w:cs="Arial" w:eastAsia="Arial" w:hAnsi="Arial"/>
          <w:sz w:val="18"/>
          <w:szCs w:val="18"/>
          <w:color w:val="auto"/>
        </w:rPr>
        <w:t>10.6(c)(iii)</w:t>
      </w:r>
      <w:r>
        <w:rPr>
          <w:sz w:val="20"/>
          <w:szCs w:val="20"/>
          <w:color w:val="auto"/>
        </w:rPr>
        <w:tab/>
      </w:r>
      <w:r>
        <w:rPr>
          <w:rFonts w:ascii="Arial" w:cs="Arial" w:eastAsia="Arial" w:hAnsi="Arial"/>
          <w:sz w:val="18"/>
          <w:szCs w:val="18"/>
          <w:color w:val="auto"/>
        </w:rPr>
        <w:t>Specimen form of Deferred Stock Unit Award Agreement for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Nonemployee Directors (with Related Dividend Equivalents) used</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to evidence grants of Deferred Stock Units which may be made</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under The Scotts Miracle-Gro Company Amended and Restated</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2006  Long-Term  Incentive  Plan  (now  known  as  The  Scotts</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Miracle-Gro Company Long-Term Incentive Plan) (January 20,</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2012 through January 17, 2013)</w:t>
      </w:r>
    </w:p>
    <w:p>
      <w:pPr>
        <w:spacing w:after="0" w:line="40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31, 2011 (File No. 1-11593) [Exhibit 10.4]</w:t>
      </w:r>
    </w:p>
    <w:p>
      <w:pPr>
        <w:sectPr>
          <w:pgSz w:w="11900" w:h="16838" w:orient="portrait"/>
          <w:cols w:equalWidth="0" w:num="2">
            <w:col w:w="6340" w:space="200"/>
            <w:col w:w="4860"/>
          </w:cols>
          <w:pgMar w:left="240" w:top="122" w:right="259" w:bottom="1440" w:gutter="0" w:footer="0" w:header="0"/>
          <w:type w:val="continuous"/>
        </w:sectPr>
      </w:pPr>
    </w:p>
    <w:bookmarkStart w:id="112" w:name="page113"/>
    <w:bookmarkEnd w:id="112"/>
    <w:p>
      <w:pPr>
        <w:spacing w:after="0"/>
        <w:rPr>
          <w:rFonts w:ascii="Arial" w:cs="Arial" w:eastAsia="Arial" w:hAnsi="Arial"/>
          <w:sz w:val="12"/>
          <w:szCs w:val="12"/>
          <w:u w:val="single" w:color="auto"/>
          <w:color w:val="0000FF"/>
        </w:rPr>
      </w:pPr>
      <w:hyperlink w:anchor="page45">
        <w:r>
          <w:rPr>
            <w:rFonts w:ascii="Arial" w:cs="Arial" w:eastAsia="Arial" w:hAnsi="Arial"/>
            <w:sz w:val="12"/>
            <w:szCs w:val="12"/>
            <w:u w:val="single" w:color="auto"/>
            <w:color w:val="0000FF"/>
          </w:rPr>
          <w:t>Table of Contents</w:t>
        </w:r>
      </w:hyperlink>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10.6(c)(iv)</w:t>
            </w:r>
          </w:p>
        </w:tc>
        <w:tc>
          <w:tcPr>
            <w:tcW w:w="5200" w:type="dxa"/>
            <w:vAlign w:val="bottom"/>
          </w:tcPr>
          <w:p>
            <w:pPr>
              <w:ind w:left="360"/>
              <w:spacing w:after="0"/>
              <w:rPr>
                <w:sz w:val="20"/>
                <w:szCs w:val="20"/>
                <w:color w:val="auto"/>
              </w:rPr>
            </w:pPr>
            <w:r>
              <w:rPr>
                <w:rFonts w:ascii="Arial" w:cs="Arial" w:eastAsia="Arial" w:hAnsi="Arial"/>
                <w:sz w:val="18"/>
                <w:szCs w:val="18"/>
                <w:color w:val="auto"/>
              </w:rPr>
              <w:t>Specimen form of Deferred Stock Unit Award Agreement for</w:t>
            </w:r>
          </w:p>
        </w:tc>
      </w:tr>
      <w:tr>
        <w:trPr>
          <w:trHeight w:val="216"/>
        </w:trPr>
        <w:tc>
          <w:tcPr>
            <w:tcW w:w="1120" w:type="dxa"/>
            <w:vAlign w:val="bottom"/>
          </w:tcPr>
          <w:p>
            <w:pPr>
              <w:spacing w:after="0"/>
              <w:rPr>
                <w:sz w:val="18"/>
                <w:szCs w:val="18"/>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w w:val="92"/>
              </w:rPr>
              <w:t>Nonemployee Directors (with Related Dividend Equivalents) used</w:t>
            </w:r>
          </w:p>
        </w:tc>
      </w:tr>
      <w:tr>
        <w:trPr>
          <w:trHeight w:val="216"/>
        </w:trPr>
        <w:tc>
          <w:tcPr>
            <w:tcW w:w="1120" w:type="dxa"/>
            <w:vAlign w:val="bottom"/>
          </w:tcPr>
          <w:p>
            <w:pPr>
              <w:spacing w:after="0"/>
              <w:rPr>
                <w:sz w:val="18"/>
                <w:szCs w:val="18"/>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w w:val="94"/>
              </w:rPr>
              <w:t>to evidence grants of Deferred Stock Units made on January 20,</w:t>
            </w:r>
          </w:p>
        </w:tc>
      </w:tr>
      <w:tr>
        <w:trPr>
          <w:trHeight w:val="230"/>
        </w:trPr>
        <w:tc>
          <w:tcPr>
            <w:tcW w:w="1120" w:type="dxa"/>
            <w:vAlign w:val="bottom"/>
          </w:tcPr>
          <w:p>
            <w:pPr>
              <w:spacing w:after="0"/>
              <w:rPr>
                <w:sz w:val="20"/>
                <w:szCs w:val="20"/>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w w:val="93"/>
              </w:rPr>
              <w:t>2012 to Adam Hanft and William G. Jurgensen under The Scotts</w:t>
            </w:r>
          </w:p>
        </w:tc>
      </w:tr>
    </w:tbl>
    <w:p>
      <w:pPr>
        <w:jc w:val="both"/>
        <w:ind w:left="1520" w:right="20"/>
        <w:spacing w:after="0" w:line="255" w:lineRule="auto"/>
        <w:rPr>
          <w:sz w:val="20"/>
          <w:szCs w:val="20"/>
          <w:color w:val="auto"/>
        </w:rPr>
      </w:pPr>
      <w:r>
        <w:rPr>
          <w:rFonts w:ascii="Arial" w:cs="Arial" w:eastAsia="Arial" w:hAnsi="Arial"/>
          <w:sz w:val="18"/>
          <w:szCs w:val="18"/>
          <w:color w:val="auto"/>
        </w:rPr>
        <w:t>Miracle-Gro Company Amended and Restated Long-Term Incentive Plan (now known as The Scotts Miracle-Gro Company Long-Term Incentive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31, 2011 (File No. 1-11593) [Exhibit 10.5]</w:t>
      </w:r>
    </w:p>
    <w:p>
      <w:pPr>
        <w:spacing w:after="0" w:line="1018"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10.6(c)(v)</w:t>
            </w:r>
          </w:p>
        </w:tc>
        <w:tc>
          <w:tcPr>
            <w:tcW w:w="5200" w:type="dxa"/>
            <w:vAlign w:val="bottom"/>
          </w:tcPr>
          <w:p>
            <w:pPr>
              <w:ind w:left="360"/>
              <w:spacing w:after="0"/>
              <w:rPr>
                <w:sz w:val="20"/>
                <w:szCs w:val="20"/>
                <w:color w:val="auto"/>
              </w:rPr>
            </w:pPr>
            <w:r>
              <w:rPr>
                <w:rFonts w:ascii="Arial" w:cs="Arial" w:eastAsia="Arial" w:hAnsi="Arial"/>
                <w:sz w:val="18"/>
                <w:szCs w:val="18"/>
                <w:color w:val="auto"/>
              </w:rPr>
              <w:t>Specimen form of Deferred Stock Unit Award Agreement for</w:t>
            </w:r>
          </w:p>
        </w:tc>
      </w:tr>
      <w:tr>
        <w:trPr>
          <w:trHeight w:val="216"/>
        </w:trPr>
        <w:tc>
          <w:tcPr>
            <w:tcW w:w="1120" w:type="dxa"/>
            <w:vAlign w:val="bottom"/>
          </w:tcPr>
          <w:p>
            <w:pPr>
              <w:spacing w:after="0"/>
              <w:rPr>
                <w:sz w:val="18"/>
                <w:szCs w:val="18"/>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w w:val="92"/>
              </w:rPr>
              <w:t>Nonemployee Directors (with Related Dividend Equivalents) used</w:t>
            </w:r>
          </w:p>
        </w:tc>
      </w:tr>
      <w:tr>
        <w:trPr>
          <w:trHeight w:val="216"/>
        </w:trPr>
        <w:tc>
          <w:tcPr>
            <w:tcW w:w="1120" w:type="dxa"/>
            <w:vAlign w:val="bottom"/>
          </w:tcPr>
          <w:p>
            <w:pPr>
              <w:spacing w:after="0"/>
              <w:rPr>
                <w:sz w:val="18"/>
                <w:szCs w:val="18"/>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w w:val="95"/>
              </w:rPr>
              <w:t>to evidence grants of Deferred Stock Units which may be made</w:t>
            </w:r>
          </w:p>
        </w:tc>
      </w:tr>
      <w:tr>
        <w:trPr>
          <w:trHeight w:val="216"/>
        </w:trPr>
        <w:tc>
          <w:tcPr>
            <w:tcW w:w="1120" w:type="dxa"/>
            <w:vAlign w:val="bottom"/>
          </w:tcPr>
          <w:p>
            <w:pPr>
              <w:spacing w:after="0"/>
              <w:rPr>
                <w:sz w:val="18"/>
                <w:szCs w:val="18"/>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w w:val="98"/>
              </w:rPr>
              <w:t>under The Scotts Miracle-Gro Company Long-Term Incentive</w:t>
            </w:r>
          </w:p>
        </w:tc>
      </w:tr>
      <w:tr>
        <w:trPr>
          <w:trHeight w:val="230"/>
        </w:trPr>
        <w:tc>
          <w:tcPr>
            <w:tcW w:w="1120" w:type="dxa"/>
            <w:vAlign w:val="bottom"/>
          </w:tcPr>
          <w:p>
            <w:pPr>
              <w:spacing w:after="0"/>
              <w:rPr>
                <w:sz w:val="20"/>
                <w:szCs w:val="20"/>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rPr>
              <w:t>Plan (post-January 17, 2013 version)</w:t>
            </w:r>
          </w:p>
        </w:tc>
      </w:tr>
      <w:tr>
        <w:trPr>
          <w:trHeight w:val="391"/>
        </w:trPr>
        <w:tc>
          <w:tcPr>
            <w:tcW w:w="1120" w:type="dxa"/>
            <w:vAlign w:val="bottom"/>
          </w:tcPr>
          <w:p>
            <w:pPr>
              <w:spacing w:after="0"/>
              <w:rPr>
                <w:sz w:val="20"/>
                <w:szCs w:val="20"/>
                <w:color w:val="auto"/>
              </w:rPr>
            </w:pPr>
            <w:r>
              <w:rPr>
                <w:rFonts w:ascii="Arial" w:cs="Arial" w:eastAsia="Arial" w:hAnsi="Arial"/>
                <w:sz w:val="18"/>
                <w:szCs w:val="18"/>
                <w:color w:val="auto"/>
              </w:rPr>
              <w:t>10.6(c)(vi)</w:t>
            </w:r>
          </w:p>
        </w:tc>
        <w:tc>
          <w:tcPr>
            <w:tcW w:w="5200" w:type="dxa"/>
            <w:vAlign w:val="bottom"/>
          </w:tcPr>
          <w:p>
            <w:pPr>
              <w:ind w:left="360"/>
              <w:spacing w:after="0"/>
              <w:rPr>
                <w:sz w:val="20"/>
                <w:szCs w:val="20"/>
                <w:color w:val="auto"/>
              </w:rPr>
            </w:pPr>
            <w:r>
              <w:rPr>
                <w:rFonts w:ascii="Arial" w:cs="Arial" w:eastAsia="Arial" w:hAnsi="Arial"/>
                <w:sz w:val="18"/>
                <w:szCs w:val="18"/>
                <w:color w:val="auto"/>
              </w:rPr>
              <w:t>Specimen form of Deferred Stock Unit Award Agreement for</w:t>
            </w:r>
          </w:p>
        </w:tc>
      </w:tr>
      <w:tr>
        <w:trPr>
          <w:trHeight w:val="216"/>
        </w:trPr>
        <w:tc>
          <w:tcPr>
            <w:tcW w:w="1120" w:type="dxa"/>
            <w:vAlign w:val="bottom"/>
          </w:tcPr>
          <w:p>
            <w:pPr>
              <w:spacing w:after="0"/>
              <w:rPr>
                <w:sz w:val="18"/>
                <w:szCs w:val="18"/>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w w:val="92"/>
              </w:rPr>
              <w:t>Nonemployee Directors (with Related Dividend Equivalents) used</w:t>
            </w:r>
          </w:p>
        </w:tc>
      </w:tr>
      <w:tr>
        <w:trPr>
          <w:trHeight w:val="216"/>
        </w:trPr>
        <w:tc>
          <w:tcPr>
            <w:tcW w:w="1120" w:type="dxa"/>
            <w:vAlign w:val="bottom"/>
          </w:tcPr>
          <w:p>
            <w:pPr>
              <w:spacing w:after="0"/>
              <w:rPr>
                <w:sz w:val="18"/>
                <w:szCs w:val="18"/>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w w:val="94"/>
              </w:rPr>
              <w:t>to evidence grants of Deferred Stock Units made on January 18,</w:t>
            </w:r>
          </w:p>
        </w:tc>
      </w:tr>
      <w:tr>
        <w:trPr>
          <w:trHeight w:val="216"/>
        </w:trPr>
        <w:tc>
          <w:tcPr>
            <w:tcW w:w="1120" w:type="dxa"/>
            <w:vAlign w:val="bottom"/>
          </w:tcPr>
          <w:p>
            <w:pPr>
              <w:spacing w:after="0"/>
              <w:rPr>
                <w:sz w:val="18"/>
                <w:szCs w:val="18"/>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rPr>
              <w:t>2013 to William G. Jurgensen under The Scotts Miracle-Gro</w:t>
            </w:r>
          </w:p>
        </w:tc>
      </w:tr>
      <w:tr>
        <w:trPr>
          <w:trHeight w:val="230"/>
        </w:trPr>
        <w:tc>
          <w:tcPr>
            <w:tcW w:w="1120" w:type="dxa"/>
            <w:vAlign w:val="bottom"/>
          </w:tcPr>
          <w:p>
            <w:pPr>
              <w:spacing w:after="0"/>
              <w:rPr>
                <w:sz w:val="20"/>
                <w:szCs w:val="20"/>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rPr>
              <w:t>Company Long-Term Incentive Plan</w:t>
            </w:r>
          </w:p>
        </w:tc>
      </w:tr>
      <w:tr>
        <w:trPr>
          <w:trHeight w:val="391"/>
        </w:trPr>
        <w:tc>
          <w:tcPr>
            <w:tcW w:w="1120" w:type="dxa"/>
            <w:vAlign w:val="bottom"/>
          </w:tcPr>
          <w:p>
            <w:pPr>
              <w:spacing w:after="0"/>
              <w:rPr>
                <w:sz w:val="20"/>
                <w:szCs w:val="20"/>
                <w:color w:val="auto"/>
              </w:rPr>
            </w:pPr>
            <w:r>
              <w:rPr>
                <w:rFonts w:ascii="Arial" w:cs="Arial" w:eastAsia="Arial" w:hAnsi="Arial"/>
                <w:sz w:val="18"/>
                <w:szCs w:val="18"/>
                <w:color w:val="auto"/>
              </w:rPr>
              <w:t>10.6(d)(i)</w:t>
            </w:r>
          </w:p>
        </w:tc>
        <w:tc>
          <w:tcPr>
            <w:tcW w:w="5200" w:type="dxa"/>
            <w:vAlign w:val="bottom"/>
          </w:tcPr>
          <w:p>
            <w:pPr>
              <w:ind w:left="360"/>
              <w:spacing w:after="0"/>
              <w:rPr>
                <w:sz w:val="20"/>
                <w:szCs w:val="20"/>
                <w:color w:val="auto"/>
              </w:rPr>
            </w:pPr>
            <w:r>
              <w:rPr>
                <w:rFonts w:ascii="Arial" w:cs="Arial" w:eastAsia="Arial" w:hAnsi="Arial"/>
                <w:sz w:val="18"/>
                <w:szCs w:val="18"/>
                <w:color w:val="auto"/>
              </w:rPr>
              <w:t>Specimen form of Deferred Stock Unit Award Agreement for</w:t>
            </w:r>
          </w:p>
        </w:tc>
      </w:tr>
      <w:tr>
        <w:trPr>
          <w:trHeight w:val="216"/>
        </w:trPr>
        <w:tc>
          <w:tcPr>
            <w:tcW w:w="1120" w:type="dxa"/>
            <w:vAlign w:val="bottom"/>
          </w:tcPr>
          <w:p>
            <w:pPr>
              <w:spacing w:after="0"/>
              <w:rPr>
                <w:sz w:val="18"/>
                <w:szCs w:val="18"/>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w w:val="92"/>
              </w:rPr>
              <w:t>Nonemployee Directors (with Related Dividend Equivalents) used</w:t>
            </w:r>
          </w:p>
        </w:tc>
      </w:tr>
      <w:tr>
        <w:trPr>
          <w:trHeight w:val="216"/>
        </w:trPr>
        <w:tc>
          <w:tcPr>
            <w:tcW w:w="1120" w:type="dxa"/>
            <w:vAlign w:val="bottom"/>
          </w:tcPr>
          <w:p>
            <w:pPr>
              <w:spacing w:after="0"/>
              <w:rPr>
                <w:sz w:val="18"/>
                <w:szCs w:val="18"/>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w w:val="90"/>
              </w:rPr>
              <w:t>to evidence grants of Deferred Stock Units made under The Scotts</w:t>
            </w:r>
          </w:p>
        </w:tc>
      </w:tr>
      <w:tr>
        <w:trPr>
          <w:trHeight w:val="230"/>
        </w:trPr>
        <w:tc>
          <w:tcPr>
            <w:tcW w:w="1120" w:type="dxa"/>
            <w:vAlign w:val="bottom"/>
          </w:tcPr>
          <w:p>
            <w:pPr>
              <w:spacing w:after="0"/>
              <w:rPr>
                <w:sz w:val="20"/>
                <w:szCs w:val="20"/>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w w:val="94"/>
              </w:rPr>
              <w:t>Miracle-Gro Company Amended and Restated 2006 Long-Term</w:t>
            </w:r>
          </w:p>
        </w:tc>
      </w:tr>
    </w:tbl>
    <w:p>
      <w:pPr>
        <w:jc w:val="both"/>
        <w:ind w:left="1520" w:right="20"/>
        <w:spacing w:after="0" w:line="277" w:lineRule="auto"/>
        <w:rPr>
          <w:sz w:val="20"/>
          <w:szCs w:val="20"/>
          <w:color w:val="auto"/>
        </w:rPr>
      </w:pPr>
      <w:r>
        <w:rPr>
          <w:rFonts w:ascii="Arial" w:cs="Arial" w:eastAsia="Arial" w:hAnsi="Arial"/>
          <w:sz w:val="17"/>
          <w:szCs w:val="17"/>
          <w:color w:val="auto"/>
        </w:rPr>
        <w:t>Incentive Plan (now known as The Scotts Miracle-Gro Company Long-Term Incentive Plan) (Deferral of Cash Retainer — January 22, 2010 through January 20, 2011 version)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29, 2012 (File No. 1-11593) [Exhibit 10.3]</w:t>
      </w:r>
    </w:p>
    <w:p>
      <w:pPr>
        <w:spacing w:after="0" w:line="200" w:lineRule="exact"/>
        <w:rPr>
          <w:sz w:val="20"/>
          <w:szCs w:val="20"/>
          <w:color w:val="auto"/>
        </w:rPr>
      </w:pPr>
    </w:p>
    <w:p>
      <w:pPr>
        <w:spacing w:after="0" w:line="38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29, 2012 (File No. 1-11593) [Exhibit 10.4]</w:t>
      </w:r>
    </w:p>
    <w:p>
      <w:pPr>
        <w:spacing w:after="0" w:line="200" w:lineRule="exact"/>
        <w:rPr>
          <w:sz w:val="20"/>
          <w:szCs w:val="20"/>
          <w:color w:val="auto"/>
        </w:rPr>
      </w:pPr>
    </w:p>
    <w:p>
      <w:pPr>
        <w:spacing w:after="0" w:line="3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January 2, 2010 (File No. 1-11593) [Exhibit 10.1]</w:t>
      </w:r>
    </w:p>
    <w:p>
      <w:pPr>
        <w:spacing w:after="0" w:line="1005"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10.6(d)(ii)</w:t>
            </w:r>
          </w:p>
        </w:tc>
        <w:tc>
          <w:tcPr>
            <w:tcW w:w="5180" w:type="dxa"/>
            <w:vAlign w:val="bottom"/>
          </w:tcPr>
          <w:p>
            <w:pPr>
              <w:ind w:left="360"/>
              <w:spacing w:after="0"/>
              <w:rPr>
                <w:sz w:val="20"/>
                <w:szCs w:val="20"/>
                <w:color w:val="auto"/>
              </w:rPr>
            </w:pPr>
            <w:r>
              <w:rPr>
                <w:rFonts w:ascii="Arial" w:cs="Arial" w:eastAsia="Arial" w:hAnsi="Arial"/>
                <w:sz w:val="18"/>
                <w:szCs w:val="18"/>
                <w:color w:val="auto"/>
              </w:rPr>
              <w:t>Specimen form of Deferred Stock Unit Award Agreement for</w:t>
            </w:r>
          </w:p>
        </w:tc>
      </w:tr>
      <w:tr>
        <w:trPr>
          <w:trHeight w:val="216"/>
        </w:trPr>
        <w:tc>
          <w:tcPr>
            <w:tcW w:w="112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Arial" w:cs="Arial" w:eastAsia="Arial" w:hAnsi="Arial"/>
                <w:sz w:val="18"/>
                <w:szCs w:val="18"/>
                <w:color w:val="auto"/>
                <w:w w:val="92"/>
              </w:rPr>
              <w:t>Nonemployee Directors (with Related Dividend Equivalents) used</w:t>
            </w:r>
          </w:p>
        </w:tc>
      </w:tr>
      <w:tr>
        <w:trPr>
          <w:trHeight w:val="216"/>
        </w:trPr>
        <w:tc>
          <w:tcPr>
            <w:tcW w:w="112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Arial" w:cs="Arial" w:eastAsia="Arial" w:hAnsi="Arial"/>
                <w:sz w:val="18"/>
                <w:szCs w:val="18"/>
                <w:color w:val="auto"/>
                <w:w w:val="95"/>
              </w:rPr>
              <w:t>to evidence grants of Deferred Stock Units which may be made</w:t>
            </w:r>
          </w:p>
        </w:tc>
      </w:tr>
      <w:tr>
        <w:trPr>
          <w:trHeight w:val="230"/>
        </w:trPr>
        <w:tc>
          <w:tcPr>
            <w:tcW w:w="1120" w:type="dxa"/>
            <w:vAlign w:val="bottom"/>
          </w:tcPr>
          <w:p>
            <w:pPr>
              <w:spacing w:after="0"/>
              <w:rPr>
                <w:sz w:val="20"/>
                <w:szCs w:val="20"/>
                <w:color w:val="auto"/>
              </w:rPr>
            </w:pPr>
          </w:p>
        </w:tc>
        <w:tc>
          <w:tcPr>
            <w:tcW w:w="5180" w:type="dxa"/>
            <w:vAlign w:val="bottom"/>
          </w:tcPr>
          <w:p>
            <w:pPr>
              <w:ind w:left="360"/>
              <w:spacing w:after="0"/>
              <w:rPr>
                <w:sz w:val="20"/>
                <w:szCs w:val="20"/>
                <w:color w:val="auto"/>
              </w:rPr>
            </w:pPr>
            <w:r>
              <w:rPr>
                <w:rFonts w:ascii="Arial" w:cs="Arial" w:eastAsia="Arial" w:hAnsi="Arial"/>
                <w:sz w:val="18"/>
                <w:szCs w:val="18"/>
                <w:color w:val="auto"/>
                <w:w w:val="93"/>
              </w:rPr>
              <w:t>under The Scotts Miracle-Gro Company Amended and Restated</w:t>
            </w:r>
          </w:p>
        </w:tc>
      </w:tr>
    </w:tbl>
    <w:p>
      <w:pPr>
        <w:jc w:val="both"/>
        <w:ind w:left="1520"/>
        <w:spacing w:after="0" w:line="277" w:lineRule="auto"/>
        <w:rPr>
          <w:sz w:val="20"/>
          <w:szCs w:val="20"/>
          <w:color w:val="auto"/>
        </w:rPr>
      </w:pPr>
      <w:r>
        <w:rPr>
          <w:rFonts w:ascii="Arial" w:cs="Arial" w:eastAsia="Arial" w:hAnsi="Arial"/>
          <w:sz w:val="17"/>
          <w:szCs w:val="17"/>
          <w:color w:val="auto"/>
        </w:rPr>
        <w:t>2006 Long-Term Incentive Plan (now known as The Scotts Miracle-Gro Company Long-Term Incentive Plan) (Deferral of Cash Retainer — January 21, 2011 through January 19, 2012)</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January 1, 2011 (File No. 1-11593) [Exhibit 10.4]</w:t>
      </w:r>
    </w:p>
    <w:p>
      <w:pPr>
        <w:spacing w:after="0" w:line="1005" w:lineRule="exact"/>
        <w:rPr>
          <w:sz w:val="20"/>
          <w:szCs w:val="20"/>
          <w:color w:val="auto"/>
        </w:rPr>
      </w:pPr>
    </w:p>
    <w:p>
      <w:pPr>
        <w:sectPr>
          <w:pgSz w:w="11900" w:h="16838" w:orient="portrait"/>
          <w:cols w:equalWidth="0" w:num="2">
            <w:col w:w="6340" w:space="200"/>
            <w:col w:w="4860"/>
          </w:cols>
          <w:pgMar w:left="240" w:top="121" w:right="259" w:bottom="1440" w:gutter="0" w:footer="0" w:header="0"/>
          <w:type w:val="continuous"/>
        </w:sectPr>
      </w:pPr>
    </w:p>
    <w:p>
      <w:pPr>
        <w:spacing w:after="0"/>
        <w:tabs>
          <w:tab w:leader="none" w:pos="1500" w:val="left"/>
        </w:tabs>
        <w:rPr>
          <w:sz w:val="20"/>
          <w:szCs w:val="20"/>
          <w:color w:val="auto"/>
        </w:rPr>
      </w:pPr>
      <w:r>
        <w:rPr>
          <w:rFonts w:ascii="Arial" w:cs="Arial" w:eastAsia="Arial" w:hAnsi="Arial"/>
          <w:sz w:val="18"/>
          <w:szCs w:val="18"/>
          <w:color w:val="auto"/>
        </w:rPr>
        <w:t>10.6(d)(iii)</w:t>
      </w:r>
      <w:r>
        <w:rPr>
          <w:sz w:val="20"/>
          <w:szCs w:val="20"/>
          <w:color w:val="auto"/>
        </w:rPr>
        <w:tab/>
      </w:r>
      <w:r>
        <w:rPr>
          <w:rFonts w:ascii="Arial" w:cs="Arial" w:eastAsia="Arial" w:hAnsi="Arial"/>
          <w:sz w:val="18"/>
          <w:szCs w:val="18"/>
          <w:color w:val="auto"/>
        </w:rPr>
        <w:t>Specimen form of Deferred Stock Unit Award Agreement for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Nonemployee Directors (with Related Dividend Equivalents) used</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to evidence grants of Deferred Stock Units which may be made</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under The Scotts Miracle-Gro Company Amended and Restated</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2006  Long-Term  Incentive  Plan  (now  known  as  The  Scotts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Miracle-Gro Company Long-Term Incentive Plan) (Deferral of</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Cash Retainer — January 20, 2012 through January 17, 2013)</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31, 2011 (File No. 1-11593) [Exhibit 10.6]</w:t>
      </w:r>
    </w:p>
    <w:p>
      <w:pPr>
        <w:spacing w:after="0" w:line="1018" w:lineRule="exact"/>
        <w:rPr>
          <w:sz w:val="20"/>
          <w:szCs w:val="20"/>
          <w:color w:val="auto"/>
        </w:rPr>
      </w:pPr>
    </w:p>
    <w:p>
      <w:pPr>
        <w:sectPr>
          <w:pgSz w:w="11900" w:h="16838" w:orient="portrait"/>
          <w:cols w:equalWidth="0" w:num="2">
            <w:col w:w="6340" w:space="200"/>
            <w:col w:w="4860"/>
          </w:cols>
          <w:pgMar w:left="240" w:top="121"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10.6(d)(iv)</w:t>
            </w:r>
          </w:p>
        </w:tc>
        <w:tc>
          <w:tcPr>
            <w:tcW w:w="5160" w:type="dxa"/>
            <w:vAlign w:val="bottom"/>
          </w:tcPr>
          <w:p>
            <w:pPr>
              <w:ind w:left="340"/>
              <w:spacing w:after="0"/>
              <w:rPr>
                <w:sz w:val="20"/>
                <w:szCs w:val="20"/>
                <w:color w:val="auto"/>
              </w:rPr>
            </w:pPr>
            <w:r>
              <w:rPr>
                <w:rFonts w:ascii="Arial" w:cs="Arial" w:eastAsia="Arial" w:hAnsi="Arial"/>
                <w:sz w:val="18"/>
                <w:szCs w:val="18"/>
                <w:color w:val="auto"/>
              </w:rPr>
              <w:t>Specimen form of Deferred Stock Unit Award Agreement for</w:t>
            </w:r>
          </w:p>
        </w:tc>
      </w:tr>
      <w:tr>
        <w:trPr>
          <w:trHeight w:val="216"/>
        </w:trPr>
        <w:tc>
          <w:tcPr>
            <w:tcW w:w="114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w w:val="92"/>
              </w:rPr>
              <w:t>Nonemployee Directors (with Related Dividend Equivalents) used</w:t>
            </w:r>
          </w:p>
        </w:tc>
      </w:tr>
      <w:tr>
        <w:trPr>
          <w:trHeight w:val="216"/>
        </w:trPr>
        <w:tc>
          <w:tcPr>
            <w:tcW w:w="114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w w:val="95"/>
              </w:rPr>
              <w:t>to evidence grants of Deferred Stock Units which may be made</w:t>
            </w:r>
          </w:p>
        </w:tc>
      </w:tr>
      <w:tr>
        <w:trPr>
          <w:trHeight w:val="216"/>
        </w:trPr>
        <w:tc>
          <w:tcPr>
            <w:tcW w:w="114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w w:val="98"/>
              </w:rPr>
              <w:t>under The Scotts Miracle-Gro Company Long-Term Incentive</w:t>
            </w:r>
          </w:p>
        </w:tc>
      </w:tr>
      <w:tr>
        <w:trPr>
          <w:trHeight w:val="230"/>
        </w:trPr>
        <w:tc>
          <w:tcPr>
            <w:tcW w:w="1140" w:type="dxa"/>
            <w:vAlign w:val="bottom"/>
          </w:tcPr>
          <w:p>
            <w:pPr>
              <w:spacing w:after="0"/>
              <w:rPr>
                <w:sz w:val="20"/>
                <w:szCs w:val="20"/>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w w:val="91"/>
              </w:rPr>
              <w:t>Plan (Deferral of Cash Retainer — post-January 17, 2013 version)</w:t>
            </w:r>
          </w:p>
        </w:tc>
      </w:tr>
      <w:tr>
        <w:trPr>
          <w:trHeight w:val="621"/>
        </w:trPr>
        <w:tc>
          <w:tcPr>
            <w:tcW w:w="1140" w:type="dxa"/>
            <w:vAlign w:val="bottom"/>
          </w:tcPr>
          <w:p>
            <w:pPr>
              <w:spacing w:after="0"/>
              <w:rPr>
                <w:sz w:val="24"/>
                <w:szCs w:val="24"/>
                <w:color w:val="auto"/>
              </w:rPr>
            </w:pPr>
          </w:p>
        </w:tc>
        <w:tc>
          <w:tcPr>
            <w:tcW w:w="5160" w:type="dxa"/>
            <w:vAlign w:val="bottom"/>
          </w:tcPr>
          <w:p>
            <w:pPr>
              <w:ind w:left="4400"/>
              <w:spacing w:after="0"/>
              <w:rPr>
                <w:sz w:val="20"/>
                <w:szCs w:val="20"/>
                <w:color w:val="auto"/>
              </w:rPr>
            </w:pPr>
            <w:r>
              <w:rPr>
                <w:rFonts w:ascii="Arial" w:cs="Arial" w:eastAsia="Arial" w:hAnsi="Arial"/>
                <w:sz w:val="18"/>
                <w:szCs w:val="18"/>
                <w:color w:val="auto"/>
              </w:rPr>
              <w:t>113</w:t>
            </w:r>
          </w:p>
        </w:tc>
      </w:tr>
    </w:tbl>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29, 2012 (File No. 1-11593) [Exhibit 10.2]</w:t>
      </w:r>
    </w:p>
    <w:p>
      <w:pPr>
        <w:sectPr>
          <w:pgSz w:w="11900" w:h="16838" w:orient="portrait"/>
          <w:cols w:equalWidth="0" w:num="2">
            <w:col w:w="6340" w:space="200"/>
            <w:col w:w="4860"/>
          </w:cols>
          <w:pgMar w:left="240" w:top="121" w:right="259" w:bottom="1440" w:gutter="0" w:footer="0" w:header="0"/>
          <w:type w:val="continuous"/>
        </w:sectPr>
      </w:pPr>
    </w:p>
    <w:bookmarkStart w:id="113" w:name="page114"/>
    <w:bookmarkEnd w:id="113"/>
    <w:p>
      <w:pPr>
        <w:spacing w:after="0"/>
        <w:rPr>
          <w:rFonts w:ascii="Arial" w:cs="Arial" w:eastAsia="Arial" w:hAnsi="Arial"/>
          <w:sz w:val="12"/>
          <w:szCs w:val="12"/>
          <w:u w:val="single" w:color="auto"/>
          <w:color w:val="0000FF"/>
        </w:rPr>
      </w:pPr>
      <w:hyperlink w:anchor="page45">
        <w:r>
          <w:rPr>
            <w:rFonts w:ascii="Arial" w:cs="Arial" w:eastAsia="Arial" w:hAnsi="Arial"/>
            <w:sz w:val="12"/>
            <w:szCs w:val="12"/>
            <w:u w:val="single" w:color="auto"/>
            <w:color w:val="0000FF"/>
          </w:rPr>
          <w:t>Table of Contents</w:t>
        </w:r>
      </w:hyperlink>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10.6(e)†</w:t>
            </w:r>
          </w:p>
        </w:tc>
        <w:tc>
          <w:tcPr>
            <w:tcW w:w="5300" w:type="dxa"/>
            <w:vAlign w:val="bottom"/>
          </w:tcPr>
          <w:p>
            <w:pPr>
              <w:ind w:left="460"/>
              <w:spacing w:after="0"/>
              <w:rPr>
                <w:sz w:val="20"/>
                <w:szCs w:val="20"/>
                <w:color w:val="auto"/>
              </w:rPr>
            </w:pPr>
            <w:r>
              <w:rPr>
                <w:rFonts w:ascii="Arial" w:cs="Arial" w:eastAsia="Arial" w:hAnsi="Arial"/>
                <w:sz w:val="18"/>
                <w:szCs w:val="18"/>
                <w:color w:val="auto"/>
                <w:w w:val="95"/>
              </w:rPr>
              <w:t>Specimen form of Award Agreement used to evidence grants of</w:t>
            </w:r>
          </w:p>
        </w:tc>
      </w:tr>
      <w:tr>
        <w:trPr>
          <w:trHeight w:val="230"/>
        </w:trPr>
        <w:tc>
          <w:tcPr>
            <w:tcW w:w="1060" w:type="dxa"/>
            <w:vAlign w:val="bottom"/>
          </w:tcPr>
          <w:p>
            <w:pPr>
              <w:spacing w:after="0"/>
              <w:rPr>
                <w:sz w:val="20"/>
                <w:szCs w:val="20"/>
                <w:color w:val="auto"/>
              </w:rPr>
            </w:pPr>
          </w:p>
        </w:tc>
        <w:tc>
          <w:tcPr>
            <w:tcW w:w="5300" w:type="dxa"/>
            <w:vAlign w:val="bottom"/>
          </w:tcPr>
          <w:p>
            <w:pPr>
              <w:ind w:left="460"/>
              <w:spacing w:after="0"/>
              <w:rPr>
                <w:sz w:val="20"/>
                <w:szCs w:val="20"/>
                <w:color w:val="auto"/>
              </w:rPr>
            </w:pPr>
            <w:r>
              <w:rPr>
                <w:rFonts w:ascii="Arial" w:cs="Arial" w:eastAsia="Arial" w:hAnsi="Arial"/>
                <w:sz w:val="18"/>
                <w:szCs w:val="18"/>
                <w:color w:val="auto"/>
                <w:w w:val="94"/>
              </w:rPr>
              <w:t>Restricted Stock Units, Performance Shares, Nonqualified Stock</w:t>
            </w:r>
          </w:p>
        </w:tc>
      </w:tr>
    </w:tbl>
    <w:p>
      <w:pPr>
        <w:jc w:val="both"/>
        <w:ind w:left="1520" w:right="20"/>
        <w:spacing w:after="0" w:line="253" w:lineRule="auto"/>
        <w:rPr>
          <w:sz w:val="20"/>
          <w:szCs w:val="20"/>
          <w:color w:val="auto"/>
        </w:rPr>
      </w:pPr>
      <w:r>
        <w:rPr>
          <w:rFonts w:ascii="Arial" w:cs="Arial" w:eastAsia="Arial" w:hAnsi="Arial"/>
          <w:sz w:val="18"/>
          <w:szCs w:val="18"/>
          <w:color w:val="auto"/>
        </w:rPr>
        <w:t>Options, Incentive Stock Options, Restricted Stock and Stock Appreciation Rights made under The Scotts Miracle-Gro Company 2006 Long-Term Incentive Plan (now known as The Scotts Miracle-Gro Company Long-Term Incentive Plan) [pre-October 30, 2007 version]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31, 2005 (File No. 1-11593) [Exhibit 10(b)]</w:t>
      </w:r>
    </w:p>
    <w:p>
      <w:pPr>
        <w:spacing w:after="0" w:line="1005"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10.6(f)(i)†</w:t>
            </w:r>
          </w:p>
        </w:tc>
        <w:tc>
          <w:tcPr>
            <w:tcW w:w="5200" w:type="dxa"/>
            <w:vAlign w:val="bottom"/>
          </w:tcPr>
          <w:p>
            <w:pPr>
              <w:ind w:left="380"/>
              <w:spacing w:after="0"/>
              <w:rPr>
                <w:sz w:val="20"/>
                <w:szCs w:val="20"/>
                <w:color w:val="auto"/>
              </w:rPr>
            </w:pPr>
            <w:r>
              <w:rPr>
                <w:rFonts w:ascii="Arial" w:cs="Arial" w:eastAsia="Arial" w:hAnsi="Arial"/>
                <w:sz w:val="18"/>
                <w:szCs w:val="18"/>
                <w:color w:val="auto"/>
                <w:w w:val="98"/>
              </w:rPr>
              <w:t>Specimen form of Restricted Stock Unit Award Agreement for</w:t>
            </w:r>
          </w:p>
        </w:tc>
      </w:tr>
      <w:tr>
        <w:trPr>
          <w:trHeight w:val="230"/>
        </w:trPr>
        <w:tc>
          <w:tcPr>
            <w:tcW w:w="1140" w:type="dxa"/>
            <w:vAlign w:val="bottom"/>
          </w:tcPr>
          <w:p>
            <w:pPr>
              <w:spacing w:after="0"/>
              <w:rPr>
                <w:sz w:val="20"/>
                <w:szCs w:val="20"/>
                <w:color w:val="auto"/>
              </w:rPr>
            </w:pPr>
          </w:p>
        </w:tc>
        <w:tc>
          <w:tcPr>
            <w:tcW w:w="5200" w:type="dxa"/>
            <w:vAlign w:val="bottom"/>
          </w:tcPr>
          <w:p>
            <w:pPr>
              <w:ind w:left="380"/>
              <w:spacing w:after="0"/>
              <w:rPr>
                <w:sz w:val="20"/>
                <w:szCs w:val="20"/>
                <w:color w:val="auto"/>
              </w:rPr>
            </w:pPr>
            <w:r>
              <w:rPr>
                <w:rFonts w:ascii="Arial" w:cs="Arial" w:eastAsia="Arial" w:hAnsi="Arial"/>
                <w:sz w:val="18"/>
                <w:szCs w:val="18"/>
                <w:color w:val="auto"/>
                <w:w w:val="92"/>
              </w:rPr>
              <w:t>Employees (with Related Dividend Equivalents) used to evidence</w:t>
            </w:r>
          </w:p>
        </w:tc>
      </w:tr>
    </w:tbl>
    <w:p>
      <w:pPr>
        <w:jc w:val="both"/>
        <w:ind w:left="1520"/>
        <w:spacing w:after="0" w:line="253" w:lineRule="auto"/>
        <w:rPr>
          <w:sz w:val="20"/>
          <w:szCs w:val="20"/>
          <w:color w:val="auto"/>
        </w:rPr>
      </w:pPr>
      <w:r>
        <w:rPr>
          <w:rFonts w:ascii="Arial" w:cs="Arial" w:eastAsia="Arial" w:hAnsi="Arial"/>
          <w:sz w:val="18"/>
          <w:szCs w:val="18"/>
          <w:color w:val="auto"/>
        </w:rPr>
        <w:t>grants of Restricted Stock Units which may be made under The Scotts Miracle-Gro Company Amended and Restated 2006 Long-Term Incentive Plan (now known as The Scotts Miracle-Gro Company Long-Term Incentive Plan) (January 20, 2010 through January 19, 2012 version)</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January 2, 2010 (File No. 1-11593) [Exhibit 10.2]</w:t>
      </w:r>
    </w:p>
    <w:p>
      <w:pPr>
        <w:spacing w:after="0" w:line="1005" w:lineRule="exact"/>
        <w:rPr>
          <w:sz w:val="20"/>
          <w:szCs w:val="20"/>
          <w:color w:val="auto"/>
        </w:rPr>
      </w:pPr>
    </w:p>
    <w:p>
      <w:pPr>
        <w:sectPr>
          <w:pgSz w:w="11900" w:h="16838" w:orient="portrait"/>
          <w:cols w:equalWidth="0" w:num="2">
            <w:col w:w="6340" w:space="200"/>
            <w:col w:w="4860"/>
          </w:cols>
          <w:pgMar w:left="240" w:top="121" w:right="259" w:bottom="1440" w:gutter="0" w:footer="0" w:header="0"/>
          <w:type w:val="continuous"/>
        </w:sectPr>
      </w:pPr>
    </w:p>
    <w:p>
      <w:pPr>
        <w:ind w:left="40"/>
        <w:spacing w:after="0"/>
        <w:tabs>
          <w:tab w:leader="none" w:pos="1500" w:val="left"/>
        </w:tabs>
        <w:rPr>
          <w:sz w:val="20"/>
          <w:szCs w:val="20"/>
          <w:color w:val="auto"/>
        </w:rPr>
      </w:pPr>
      <w:r>
        <w:rPr>
          <w:rFonts w:ascii="Arial" w:cs="Arial" w:eastAsia="Arial" w:hAnsi="Arial"/>
          <w:sz w:val="18"/>
          <w:szCs w:val="18"/>
          <w:color w:val="auto"/>
        </w:rPr>
        <w:t>10.6(f)(ii)†</w:t>
      </w:r>
      <w:r>
        <w:rPr>
          <w:sz w:val="20"/>
          <w:szCs w:val="20"/>
          <w:color w:val="auto"/>
        </w:rPr>
        <w:tab/>
      </w:r>
      <w:r>
        <w:rPr>
          <w:rFonts w:ascii="Arial" w:cs="Arial" w:eastAsia="Arial" w:hAnsi="Arial"/>
          <w:sz w:val="17"/>
          <w:szCs w:val="17"/>
          <w:color w:val="auto"/>
        </w:rPr>
        <w:t>Specimen form of Restricted Stock Unit Award Agreement for</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Employees (with Related Dividend Equivalents) used to evidence</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grants of Restricted Stock Units which may be made under The</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Scotts Miracle-Gro Company Amended and Restated 2006 Long-</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Term Incentive Plan (now known as The Scotts Miracle-Gro</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Company Long-Term Incentive Plan) (January 20, 2012 through</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January 17, 2013)</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31, 2011 (File No. 1-11593) [Exhibit 10.2]</w:t>
      </w:r>
    </w:p>
    <w:p>
      <w:pPr>
        <w:spacing w:after="0" w:line="1018" w:lineRule="exact"/>
        <w:rPr>
          <w:sz w:val="20"/>
          <w:szCs w:val="20"/>
          <w:color w:val="auto"/>
        </w:rPr>
      </w:pPr>
    </w:p>
    <w:p>
      <w:pPr>
        <w:sectPr>
          <w:pgSz w:w="11900" w:h="16838" w:orient="portrait"/>
          <w:cols w:equalWidth="0" w:num="2">
            <w:col w:w="6340" w:space="200"/>
            <w:col w:w="4860"/>
          </w:cols>
          <w:pgMar w:left="240" w:top="121" w:right="259" w:bottom="1440" w:gutter="0" w:footer="0" w:header="0"/>
          <w:type w:val="continuous"/>
        </w:sectPr>
      </w:pPr>
    </w:p>
    <w:p>
      <w:pPr>
        <w:ind w:left="40"/>
        <w:spacing w:after="0"/>
        <w:tabs>
          <w:tab w:leader="none" w:pos="1500" w:val="left"/>
        </w:tabs>
        <w:rPr>
          <w:sz w:val="20"/>
          <w:szCs w:val="20"/>
          <w:color w:val="auto"/>
        </w:rPr>
      </w:pPr>
      <w:r>
        <w:rPr>
          <w:rFonts w:ascii="Arial" w:cs="Arial" w:eastAsia="Arial" w:hAnsi="Arial"/>
          <w:sz w:val="18"/>
          <w:szCs w:val="18"/>
          <w:color w:val="auto"/>
        </w:rPr>
        <w:t>10.6(f)(iii)†</w:t>
      </w:r>
      <w:r>
        <w:rPr>
          <w:sz w:val="20"/>
          <w:szCs w:val="20"/>
          <w:color w:val="auto"/>
        </w:rPr>
        <w:tab/>
      </w:r>
      <w:r>
        <w:rPr>
          <w:rFonts w:ascii="Arial" w:cs="Arial" w:eastAsia="Arial" w:hAnsi="Arial"/>
          <w:sz w:val="17"/>
          <w:szCs w:val="17"/>
          <w:color w:val="auto"/>
        </w:rPr>
        <w:t>Specimen form of Restricted Stock Unit Award Agreement for</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Employees (with Related Dividend Equivalents) used to evidence</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grants of Restricted Stock Units which may be made under The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Miracle-Gro Company Long-Term Incentive Plan (post-</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January 17, 2013 version)</w:t>
      </w:r>
    </w:p>
    <w:p>
      <w:pPr>
        <w:spacing w:after="0" w:line="184"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color w:val="auto"/>
        </w:rPr>
        <w:t>10.6(f)(iv)†</w:t>
      </w:r>
      <w:r>
        <w:rPr>
          <w:sz w:val="20"/>
          <w:szCs w:val="20"/>
          <w:color w:val="auto"/>
        </w:rPr>
        <w:tab/>
      </w:r>
      <w:r>
        <w:rPr>
          <w:rFonts w:ascii="Arial" w:cs="Arial" w:eastAsia="Arial" w:hAnsi="Arial"/>
          <w:sz w:val="17"/>
          <w:szCs w:val="17"/>
          <w:color w:val="auto"/>
        </w:rPr>
        <w:t>Specimen form of Restricted Stock Unit Award Agreement for</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Employees (with Related Dividend Equivalents) used to evidence</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grants of Restricted Stock Units made on April 1, 2013 to</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Lawrence A. Hilsheimer under The Scotts Miracle-Gro Company</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Long-Term Incentive Plan</w:t>
      </w:r>
    </w:p>
    <w:p>
      <w:pPr>
        <w:spacing w:after="0" w:line="184"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color w:val="auto"/>
        </w:rPr>
        <w:t>10.6(g)(i)†</w:t>
      </w:r>
      <w:r>
        <w:rPr>
          <w:sz w:val="20"/>
          <w:szCs w:val="20"/>
          <w:color w:val="auto"/>
        </w:rPr>
        <w:tab/>
      </w:r>
      <w:r>
        <w:rPr>
          <w:rFonts w:ascii="Arial" w:cs="Arial" w:eastAsia="Arial" w:hAnsi="Arial"/>
          <w:sz w:val="17"/>
          <w:szCs w:val="17"/>
          <w:color w:val="auto"/>
        </w:rPr>
        <w:t>Specimen  form  of  Performance  Unit  Award  Agreement  for</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Employees (with Related Dividend Equivalents) used to evidence</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grants of Performance Units which may be made under The Scotts</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Miracle-Gro Company Amended and Restated 2006 Long-Term</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Incentive Plan (now known as The Scotts Miracle-Gro Company</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Long-Term Incentive Plan) (January 21, 2011 through January 19,</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2012 version)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29, 2012 (File No. 1-11593) [Exhibit 10.5]</w:t>
      </w:r>
    </w:p>
    <w:p>
      <w:pPr>
        <w:spacing w:after="0" w:line="200" w:lineRule="exact"/>
        <w:rPr>
          <w:sz w:val="20"/>
          <w:szCs w:val="20"/>
          <w:color w:val="auto"/>
        </w:rPr>
      </w:pPr>
    </w:p>
    <w:p>
      <w:pPr>
        <w:spacing w:after="0" w:line="38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30, 2013 (File No. 1-11593) [Exhibit 10.6]</w:t>
      </w:r>
    </w:p>
    <w:p>
      <w:pPr>
        <w:spacing w:after="0" w:line="200" w:lineRule="exact"/>
        <w:rPr>
          <w:sz w:val="20"/>
          <w:szCs w:val="20"/>
          <w:color w:val="auto"/>
        </w:rPr>
      </w:pPr>
    </w:p>
    <w:p>
      <w:pPr>
        <w:spacing w:after="0" w:line="3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January 26, 2011 (File No. 1-11593) [Exhibit 10.1]</w:t>
      </w:r>
    </w:p>
    <w:p>
      <w:pPr>
        <w:spacing w:after="0" w:line="1004"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p>
      <w:pPr>
        <w:ind w:left="40"/>
        <w:spacing w:after="0"/>
        <w:tabs>
          <w:tab w:leader="none" w:pos="1500" w:val="left"/>
        </w:tabs>
        <w:rPr>
          <w:sz w:val="20"/>
          <w:szCs w:val="20"/>
          <w:color w:val="auto"/>
        </w:rPr>
      </w:pPr>
      <w:r>
        <w:rPr>
          <w:rFonts w:ascii="Arial" w:cs="Arial" w:eastAsia="Arial" w:hAnsi="Arial"/>
          <w:sz w:val="18"/>
          <w:szCs w:val="18"/>
          <w:color w:val="auto"/>
        </w:rPr>
        <w:t>10.6(g)(ii)†</w:t>
      </w:r>
      <w:r>
        <w:rPr>
          <w:sz w:val="20"/>
          <w:szCs w:val="20"/>
          <w:color w:val="auto"/>
        </w:rPr>
        <w:tab/>
      </w:r>
      <w:r>
        <w:rPr>
          <w:rFonts w:ascii="Arial" w:cs="Arial" w:eastAsia="Arial" w:hAnsi="Arial"/>
          <w:sz w:val="17"/>
          <w:szCs w:val="17"/>
          <w:color w:val="auto"/>
        </w:rPr>
        <w:t>Specimen  form  of  Performance  Unit  Award  Agreement  for</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Employees (with Related Dividend Equivalents) used to evidence</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grants of Performance Units which may be made under The Scotts</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Miracle-Gro Company Amended and Restated 2006 Long-Term</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Incentive Plan (now known as The Scotts Miracle-Gro Company</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Long-Term Incentive Plan) (January 20, 2012 through January 17,</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2013</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31, 2011 (File No. 1-11593) [Exhibit 10.1]</w:t>
      </w:r>
    </w:p>
    <w:p>
      <w:pPr>
        <w:spacing w:after="0" w:line="1034"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p>
      <w:pPr>
        <w:spacing w:after="0" w:line="24"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color w:val="auto"/>
        </w:rPr>
        <w:t>10.6(g)(iii)†</w:t>
      </w:r>
      <w:r>
        <w:rPr>
          <w:sz w:val="20"/>
          <w:szCs w:val="20"/>
          <w:color w:val="auto"/>
        </w:rPr>
        <w:tab/>
      </w:r>
      <w:r>
        <w:rPr>
          <w:rFonts w:ascii="Arial" w:cs="Arial" w:eastAsia="Arial" w:hAnsi="Arial"/>
          <w:sz w:val="17"/>
          <w:szCs w:val="17"/>
          <w:color w:val="auto"/>
        </w:rPr>
        <w:t>Specimen  form  of  Performance  Unit  Award  Agreement  for</w:t>
      </w:r>
    </w:p>
    <w:p>
      <w:pPr>
        <w:spacing w:after="0" w:line="23" w:lineRule="exact"/>
        <w:rPr>
          <w:sz w:val="20"/>
          <w:szCs w:val="20"/>
          <w:color w:val="auto"/>
        </w:rPr>
      </w:pPr>
    </w:p>
    <w:p>
      <w:pPr>
        <w:ind w:left="1520"/>
        <w:spacing w:after="0" w:line="254" w:lineRule="auto"/>
        <w:rPr>
          <w:sz w:val="20"/>
          <w:szCs w:val="20"/>
          <w:color w:val="auto"/>
        </w:rPr>
      </w:pPr>
      <w:r>
        <w:rPr>
          <w:rFonts w:ascii="Arial" w:cs="Arial" w:eastAsia="Arial" w:hAnsi="Arial"/>
          <w:sz w:val="18"/>
          <w:szCs w:val="18"/>
          <w:color w:val="auto"/>
        </w:rPr>
        <w:t>Employees (with Related Dividend Equivalents) used to evidence grants of Performance Units which may be made under The Scotts Miracle-Gro Company Long-Term Incentive Plan (January 17, 2013 version)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29, 2012 (File No. 1-11593) [Exhibit 10.6]</w:t>
      </w:r>
    </w:p>
    <w:p>
      <w:pPr>
        <w:spacing w:after="0" w:line="623" w:lineRule="exact"/>
        <w:rPr>
          <w:sz w:val="20"/>
          <w:szCs w:val="20"/>
          <w:color w:val="auto"/>
        </w:rPr>
      </w:pPr>
    </w:p>
    <w:p>
      <w:pPr>
        <w:sectPr>
          <w:pgSz w:w="11900" w:h="16838" w:orient="portrait"/>
          <w:cols w:equalWidth="0" w:num="2">
            <w:col w:w="6340" w:space="200"/>
            <w:col w:w="4860"/>
          </w:cols>
          <w:pgMar w:left="240" w:top="121" w:right="259" w:bottom="1440" w:gutter="0" w:footer="0" w:header="0"/>
          <w:type w:val="continuous"/>
        </w:sectPr>
      </w:pP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400"/>
          </w:cols>
          <w:pgMar w:left="240" w:top="121" w:right="259" w:bottom="1440" w:gutter="0" w:footer="0" w:header="0"/>
          <w:type w:val="continuous"/>
        </w:sectPr>
      </w:pPr>
    </w:p>
    <w:bookmarkStart w:id="114" w:name="page115"/>
    <w:bookmarkEnd w:id="114"/>
    <w:p>
      <w:pPr>
        <w:spacing w:after="0"/>
        <w:rPr>
          <w:rFonts w:ascii="Arial" w:cs="Arial" w:eastAsia="Arial" w:hAnsi="Arial"/>
          <w:sz w:val="12"/>
          <w:szCs w:val="12"/>
          <w:u w:val="single" w:color="auto"/>
          <w:color w:val="0000FF"/>
        </w:rPr>
      </w:pPr>
      <w:hyperlink w:anchor="page45">
        <w:r>
          <w:rPr>
            <w:rFonts w:ascii="Arial" w:cs="Arial" w:eastAsia="Arial" w:hAnsi="Arial"/>
            <w:sz w:val="12"/>
            <w:szCs w:val="12"/>
            <w:u w:val="single" w:color="auto"/>
            <w:color w:val="0000FF"/>
          </w:rPr>
          <w:t>Table of Contents</w:t>
        </w:r>
      </w:hyperlink>
    </w:p>
    <w:p>
      <w:pPr>
        <w:sectPr>
          <w:pgSz w:w="11900" w:h="16838" w:orient="portrait"/>
          <w:cols w:equalWidth="0" w:num="1">
            <w:col w:w="11400"/>
          </w:cols>
          <w:pgMar w:left="240" w:top="12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color w:val="auto"/>
        </w:rPr>
        <w:t>10.6(g)(iv)†</w:t>
      </w:r>
      <w:r>
        <w:rPr>
          <w:sz w:val="20"/>
          <w:szCs w:val="20"/>
          <w:color w:val="auto"/>
        </w:rPr>
        <w:tab/>
      </w:r>
      <w:r>
        <w:rPr>
          <w:rFonts w:ascii="Arial" w:cs="Arial" w:eastAsia="Arial" w:hAnsi="Arial"/>
          <w:sz w:val="17"/>
          <w:szCs w:val="17"/>
          <w:color w:val="auto"/>
        </w:rPr>
        <w:t>Specimen  form  of  Performance  Unit  Award  Agreement  for</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Employees (with Related Dividend Equivalents) used to evidence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grants of Performance Units made on January 18, 2013 to James</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Hagedorn under The Scotts Miracle-Gro Company Long-Term</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Incentive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30, 2013 (File No. 1-11593) [Exhibit 10.8]</w:t>
      </w:r>
    </w:p>
    <w:p>
      <w:pPr>
        <w:spacing w:after="0" w:line="586" w:lineRule="exact"/>
        <w:rPr>
          <w:sz w:val="20"/>
          <w:szCs w:val="20"/>
          <w:color w:val="auto"/>
        </w:rPr>
      </w:pPr>
    </w:p>
    <w:p>
      <w:pPr>
        <w:sectPr>
          <w:pgSz w:w="11900" w:h="16838" w:orient="portrait"/>
          <w:cols w:equalWidth="0" w:num="2">
            <w:col w:w="6360" w:space="180"/>
            <w:col w:w="4860"/>
          </w:cols>
          <w:pgMar w:left="240" w:top="122"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10.6(h)(i)†</w:t>
            </w:r>
          </w:p>
        </w:tc>
        <w:tc>
          <w:tcPr>
            <w:tcW w:w="5200" w:type="dxa"/>
            <w:vAlign w:val="bottom"/>
          </w:tcPr>
          <w:p>
            <w:pPr>
              <w:ind w:left="360"/>
              <w:spacing w:after="0"/>
              <w:rPr>
                <w:sz w:val="20"/>
                <w:szCs w:val="20"/>
                <w:color w:val="auto"/>
              </w:rPr>
            </w:pPr>
            <w:r>
              <w:rPr>
                <w:rFonts w:ascii="Arial" w:cs="Arial" w:eastAsia="Arial" w:hAnsi="Arial"/>
                <w:sz w:val="18"/>
                <w:szCs w:val="18"/>
                <w:color w:val="auto"/>
                <w:w w:val="95"/>
              </w:rPr>
              <w:t>Specimen form of Nonqualified Stock Option Award Agreement</w:t>
            </w:r>
          </w:p>
        </w:tc>
      </w:tr>
      <w:tr>
        <w:trPr>
          <w:trHeight w:val="216"/>
        </w:trPr>
        <w:tc>
          <w:tcPr>
            <w:tcW w:w="1160" w:type="dxa"/>
            <w:vAlign w:val="bottom"/>
          </w:tcPr>
          <w:p>
            <w:pPr>
              <w:spacing w:after="0"/>
              <w:rPr>
                <w:sz w:val="18"/>
                <w:szCs w:val="18"/>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w w:val="99"/>
              </w:rPr>
              <w:t>for Employees used to evidence grants of Nonqualified Stock</w:t>
            </w:r>
          </w:p>
        </w:tc>
      </w:tr>
      <w:tr>
        <w:trPr>
          <w:trHeight w:val="216"/>
        </w:trPr>
        <w:tc>
          <w:tcPr>
            <w:tcW w:w="1160" w:type="dxa"/>
            <w:vAlign w:val="bottom"/>
          </w:tcPr>
          <w:p>
            <w:pPr>
              <w:spacing w:after="0"/>
              <w:rPr>
                <w:sz w:val="18"/>
                <w:szCs w:val="18"/>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rPr>
              <w:t>Options made under The Scotts Miracle-Gro Company 2006</w:t>
            </w:r>
          </w:p>
        </w:tc>
      </w:tr>
      <w:tr>
        <w:trPr>
          <w:trHeight w:val="230"/>
        </w:trPr>
        <w:tc>
          <w:tcPr>
            <w:tcW w:w="1160" w:type="dxa"/>
            <w:vAlign w:val="bottom"/>
          </w:tcPr>
          <w:p>
            <w:pPr>
              <w:spacing w:after="0"/>
              <w:rPr>
                <w:sz w:val="20"/>
                <w:szCs w:val="20"/>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w w:val="92"/>
              </w:rPr>
              <w:t>Long-Term Incentive Plan (now known as The Scotts Miracle-Gro</w:t>
            </w:r>
          </w:p>
        </w:tc>
      </w:tr>
    </w:tbl>
    <w:p>
      <w:pPr>
        <w:ind w:left="1520" w:right="20"/>
        <w:spacing w:after="0" w:line="261" w:lineRule="auto"/>
        <w:rPr>
          <w:sz w:val="20"/>
          <w:szCs w:val="20"/>
          <w:color w:val="auto"/>
        </w:rPr>
      </w:pPr>
      <w:r>
        <w:rPr>
          <w:rFonts w:ascii="Arial" w:cs="Arial" w:eastAsia="Arial" w:hAnsi="Arial"/>
          <w:sz w:val="18"/>
          <w:szCs w:val="18"/>
          <w:color w:val="auto"/>
        </w:rPr>
        <w:t>Company Long-Term Incentive Plan) [October 30, 2007 through October 8, 2008 version]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1-11593) [Exhibit 10(t)(3)]</w:t>
      </w:r>
    </w:p>
    <w:p>
      <w:pPr>
        <w:spacing w:after="0" w:line="788" w:lineRule="exact"/>
        <w:rPr>
          <w:sz w:val="20"/>
          <w:szCs w:val="20"/>
          <w:color w:val="auto"/>
        </w:rPr>
      </w:pPr>
    </w:p>
    <w:p>
      <w:pPr>
        <w:sectPr>
          <w:pgSz w:w="11900" w:h="16838" w:orient="portrait"/>
          <w:cols w:equalWidth="0" w:num="2">
            <w:col w:w="6360" w:space="180"/>
            <w:col w:w="4860"/>
          </w:cols>
          <w:pgMar w:left="240" w:top="122" w:right="259" w:bottom="1440" w:gutter="0" w:footer="0" w:header="0"/>
          <w:type w:val="continuous"/>
        </w:sectPr>
      </w:pPr>
    </w:p>
    <w:p>
      <w:pPr>
        <w:spacing w:after="0"/>
        <w:tabs>
          <w:tab w:leader="none" w:pos="1500" w:val="left"/>
        </w:tabs>
        <w:rPr>
          <w:sz w:val="20"/>
          <w:szCs w:val="20"/>
          <w:color w:val="auto"/>
        </w:rPr>
      </w:pPr>
      <w:r>
        <w:rPr>
          <w:rFonts w:ascii="Arial" w:cs="Arial" w:eastAsia="Arial" w:hAnsi="Arial"/>
          <w:sz w:val="18"/>
          <w:szCs w:val="18"/>
          <w:color w:val="auto"/>
        </w:rPr>
        <w:t>10.6(h)(ii)†</w:t>
      </w:r>
      <w:r>
        <w:rPr>
          <w:sz w:val="20"/>
          <w:szCs w:val="20"/>
          <w:color w:val="auto"/>
        </w:rPr>
        <w:tab/>
      </w:r>
      <w:r>
        <w:rPr>
          <w:rFonts w:ascii="Arial" w:cs="Arial" w:eastAsia="Arial" w:hAnsi="Arial"/>
          <w:sz w:val="17"/>
          <w:szCs w:val="17"/>
          <w:color w:val="auto"/>
        </w:rPr>
        <w:t>Specimen form of Nonqualified Stock Option Award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Employees used to evidence grants of Nonqualified Stock</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Options made under The Scotts Miracle-Gro Company Amended</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and Restated 2006 Long-Term Incentive Plan (now known as The</w:t>
      </w:r>
    </w:p>
    <w:p>
      <w:pPr>
        <w:spacing w:after="0" w:line="32" w:lineRule="exact"/>
        <w:rPr>
          <w:sz w:val="20"/>
          <w:szCs w:val="20"/>
          <w:color w:val="auto"/>
        </w:rPr>
      </w:pPr>
    </w:p>
    <w:p>
      <w:pPr>
        <w:ind w:left="1520"/>
        <w:spacing w:after="0"/>
        <w:tabs>
          <w:tab w:leader="none" w:pos="2120" w:val="left"/>
          <w:tab w:leader="none" w:pos="3220" w:val="left"/>
          <w:tab w:leader="none" w:pos="4100" w:val="left"/>
          <w:tab w:leader="none" w:pos="5100" w:val="left"/>
          <w:tab w:leader="none" w:pos="5960" w:val="left"/>
        </w:tabs>
        <w:rPr>
          <w:sz w:val="20"/>
          <w:szCs w:val="20"/>
          <w:color w:val="auto"/>
        </w:rPr>
      </w:pPr>
      <w:r>
        <w:rPr>
          <w:rFonts w:ascii="Arial" w:cs="Arial" w:eastAsia="Arial" w:hAnsi="Arial"/>
          <w:sz w:val="18"/>
          <w:szCs w:val="18"/>
          <w:color w:val="auto"/>
        </w:rPr>
        <w:t>Scotts</w:t>
        <w:tab/>
        <w:t>Miracle-Gro</w:t>
        <w:tab/>
        <w:t>Company</w:t>
        <w:tab/>
        <w:t>Long-Term</w:t>
        <w:tab/>
        <w:t>Incentive</w:t>
      </w:r>
      <w:r>
        <w:rPr>
          <w:sz w:val="20"/>
          <w:szCs w:val="20"/>
          <w:color w:val="auto"/>
        </w:rPr>
        <w:tab/>
      </w:r>
      <w:r>
        <w:rPr>
          <w:rFonts w:ascii="Arial" w:cs="Arial" w:eastAsia="Arial" w:hAnsi="Arial"/>
          <w:sz w:val="16"/>
          <w:szCs w:val="16"/>
          <w:color w:val="auto"/>
        </w:rPr>
        <w:t>Plan)</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(October 9, 2008 through January 19, 2010 version)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(File No. 1-11593) [Exhibit 10.7(f)(ii)]</w:t>
      </w:r>
    </w:p>
    <w:p>
      <w:pPr>
        <w:spacing w:after="0" w:line="788" w:lineRule="exact"/>
        <w:rPr>
          <w:sz w:val="20"/>
          <w:szCs w:val="20"/>
          <w:color w:val="auto"/>
        </w:rPr>
      </w:pPr>
    </w:p>
    <w:p>
      <w:pPr>
        <w:sectPr>
          <w:pgSz w:w="11900" w:h="16838" w:orient="portrait"/>
          <w:cols w:equalWidth="0" w:num="2">
            <w:col w:w="6360" w:space="180"/>
            <w:col w:w="4860"/>
          </w:cols>
          <w:pgMar w:left="240" w:top="122" w:right="259" w:bottom="1440" w:gutter="0" w:footer="0" w:header="0"/>
          <w:type w:val="continuous"/>
        </w:sectPr>
      </w:pPr>
    </w:p>
    <w:p>
      <w:pPr>
        <w:spacing w:after="0"/>
        <w:tabs>
          <w:tab w:leader="none" w:pos="1500" w:val="left"/>
        </w:tabs>
        <w:rPr>
          <w:sz w:val="20"/>
          <w:szCs w:val="20"/>
          <w:color w:val="auto"/>
        </w:rPr>
      </w:pPr>
      <w:r>
        <w:rPr>
          <w:rFonts w:ascii="Arial" w:cs="Arial" w:eastAsia="Arial" w:hAnsi="Arial"/>
          <w:sz w:val="18"/>
          <w:szCs w:val="18"/>
          <w:color w:val="auto"/>
        </w:rPr>
        <w:t>10.6(h)(iii)†</w:t>
      </w:r>
      <w:r>
        <w:rPr>
          <w:sz w:val="20"/>
          <w:szCs w:val="20"/>
          <w:color w:val="auto"/>
        </w:rPr>
        <w:tab/>
      </w:r>
      <w:r>
        <w:rPr>
          <w:rFonts w:ascii="Arial" w:cs="Arial" w:eastAsia="Arial" w:hAnsi="Arial"/>
          <w:sz w:val="17"/>
          <w:szCs w:val="17"/>
          <w:color w:val="auto"/>
        </w:rPr>
        <w:t>Specimen form of Nonqualified Stock Option Award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Employees used to evidence grants of Nonqualified Stock</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Options which may be made under The Scotts Miracle-Gro</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Company Amended and Restated 2006 Long-Term Incentive Plan</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(now known as The Scotts Miracle-Gro Company Long-Term</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Incentive Plan) (January 20, 2010 through January 19, 2012</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version)</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January 2, 2010 (File No. 1-11593) [Exhibit 10.4]</w:t>
      </w:r>
    </w:p>
    <w:p>
      <w:pPr>
        <w:spacing w:after="0" w:line="1004" w:lineRule="exact"/>
        <w:rPr>
          <w:sz w:val="20"/>
          <w:szCs w:val="20"/>
          <w:color w:val="auto"/>
        </w:rPr>
      </w:pPr>
    </w:p>
    <w:p>
      <w:pPr>
        <w:sectPr>
          <w:pgSz w:w="11900" w:h="16838" w:orient="portrait"/>
          <w:cols w:equalWidth="0" w:num="2">
            <w:col w:w="6360" w:space="180"/>
            <w:col w:w="4860"/>
          </w:cols>
          <w:pgMar w:left="240" w:top="122" w:right="259" w:bottom="1440" w:gutter="0" w:footer="0" w:header="0"/>
          <w:type w:val="continuous"/>
        </w:sectPr>
      </w:pPr>
    </w:p>
    <w:p>
      <w:pPr>
        <w:ind w:left="40"/>
        <w:spacing w:after="0"/>
        <w:tabs>
          <w:tab w:leader="none" w:pos="1500" w:val="left"/>
        </w:tabs>
        <w:rPr>
          <w:sz w:val="20"/>
          <w:szCs w:val="20"/>
          <w:color w:val="auto"/>
        </w:rPr>
      </w:pPr>
      <w:r>
        <w:rPr>
          <w:rFonts w:ascii="Arial" w:cs="Arial" w:eastAsia="Arial" w:hAnsi="Arial"/>
          <w:sz w:val="18"/>
          <w:szCs w:val="18"/>
          <w:color w:val="auto"/>
        </w:rPr>
        <w:t>10.6(h)(iv)†</w:t>
      </w:r>
      <w:r>
        <w:rPr>
          <w:sz w:val="20"/>
          <w:szCs w:val="20"/>
          <w:color w:val="auto"/>
        </w:rPr>
        <w:tab/>
      </w:r>
      <w:r>
        <w:rPr>
          <w:rFonts w:ascii="Arial" w:cs="Arial" w:eastAsia="Arial" w:hAnsi="Arial"/>
          <w:sz w:val="17"/>
          <w:szCs w:val="17"/>
          <w:color w:val="auto"/>
        </w:rPr>
        <w:t>Specimen form of Nonqualified Stock Option Award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Employees used to evidence grants of Nonqualified Stock</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Options which may be made under The Scotts Miracle-Gro</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Company Amended and Restated 2006 Long-Term Incentive Plan</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(now known as The Scotts Miracle-Gro Company Long-Term</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Incentive Plan) (January 20, 2012 through January 17, 2013)</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31, 2011 (File No. 1-11593) [Exhibit 10.3]</w:t>
      </w:r>
    </w:p>
    <w:p>
      <w:pPr>
        <w:spacing w:after="0" w:line="807" w:lineRule="exact"/>
        <w:rPr>
          <w:sz w:val="20"/>
          <w:szCs w:val="20"/>
          <w:color w:val="auto"/>
        </w:rPr>
      </w:pPr>
    </w:p>
    <w:p>
      <w:pPr>
        <w:sectPr>
          <w:pgSz w:w="11900" w:h="16838" w:orient="portrait"/>
          <w:cols w:equalWidth="0" w:num="2">
            <w:col w:w="6360" w:space="180"/>
            <w:col w:w="4860"/>
          </w:cols>
          <w:pgMar w:left="240" w:top="122" w:right="259" w:bottom="1440" w:gutter="0" w:footer="0" w:header="0"/>
          <w:type w:val="continuous"/>
        </w:sectPr>
      </w:pP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10.6(h)(v)†</w:t>
            </w:r>
          </w:p>
        </w:tc>
        <w:tc>
          <w:tcPr>
            <w:tcW w:w="5160" w:type="dxa"/>
            <w:vAlign w:val="bottom"/>
          </w:tcPr>
          <w:p>
            <w:pPr>
              <w:ind w:left="320"/>
              <w:spacing w:after="0"/>
              <w:rPr>
                <w:sz w:val="20"/>
                <w:szCs w:val="20"/>
                <w:color w:val="auto"/>
              </w:rPr>
            </w:pPr>
            <w:r>
              <w:rPr>
                <w:rFonts w:ascii="Arial" w:cs="Arial" w:eastAsia="Arial" w:hAnsi="Arial"/>
                <w:sz w:val="18"/>
                <w:szCs w:val="18"/>
                <w:color w:val="auto"/>
                <w:w w:val="95"/>
              </w:rPr>
              <w:t>Specimen form of Nonqualified Stock Option Award Agreement</w:t>
            </w:r>
          </w:p>
        </w:tc>
      </w:tr>
      <w:tr>
        <w:trPr>
          <w:trHeight w:val="216"/>
        </w:trPr>
        <w:tc>
          <w:tcPr>
            <w:tcW w:w="116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w w:val="99"/>
              </w:rPr>
              <w:t>for Employees used to evidence grants of Nonqualified Stock</w:t>
            </w:r>
          </w:p>
        </w:tc>
      </w:tr>
      <w:tr>
        <w:trPr>
          <w:trHeight w:val="216"/>
        </w:trPr>
        <w:tc>
          <w:tcPr>
            <w:tcW w:w="116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Options which may be made under The Scotts Miracle-Gro</w:t>
            </w:r>
          </w:p>
        </w:tc>
      </w:tr>
      <w:tr>
        <w:trPr>
          <w:trHeight w:val="216"/>
        </w:trPr>
        <w:tc>
          <w:tcPr>
            <w:tcW w:w="116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w w:val="94"/>
              </w:rPr>
              <w:t>Company  Long-Term  Incentive  Plan  (post-January  17,  2013</w:t>
            </w:r>
          </w:p>
        </w:tc>
      </w:tr>
      <w:tr>
        <w:trPr>
          <w:trHeight w:val="230"/>
        </w:trPr>
        <w:tc>
          <w:tcPr>
            <w:tcW w:w="1160" w:type="dxa"/>
            <w:vAlign w:val="bottom"/>
          </w:tcPr>
          <w:p>
            <w:pPr>
              <w:spacing w:after="0"/>
              <w:rPr>
                <w:sz w:val="20"/>
                <w:szCs w:val="20"/>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version)</w:t>
            </w:r>
          </w:p>
        </w:tc>
      </w:tr>
    </w:tbl>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29, 2012 (File No. 1-11593) [Exhibit 10.7]</w:t>
      </w:r>
    </w:p>
    <w:p>
      <w:pPr>
        <w:spacing w:after="0" w:line="586" w:lineRule="exact"/>
        <w:rPr>
          <w:sz w:val="20"/>
          <w:szCs w:val="20"/>
          <w:color w:val="auto"/>
        </w:rPr>
      </w:pPr>
    </w:p>
    <w:p>
      <w:pPr>
        <w:sectPr>
          <w:pgSz w:w="11900" w:h="16838" w:orient="portrait"/>
          <w:cols w:equalWidth="0" w:num="2">
            <w:col w:w="6360" w:space="180"/>
            <w:col w:w="4860"/>
          </w:cols>
          <w:pgMar w:left="240" w:top="122" w:right="259" w:bottom="1440" w:gutter="0" w:footer="0" w:header="0"/>
          <w:type w:val="continuous"/>
        </w:sectPr>
      </w:pPr>
    </w:p>
    <w:p>
      <w:pPr>
        <w:spacing w:after="0"/>
        <w:tabs>
          <w:tab w:leader="none" w:pos="1500" w:val="left"/>
          <w:tab w:leader="none" w:pos="2020" w:val="left"/>
          <w:tab w:leader="none" w:pos="2720" w:val="left"/>
          <w:tab w:leader="none" w:pos="3660" w:val="left"/>
          <w:tab w:leader="none" w:pos="4260" w:val="left"/>
          <w:tab w:leader="none" w:pos="5200" w:val="left"/>
          <w:tab w:leader="none" w:pos="5700" w:val="left"/>
        </w:tabs>
        <w:rPr>
          <w:sz w:val="20"/>
          <w:szCs w:val="20"/>
          <w:color w:val="auto"/>
        </w:rPr>
      </w:pPr>
      <w:r>
        <w:rPr>
          <w:rFonts w:ascii="Arial" w:cs="Arial" w:eastAsia="Arial" w:hAnsi="Arial"/>
          <w:sz w:val="18"/>
          <w:szCs w:val="18"/>
          <w:color w:val="auto"/>
        </w:rPr>
        <w:t>10.7(a)(i)†</w:t>
      </w:r>
      <w:r>
        <w:rPr>
          <w:sz w:val="20"/>
          <w:szCs w:val="20"/>
          <w:color w:val="auto"/>
        </w:rPr>
        <w:tab/>
      </w:r>
      <w:r>
        <w:rPr>
          <w:rFonts w:ascii="Arial" w:cs="Arial" w:eastAsia="Arial" w:hAnsi="Arial"/>
          <w:sz w:val="18"/>
          <w:szCs w:val="18"/>
          <w:color w:val="auto"/>
        </w:rPr>
        <w:t>The</w:t>
        <w:tab/>
        <w:t>Scotts</w:t>
        <w:tab/>
        <w:t>Company</w:t>
        <w:tab/>
        <w:t>LLC</w:t>
        <w:tab/>
        <w:t>Amended</w:t>
        <w:tab/>
        <w:t>and</w:t>
      </w:r>
      <w:r>
        <w:rPr>
          <w:sz w:val="20"/>
          <w:szCs w:val="20"/>
          <w:color w:val="auto"/>
        </w:rPr>
        <w:tab/>
      </w:r>
      <w:r>
        <w:rPr>
          <w:rFonts w:ascii="Arial" w:cs="Arial" w:eastAsia="Arial" w:hAnsi="Arial"/>
          <w:sz w:val="15"/>
          <w:szCs w:val="15"/>
          <w:color w:val="auto"/>
        </w:rPr>
        <w:t>Restated</w:t>
      </w:r>
    </w:p>
    <w:p>
      <w:pPr>
        <w:spacing w:after="0" w:line="23" w:lineRule="exact"/>
        <w:rPr>
          <w:sz w:val="20"/>
          <w:szCs w:val="20"/>
          <w:color w:val="auto"/>
        </w:rPr>
      </w:pPr>
    </w:p>
    <w:p>
      <w:pPr>
        <w:ind w:left="1520" w:right="20"/>
        <w:spacing w:after="0" w:line="261" w:lineRule="auto"/>
        <w:rPr>
          <w:sz w:val="20"/>
          <w:szCs w:val="20"/>
          <w:color w:val="auto"/>
        </w:rPr>
      </w:pPr>
      <w:r>
        <w:rPr>
          <w:rFonts w:ascii="Arial" w:cs="Arial" w:eastAsia="Arial" w:hAnsi="Arial"/>
          <w:sz w:val="18"/>
          <w:szCs w:val="18"/>
          <w:color w:val="auto"/>
        </w:rPr>
        <w:t>Executive/Management Incentive Plan (approved on November 7, 2007 and effective as of October 30, 2007)</w:t>
      </w:r>
    </w:p>
    <w:p>
      <w:pPr>
        <w:spacing w:after="0" w:line="143"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color w:val="auto"/>
        </w:rPr>
        <w:t>10.7(a)(ii)†</w:t>
      </w:r>
      <w:r>
        <w:rPr>
          <w:sz w:val="20"/>
          <w:szCs w:val="20"/>
          <w:color w:val="auto"/>
        </w:rPr>
        <w:tab/>
      </w:r>
      <w:r>
        <w:rPr>
          <w:rFonts w:ascii="Arial" w:cs="Arial" w:eastAsia="Arial" w:hAnsi="Arial"/>
          <w:sz w:val="16"/>
          <w:szCs w:val="16"/>
          <w:color w:val="auto"/>
        </w:rPr>
        <w:t>Amendment to The Scotts Company LLC Amended and Restated</w:t>
      </w:r>
    </w:p>
    <w:p>
      <w:pPr>
        <w:spacing w:after="0" w:line="23" w:lineRule="exact"/>
        <w:rPr>
          <w:sz w:val="20"/>
          <w:szCs w:val="20"/>
          <w:color w:val="auto"/>
        </w:rPr>
      </w:pPr>
    </w:p>
    <w:p>
      <w:pPr>
        <w:ind w:left="1520"/>
        <w:spacing w:after="0"/>
        <w:tabs>
          <w:tab w:leader="none" w:pos="3440" w:val="left"/>
          <w:tab w:leader="none" w:pos="4340" w:val="left"/>
          <w:tab w:leader="none" w:pos="4880" w:val="left"/>
          <w:tab w:leader="none" w:pos="5800" w:val="left"/>
          <w:tab w:leader="none" w:pos="6180" w:val="left"/>
        </w:tabs>
        <w:rPr>
          <w:sz w:val="20"/>
          <w:szCs w:val="20"/>
          <w:color w:val="auto"/>
        </w:rPr>
      </w:pPr>
      <w:r>
        <w:rPr>
          <w:rFonts w:ascii="Arial" w:cs="Arial" w:eastAsia="Arial" w:hAnsi="Arial"/>
          <w:sz w:val="18"/>
          <w:szCs w:val="18"/>
          <w:color w:val="auto"/>
        </w:rPr>
        <w:t>Executive/Management</w:t>
        <w:tab/>
        <w:t>Incentive</w:t>
        <w:tab/>
        <w:t>Plan</w:t>
        <w:tab/>
        <w:t>(effective</w:t>
        <w:tab/>
        <w:t>as</w:t>
      </w:r>
      <w:r>
        <w:rPr>
          <w:sz w:val="20"/>
          <w:szCs w:val="20"/>
          <w:color w:val="auto"/>
        </w:rPr>
        <w:tab/>
      </w:r>
      <w:r>
        <w:rPr>
          <w:rFonts w:ascii="Arial" w:cs="Arial" w:eastAsia="Arial" w:hAnsi="Arial"/>
          <w:sz w:val="16"/>
          <w:szCs w:val="16"/>
          <w:color w:val="auto"/>
        </w:rPr>
        <w:t>of</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November 5, 2008) [amended the name of the plan to be The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Company LLC Amended and Restated Executive Incentive</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Plan]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1-11593) [Exhibit 10(b)(2)]</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November 12, 2008 (File No. 1-11593) [Exhibit 10.2]</w:t>
      </w:r>
    </w:p>
    <w:p>
      <w:pPr>
        <w:spacing w:after="0" w:line="572" w:lineRule="exact"/>
        <w:rPr>
          <w:sz w:val="20"/>
          <w:szCs w:val="20"/>
          <w:color w:val="auto"/>
        </w:rPr>
      </w:pPr>
    </w:p>
    <w:p>
      <w:pPr>
        <w:sectPr>
          <w:pgSz w:w="11900" w:h="16838" w:orient="portrait"/>
          <w:cols w:equalWidth="0" w:num="2">
            <w:col w:w="6360" w:space="180"/>
            <w:col w:w="4860"/>
          </w:cols>
          <w:pgMar w:left="240" w:top="122"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10.7(b)(i)†</w:t>
            </w:r>
          </w:p>
        </w:tc>
        <w:tc>
          <w:tcPr>
            <w:tcW w:w="1560" w:type="dxa"/>
            <w:vAlign w:val="bottom"/>
          </w:tcPr>
          <w:p>
            <w:pPr>
              <w:ind w:left="360"/>
              <w:spacing w:after="0"/>
              <w:rPr>
                <w:sz w:val="20"/>
                <w:szCs w:val="20"/>
                <w:color w:val="auto"/>
              </w:rPr>
            </w:pPr>
            <w:r>
              <w:rPr>
                <w:rFonts w:ascii="Arial" w:cs="Arial" w:eastAsia="Arial" w:hAnsi="Arial"/>
                <w:sz w:val="18"/>
                <w:szCs w:val="18"/>
                <w:color w:val="auto"/>
                <w:w w:val="97"/>
              </w:rPr>
              <w:t>Specimen form</w:t>
            </w:r>
          </w:p>
        </w:tc>
        <w:tc>
          <w:tcPr>
            <w:tcW w:w="1160" w:type="dxa"/>
            <w:vAlign w:val="bottom"/>
          </w:tcPr>
          <w:p>
            <w:pPr>
              <w:jc w:val="center"/>
              <w:spacing w:after="0"/>
              <w:rPr>
                <w:sz w:val="20"/>
                <w:szCs w:val="20"/>
                <w:color w:val="auto"/>
              </w:rPr>
            </w:pPr>
            <w:r>
              <w:rPr>
                <w:rFonts w:ascii="Arial" w:cs="Arial" w:eastAsia="Arial" w:hAnsi="Arial"/>
                <w:sz w:val="18"/>
                <w:szCs w:val="18"/>
                <w:color w:val="auto"/>
                <w:w w:val="97"/>
              </w:rPr>
              <w:t>of Employee</w:t>
            </w:r>
          </w:p>
        </w:tc>
        <w:tc>
          <w:tcPr>
            <w:tcW w:w="2460" w:type="dxa"/>
            <w:vAlign w:val="bottom"/>
          </w:tcPr>
          <w:p>
            <w:pPr>
              <w:jc w:val="right"/>
              <w:spacing w:after="0"/>
              <w:rPr>
                <w:sz w:val="20"/>
                <w:szCs w:val="20"/>
                <w:color w:val="auto"/>
              </w:rPr>
            </w:pPr>
            <w:r>
              <w:rPr>
                <w:rFonts w:ascii="Arial" w:cs="Arial" w:eastAsia="Arial" w:hAnsi="Arial"/>
                <w:sz w:val="18"/>
                <w:szCs w:val="18"/>
                <w:color w:val="auto"/>
                <w:w w:val="96"/>
              </w:rPr>
              <w:t>Confidentiality, Noncompetition,</w:t>
            </w:r>
          </w:p>
        </w:tc>
      </w:tr>
      <w:tr>
        <w:trPr>
          <w:trHeight w:val="230"/>
        </w:trPr>
        <w:tc>
          <w:tcPr>
            <w:tcW w:w="1160" w:type="dxa"/>
            <w:vAlign w:val="bottom"/>
          </w:tcPr>
          <w:p>
            <w:pPr>
              <w:spacing w:after="0"/>
              <w:rPr>
                <w:sz w:val="20"/>
                <w:szCs w:val="20"/>
                <w:color w:val="auto"/>
              </w:rPr>
            </w:pPr>
          </w:p>
        </w:tc>
        <w:tc>
          <w:tcPr>
            <w:tcW w:w="1560" w:type="dxa"/>
            <w:vAlign w:val="bottom"/>
          </w:tcPr>
          <w:p>
            <w:pPr>
              <w:ind w:left="360"/>
              <w:spacing w:after="0"/>
              <w:rPr>
                <w:sz w:val="20"/>
                <w:szCs w:val="20"/>
                <w:color w:val="auto"/>
              </w:rPr>
            </w:pPr>
            <w:r>
              <w:rPr>
                <w:rFonts w:ascii="Arial" w:cs="Arial" w:eastAsia="Arial" w:hAnsi="Arial"/>
                <w:sz w:val="18"/>
                <w:szCs w:val="18"/>
                <w:color w:val="auto"/>
              </w:rPr>
              <w:t>Nonsolicitation</w:t>
            </w:r>
          </w:p>
        </w:tc>
        <w:tc>
          <w:tcPr>
            <w:tcW w:w="1160" w:type="dxa"/>
            <w:vAlign w:val="bottom"/>
          </w:tcPr>
          <w:p>
            <w:pPr>
              <w:jc w:val="center"/>
              <w:spacing w:after="0"/>
              <w:rPr>
                <w:sz w:val="20"/>
                <w:szCs w:val="20"/>
                <w:color w:val="auto"/>
              </w:rPr>
            </w:pPr>
            <w:r>
              <w:rPr>
                <w:rFonts w:ascii="Arial" w:cs="Arial" w:eastAsia="Arial" w:hAnsi="Arial"/>
                <w:sz w:val="18"/>
                <w:szCs w:val="18"/>
                <w:color w:val="auto"/>
                <w:w w:val="96"/>
              </w:rPr>
              <w:t>Agreement for</w:t>
            </w:r>
          </w:p>
        </w:tc>
        <w:tc>
          <w:tcPr>
            <w:tcW w:w="2460" w:type="dxa"/>
            <w:vAlign w:val="bottom"/>
          </w:tcPr>
          <w:p>
            <w:pPr>
              <w:jc w:val="right"/>
              <w:spacing w:after="0"/>
              <w:rPr>
                <w:sz w:val="20"/>
                <w:szCs w:val="20"/>
                <w:color w:val="auto"/>
              </w:rPr>
            </w:pPr>
            <w:r>
              <w:rPr>
                <w:rFonts w:ascii="Arial" w:cs="Arial" w:eastAsia="Arial" w:hAnsi="Arial"/>
                <w:sz w:val="18"/>
                <w:szCs w:val="18"/>
                <w:color w:val="auto"/>
                <w:w w:val="99"/>
              </w:rPr>
              <w:t>employees participating in The</w:t>
            </w:r>
          </w:p>
        </w:tc>
      </w:tr>
    </w:tbl>
    <w:p>
      <w:pPr>
        <w:jc w:val="both"/>
        <w:ind w:left="1520"/>
        <w:spacing w:after="0" w:line="255" w:lineRule="auto"/>
        <w:rPr>
          <w:sz w:val="20"/>
          <w:szCs w:val="20"/>
          <w:color w:val="auto"/>
        </w:rPr>
      </w:pPr>
      <w:r>
        <w:rPr>
          <w:rFonts w:ascii="Arial" w:cs="Arial" w:eastAsia="Arial" w:hAnsi="Arial"/>
          <w:sz w:val="18"/>
          <w:szCs w:val="18"/>
          <w:color w:val="auto"/>
        </w:rPr>
        <w:t>Scotts Company Executive/Management Incentive Plan (now known as The Scotts Company LLC Amended and Restated Executive Incentive Plan) [2005 version]</w:t>
      </w:r>
    </w:p>
    <w:p>
      <w:pPr>
        <w:spacing w:after="0" w:line="36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(File No. 1-11593) [Exhibit 10.2(b)(i)]</w:t>
      </w:r>
    </w:p>
    <w:p>
      <w:pPr>
        <w:sectPr>
          <w:pgSz w:w="11900" w:h="16838" w:orient="portrait"/>
          <w:cols w:equalWidth="0" w:num="2">
            <w:col w:w="6340" w:space="200"/>
            <w:col w:w="4860"/>
          </w:cols>
          <w:pgMar w:left="240" w:top="122" w:right="259" w:bottom="1440" w:gutter="0" w:footer="0" w:header="0"/>
          <w:type w:val="continuous"/>
        </w:sectPr>
      </w:pPr>
    </w:p>
    <w:bookmarkStart w:id="115" w:name="page116"/>
    <w:bookmarkEnd w:id="115"/>
    <w:p>
      <w:pPr>
        <w:spacing w:after="0"/>
        <w:rPr>
          <w:rFonts w:ascii="Arial" w:cs="Arial" w:eastAsia="Arial" w:hAnsi="Arial"/>
          <w:sz w:val="12"/>
          <w:szCs w:val="12"/>
          <w:u w:val="single" w:color="auto"/>
          <w:color w:val="0000FF"/>
        </w:rPr>
      </w:pPr>
      <w:hyperlink w:anchor="page45">
        <w:r>
          <w:rPr>
            <w:rFonts w:ascii="Arial" w:cs="Arial" w:eastAsia="Arial" w:hAnsi="Arial"/>
            <w:sz w:val="12"/>
            <w:szCs w:val="12"/>
            <w:u w:val="single" w:color="auto"/>
            <w:color w:val="0000FF"/>
          </w:rPr>
          <w:t>Table of Contents</w:t>
        </w:r>
      </w:hyperlink>
    </w:p>
    <w:p>
      <w:pPr>
        <w:sectPr>
          <w:pgSz w:w="11900" w:h="16838" w:orient="portrait"/>
          <w:cols w:equalWidth="0" w:num="1">
            <w:col w:w="11400"/>
          </w:cols>
          <w:pgMar w:left="240" w:top="12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10.7(b)(ii)†</w:t>
            </w:r>
          </w:p>
        </w:tc>
        <w:tc>
          <w:tcPr>
            <w:tcW w:w="5140" w:type="dxa"/>
            <w:vAlign w:val="bottom"/>
          </w:tcPr>
          <w:p>
            <w:pPr>
              <w:ind w:left="300"/>
              <w:spacing w:after="0"/>
              <w:rPr>
                <w:sz w:val="20"/>
                <w:szCs w:val="20"/>
                <w:color w:val="auto"/>
              </w:rPr>
            </w:pPr>
            <w:r>
              <w:rPr>
                <w:rFonts w:ascii="Arial" w:cs="Arial" w:eastAsia="Arial" w:hAnsi="Arial"/>
                <w:sz w:val="18"/>
                <w:szCs w:val="18"/>
                <w:color w:val="auto"/>
                <w:w w:val="99"/>
              </w:rPr>
              <w:t>Specimen form of Employee Confidentiality, Noncompetition,</w:t>
            </w:r>
          </w:p>
        </w:tc>
      </w:tr>
      <w:tr>
        <w:trPr>
          <w:trHeight w:val="216"/>
        </w:trPr>
        <w:tc>
          <w:tcPr>
            <w:tcW w:w="122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9"/>
              </w:rPr>
              <w:t>Nonsolicitation Agreement for employees participating in The</w:t>
            </w:r>
          </w:p>
        </w:tc>
      </w:tr>
      <w:tr>
        <w:trPr>
          <w:trHeight w:val="216"/>
        </w:trPr>
        <w:tc>
          <w:tcPr>
            <w:tcW w:w="122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1"/>
              </w:rPr>
              <w:t>Scotts Company LLC Executive/Management Incentive Plan (now</w:t>
            </w:r>
          </w:p>
        </w:tc>
      </w:tr>
      <w:tr>
        <w:trPr>
          <w:trHeight w:val="216"/>
        </w:trPr>
        <w:tc>
          <w:tcPr>
            <w:tcW w:w="122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known as The Scotts Company LLC Amended and Restated</w:t>
            </w:r>
          </w:p>
        </w:tc>
      </w:tr>
      <w:tr>
        <w:trPr>
          <w:trHeight w:val="230"/>
        </w:trPr>
        <w:tc>
          <w:tcPr>
            <w:tcW w:w="1220" w:type="dxa"/>
            <w:vAlign w:val="bottom"/>
          </w:tcPr>
          <w:p>
            <w:pPr>
              <w:spacing w:after="0"/>
              <w:rPr>
                <w:sz w:val="20"/>
                <w:szCs w:val="20"/>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Executive Incentive Plan) [post-2005 version]</w:t>
            </w:r>
          </w:p>
        </w:tc>
      </w:tr>
      <w:tr>
        <w:trPr>
          <w:trHeight w:val="377"/>
        </w:trPr>
        <w:tc>
          <w:tcPr>
            <w:tcW w:w="1220" w:type="dxa"/>
            <w:vAlign w:val="bottom"/>
          </w:tcPr>
          <w:p>
            <w:pPr>
              <w:spacing w:after="0"/>
              <w:rPr>
                <w:sz w:val="20"/>
                <w:szCs w:val="20"/>
                <w:color w:val="auto"/>
              </w:rPr>
            </w:pPr>
            <w:r>
              <w:rPr>
                <w:rFonts w:ascii="Arial" w:cs="Arial" w:eastAsia="Arial" w:hAnsi="Arial"/>
                <w:sz w:val="18"/>
                <w:szCs w:val="18"/>
                <w:color w:val="auto"/>
              </w:rPr>
              <w:t>10.7(c)†</w:t>
            </w:r>
          </w:p>
        </w:tc>
        <w:tc>
          <w:tcPr>
            <w:tcW w:w="5140" w:type="dxa"/>
            <w:vAlign w:val="bottom"/>
          </w:tcPr>
          <w:p>
            <w:pPr>
              <w:ind w:left="300"/>
              <w:spacing w:after="0"/>
              <w:rPr>
                <w:sz w:val="20"/>
                <w:szCs w:val="20"/>
                <w:color w:val="auto"/>
              </w:rPr>
            </w:pPr>
            <w:r>
              <w:rPr>
                <w:rFonts w:ascii="Arial" w:cs="Arial" w:eastAsia="Arial" w:hAnsi="Arial"/>
                <w:sz w:val="18"/>
                <w:szCs w:val="18"/>
                <w:color w:val="auto"/>
                <w:w w:val="95"/>
              </w:rPr>
              <w:t>Executive Officers of The Scotts Miracle-Gro Company who are</w:t>
            </w:r>
          </w:p>
        </w:tc>
      </w:tr>
      <w:tr>
        <w:trPr>
          <w:trHeight w:val="216"/>
        </w:trPr>
        <w:tc>
          <w:tcPr>
            <w:tcW w:w="122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parties to form of Employee Confidentiality, Noncompetition,</w:t>
            </w:r>
          </w:p>
        </w:tc>
      </w:tr>
      <w:tr>
        <w:trPr>
          <w:trHeight w:val="216"/>
        </w:trPr>
        <w:tc>
          <w:tcPr>
            <w:tcW w:w="122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9"/>
              </w:rPr>
              <w:t>Nonsolicitation Agreement for employees participating in The</w:t>
            </w:r>
          </w:p>
        </w:tc>
      </w:tr>
      <w:tr>
        <w:trPr>
          <w:trHeight w:val="216"/>
        </w:trPr>
        <w:tc>
          <w:tcPr>
            <w:tcW w:w="122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1"/>
              </w:rPr>
              <w:t>Scotts Company LLC Amended and Restated Executive Incentive</w:t>
            </w:r>
          </w:p>
        </w:tc>
      </w:tr>
      <w:tr>
        <w:trPr>
          <w:trHeight w:val="230"/>
        </w:trPr>
        <w:tc>
          <w:tcPr>
            <w:tcW w:w="1220" w:type="dxa"/>
            <w:vAlign w:val="bottom"/>
          </w:tcPr>
          <w:p>
            <w:pPr>
              <w:spacing w:after="0"/>
              <w:rPr>
                <w:sz w:val="20"/>
                <w:szCs w:val="20"/>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Plan</w:t>
            </w:r>
          </w:p>
        </w:tc>
      </w:tr>
      <w:tr>
        <w:trPr>
          <w:trHeight w:val="377"/>
        </w:trPr>
        <w:tc>
          <w:tcPr>
            <w:tcW w:w="1220" w:type="dxa"/>
            <w:vAlign w:val="bottom"/>
          </w:tcPr>
          <w:p>
            <w:pPr>
              <w:ind w:left="40"/>
              <w:spacing w:after="0"/>
              <w:rPr>
                <w:sz w:val="20"/>
                <w:szCs w:val="20"/>
                <w:color w:val="auto"/>
              </w:rPr>
            </w:pPr>
            <w:r>
              <w:rPr>
                <w:rFonts w:ascii="Arial" w:cs="Arial" w:eastAsia="Arial" w:hAnsi="Arial"/>
                <w:sz w:val="18"/>
                <w:szCs w:val="18"/>
                <w:color w:val="auto"/>
              </w:rPr>
              <w:t>10.8(a)(i)†</w:t>
            </w:r>
          </w:p>
        </w:tc>
        <w:tc>
          <w:tcPr>
            <w:tcW w:w="5140" w:type="dxa"/>
            <w:vAlign w:val="bottom"/>
          </w:tcPr>
          <w:p>
            <w:pPr>
              <w:ind w:left="300"/>
              <w:spacing w:after="0"/>
              <w:rPr>
                <w:sz w:val="20"/>
                <w:szCs w:val="20"/>
                <w:color w:val="auto"/>
              </w:rPr>
            </w:pPr>
            <w:r>
              <w:rPr>
                <w:rFonts w:ascii="Arial" w:cs="Arial" w:eastAsia="Arial" w:hAnsi="Arial"/>
                <w:sz w:val="18"/>
                <w:szCs w:val="18"/>
                <w:color w:val="auto"/>
                <w:w w:val="98"/>
              </w:rPr>
              <w:t>The  Scotts  Company  LLC  Executive  Retirement  Plan,  As</w:t>
            </w:r>
          </w:p>
        </w:tc>
      </w:tr>
      <w:tr>
        <w:trPr>
          <w:trHeight w:val="216"/>
        </w:trPr>
        <w:tc>
          <w:tcPr>
            <w:tcW w:w="122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89"/>
              </w:rPr>
              <w:t>Amended and Restated as of January 1, 2011 (executed December</w:t>
            </w:r>
          </w:p>
        </w:tc>
      </w:tr>
      <w:tr>
        <w:trPr>
          <w:trHeight w:val="230"/>
        </w:trPr>
        <w:tc>
          <w:tcPr>
            <w:tcW w:w="1220" w:type="dxa"/>
            <w:vAlign w:val="bottom"/>
          </w:tcPr>
          <w:p>
            <w:pPr>
              <w:spacing w:after="0"/>
              <w:rPr>
                <w:sz w:val="20"/>
                <w:szCs w:val="20"/>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22, 2010)</w:t>
            </w:r>
          </w:p>
        </w:tc>
      </w:tr>
      <w:tr>
        <w:trPr>
          <w:trHeight w:val="377"/>
        </w:trPr>
        <w:tc>
          <w:tcPr>
            <w:tcW w:w="1220" w:type="dxa"/>
            <w:vAlign w:val="bottom"/>
          </w:tcPr>
          <w:p>
            <w:pPr>
              <w:ind w:left="40"/>
              <w:spacing w:after="0"/>
              <w:rPr>
                <w:sz w:val="20"/>
                <w:szCs w:val="20"/>
                <w:color w:val="auto"/>
              </w:rPr>
            </w:pPr>
            <w:r>
              <w:rPr>
                <w:rFonts w:ascii="Arial" w:cs="Arial" w:eastAsia="Arial" w:hAnsi="Arial"/>
                <w:sz w:val="18"/>
                <w:szCs w:val="18"/>
                <w:color w:val="auto"/>
              </w:rPr>
              <w:t>10.8(a)(ii)†</w:t>
            </w:r>
          </w:p>
        </w:tc>
        <w:tc>
          <w:tcPr>
            <w:tcW w:w="5140" w:type="dxa"/>
            <w:vAlign w:val="bottom"/>
          </w:tcPr>
          <w:p>
            <w:pPr>
              <w:ind w:left="300"/>
              <w:spacing w:after="0"/>
              <w:rPr>
                <w:sz w:val="20"/>
                <w:szCs w:val="20"/>
                <w:color w:val="auto"/>
              </w:rPr>
            </w:pPr>
            <w:r>
              <w:rPr>
                <w:rFonts w:ascii="Arial" w:cs="Arial" w:eastAsia="Arial" w:hAnsi="Arial"/>
                <w:sz w:val="18"/>
                <w:szCs w:val="18"/>
                <w:color w:val="auto"/>
                <w:w w:val="99"/>
              </w:rPr>
              <w:t>First  Amendment  to  The  Scotts  Company  LLC  Executive</w:t>
            </w:r>
          </w:p>
        </w:tc>
      </w:tr>
      <w:tr>
        <w:trPr>
          <w:trHeight w:val="216"/>
        </w:trPr>
        <w:tc>
          <w:tcPr>
            <w:tcW w:w="122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0"/>
              </w:rPr>
              <w:t>Retirement Plan, as Amended and Restated as of January 1, 2011</w:t>
            </w:r>
          </w:p>
        </w:tc>
      </w:tr>
      <w:tr>
        <w:trPr>
          <w:trHeight w:val="230"/>
        </w:trPr>
        <w:tc>
          <w:tcPr>
            <w:tcW w:w="1220" w:type="dxa"/>
            <w:vAlign w:val="bottom"/>
          </w:tcPr>
          <w:p>
            <w:pPr>
              <w:spacing w:after="0"/>
              <w:rPr>
                <w:sz w:val="20"/>
                <w:szCs w:val="20"/>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(effective as of January 1, 2011)</w:t>
            </w:r>
          </w:p>
        </w:tc>
      </w:tr>
      <w:tr>
        <w:trPr>
          <w:trHeight w:val="391"/>
        </w:trPr>
        <w:tc>
          <w:tcPr>
            <w:tcW w:w="1220" w:type="dxa"/>
            <w:vAlign w:val="bottom"/>
          </w:tcPr>
          <w:p>
            <w:pPr>
              <w:ind w:left="40"/>
              <w:spacing w:after="0"/>
              <w:rPr>
                <w:sz w:val="20"/>
                <w:szCs w:val="20"/>
                <w:color w:val="auto"/>
              </w:rPr>
            </w:pPr>
            <w:r>
              <w:rPr>
                <w:rFonts w:ascii="Arial" w:cs="Arial" w:eastAsia="Arial" w:hAnsi="Arial"/>
                <w:sz w:val="18"/>
                <w:szCs w:val="18"/>
                <w:color w:val="auto"/>
              </w:rPr>
              <w:t>10.8(a)(iii)†</w:t>
            </w:r>
          </w:p>
        </w:tc>
        <w:tc>
          <w:tcPr>
            <w:tcW w:w="5140" w:type="dxa"/>
            <w:vAlign w:val="bottom"/>
          </w:tcPr>
          <w:p>
            <w:pPr>
              <w:ind w:left="300"/>
              <w:spacing w:after="0"/>
              <w:rPr>
                <w:sz w:val="20"/>
                <w:szCs w:val="20"/>
                <w:color w:val="auto"/>
              </w:rPr>
            </w:pPr>
            <w:r>
              <w:rPr>
                <w:rFonts w:ascii="Arial" w:cs="Arial" w:eastAsia="Arial" w:hAnsi="Arial"/>
                <w:sz w:val="18"/>
                <w:szCs w:val="18"/>
                <w:color w:val="auto"/>
              </w:rPr>
              <w:t>Second Amendment to The Scotts Company LLC Executive</w:t>
            </w:r>
          </w:p>
        </w:tc>
      </w:tr>
      <w:tr>
        <w:trPr>
          <w:trHeight w:val="216"/>
        </w:trPr>
        <w:tc>
          <w:tcPr>
            <w:tcW w:w="122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0"/>
              </w:rPr>
              <w:t>Retirement Plan, as Amended and Restated as of January 1, 2011</w:t>
            </w:r>
          </w:p>
        </w:tc>
      </w:tr>
      <w:tr>
        <w:trPr>
          <w:trHeight w:val="230"/>
        </w:trPr>
        <w:tc>
          <w:tcPr>
            <w:tcW w:w="1220" w:type="dxa"/>
            <w:vAlign w:val="bottom"/>
          </w:tcPr>
          <w:p>
            <w:pPr>
              <w:spacing w:after="0"/>
              <w:rPr>
                <w:sz w:val="20"/>
                <w:szCs w:val="20"/>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(effective as of January 1, 2012)</w:t>
            </w:r>
          </w:p>
        </w:tc>
      </w:tr>
      <w:tr>
        <w:trPr>
          <w:trHeight w:val="391"/>
        </w:trPr>
        <w:tc>
          <w:tcPr>
            <w:tcW w:w="1220" w:type="dxa"/>
            <w:vAlign w:val="bottom"/>
          </w:tcPr>
          <w:p>
            <w:pPr>
              <w:ind w:left="40"/>
              <w:spacing w:after="0"/>
              <w:rPr>
                <w:sz w:val="20"/>
                <w:szCs w:val="20"/>
                <w:color w:val="auto"/>
              </w:rPr>
            </w:pPr>
            <w:r>
              <w:rPr>
                <w:rFonts w:ascii="Arial" w:cs="Arial" w:eastAsia="Arial" w:hAnsi="Arial"/>
                <w:sz w:val="18"/>
                <w:szCs w:val="18"/>
                <w:color w:val="auto"/>
              </w:rPr>
              <w:t>10.8(a)(iv)†</w:t>
            </w:r>
          </w:p>
        </w:tc>
        <w:tc>
          <w:tcPr>
            <w:tcW w:w="5140" w:type="dxa"/>
            <w:vAlign w:val="bottom"/>
          </w:tcPr>
          <w:p>
            <w:pPr>
              <w:ind w:left="300"/>
              <w:spacing w:after="0"/>
              <w:rPr>
                <w:sz w:val="20"/>
                <w:szCs w:val="20"/>
                <w:color w:val="auto"/>
              </w:rPr>
            </w:pPr>
            <w:r>
              <w:rPr>
                <w:rFonts w:ascii="Arial" w:cs="Arial" w:eastAsia="Arial" w:hAnsi="Arial"/>
                <w:sz w:val="18"/>
                <w:szCs w:val="18"/>
                <w:color w:val="auto"/>
                <w:w w:val="97"/>
              </w:rPr>
              <w:t>Third  Amendment  to  The  Scotts  Company  LLC  Executive</w:t>
            </w:r>
          </w:p>
        </w:tc>
      </w:tr>
      <w:tr>
        <w:trPr>
          <w:trHeight w:val="216"/>
        </w:trPr>
        <w:tc>
          <w:tcPr>
            <w:tcW w:w="122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0"/>
              </w:rPr>
              <w:t>Retirement Plan, as Amended and Restated as of January 1, 2011</w:t>
            </w:r>
          </w:p>
        </w:tc>
      </w:tr>
      <w:tr>
        <w:trPr>
          <w:trHeight w:val="230"/>
        </w:trPr>
        <w:tc>
          <w:tcPr>
            <w:tcW w:w="1220" w:type="dxa"/>
            <w:vAlign w:val="bottom"/>
          </w:tcPr>
          <w:p>
            <w:pPr>
              <w:spacing w:after="0"/>
              <w:rPr>
                <w:sz w:val="20"/>
                <w:szCs w:val="20"/>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(effective as of January 1, 2013)</w:t>
            </w:r>
          </w:p>
        </w:tc>
      </w:tr>
      <w:tr>
        <w:trPr>
          <w:trHeight w:val="391"/>
        </w:trPr>
        <w:tc>
          <w:tcPr>
            <w:tcW w:w="1220" w:type="dxa"/>
            <w:vAlign w:val="bottom"/>
          </w:tcPr>
          <w:p>
            <w:pPr>
              <w:spacing w:after="0"/>
              <w:rPr>
                <w:sz w:val="20"/>
                <w:szCs w:val="20"/>
                <w:color w:val="auto"/>
              </w:rPr>
            </w:pPr>
            <w:r>
              <w:rPr>
                <w:rFonts w:ascii="Arial" w:cs="Arial" w:eastAsia="Arial" w:hAnsi="Arial"/>
                <w:sz w:val="18"/>
                <w:szCs w:val="18"/>
                <w:color w:val="auto"/>
              </w:rPr>
              <w:t>10.8(b)†</w:t>
            </w:r>
          </w:p>
        </w:tc>
        <w:tc>
          <w:tcPr>
            <w:tcW w:w="5140" w:type="dxa"/>
            <w:vAlign w:val="bottom"/>
          </w:tcPr>
          <w:p>
            <w:pPr>
              <w:ind w:left="300"/>
              <w:spacing w:after="0"/>
              <w:rPr>
                <w:sz w:val="20"/>
                <w:szCs w:val="20"/>
                <w:color w:val="auto"/>
              </w:rPr>
            </w:pPr>
            <w:r>
              <w:rPr>
                <w:rFonts w:ascii="Arial" w:cs="Arial" w:eastAsia="Arial" w:hAnsi="Arial"/>
                <w:sz w:val="18"/>
                <w:szCs w:val="18"/>
                <w:color w:val="auto"/>
                <w:w w:val="94"/>
              </w:rPr>
              <w:t>Form of Executive Retirement Plan Retention Award Agreement</w:t>
            </w:r>
          </w:p>
        </w:tc>
      </w:tr>
      <w:tr>
        <w:trPr>
          <w:trHeight w:val="216"/>
        </w:trPr>
        <w:tc>
          <w:tcPr>
            <w:tcW w:w="122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4"/>
              </w:rPr>
              <w:t>between The Scotts Company LLC and each of David C. Evans,</w:t>
            </w:r>
          </w:p>
        </w:tc>
      </w:tr>
      <w:tr>
        <w:trPr>
          <w:trHeight w:val="216"/>
        </w:trPr>
        <w:tc>
          <w:tcPr>
            <w:tcW w:w="122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7"/>
              </w:rPr>
              <w:t>Barry W. Sanders, Denise S. Stump, Michael C. Lukemire and</w:t>
            </w:r>
          </w:p>
        </w:tc>
      </w:tr>
      <w:tr>
        <w:trPr>
          <w:trHeight w:val="230"/>
        </w:trPr>
        <w:tc>
          <w:tcPr>
            <w:tcW w:w="1220" w:type="dxa"/>
            <w:vAlign w:val="bottom"/>
          </w:tcPr>
          <w:p>
            <w:pPr>
              <w:spacing w:after="0"/>
              <w:rPr>
                <w:sz w:val="20"/>
                <w:szCs w:val="20"/>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Vincent C. Brockman (entered into on November 4, 2008)</w:t>
            </w:r>
          </w:p>
        </w:tc>
      </w:tr>
      <w:tr>
        <w:trPr>
          <w:trHeight w:val="377"/>
        </w:trPr>
        <w:tc>
          <w:tcPr>
            <w:tcW w:w="1220" w:type="dxa"/>
            <w:vAlign w:val="bottom"/>
          </w:tcPr>
          <w:p>
            <w:pPr>
              <w:ind w:left="40"/>
              <w:spacing w:after="0"/>
              <w:rPr>
                <w:sz w:val="20"/>
                <w:szCs w:val="20"/>
                <w:color w:val="auto"/>
              </w:rPr>
            </w:pPr>
            <w:r>
              <w:rPr>
                <w:rFonts w:ascii="Arial" w:cs="Arial" w:eastAsia="Arial" w:hAnsi="Arial"/>
                <w:sz w:val="18"/>
                <w:szCs w:val="18"/>
                <w:color w:val="auto"/>
              </w:rPr>
              <w:t>10.9</w:t>
            </w:r>
          </w:p>
        </w:tc>
        <w:tc>
          <w:tcPr>
            <w:tcW w:w="5140" w:type="dxa"/>
            <w:vAlign w:val="bottom"/>
          </w:tcPr>
          <w:p>
            <w:pPr>
              <w:ind w:left="300"/>
              <w:spacing w:after="0"/>
              <w:rPr>
                <w:sz w:val="20"/>
                <w:szCs w:val="20"/>
                <w:color w:val="auto"/>
              </w:rPr>
            </w:pPr>
            <w:r>
              <w:rPr>
                <w:rFonts w:ascii="Arial" w:cs="Arial" w:eastAsia="Arial" w:hAnsi="Arial"/>
                <w:sz w:val="18"/>
                <w:szCs w:val="18"/>
                <w:color w:val="auto"/>
                <w:w w:val="97"/>
              </w:rPr>
              <w:t>Summary of Compensation for Nonemployee Directors of The</w:t>
            </w:r>
          </w:p>
        </w:tc>
      </w:tr>
      <w:tr>
        <w:trPr>
          <w:trHeight w:val="230"/>
        </w:trPr>
        <w:tc>
          <w:tcPr>
            <w:tcW w:w="1220" w:type="dxa"/>
            <w:vAlign w:val="bottom"/>
          </w:tcPr>
          <w:p>
            <w:pPr>
              <w:spacing w:after="0"/>
              <w:rPr>
                <w:sz w:val="20"/>
                <w:szCs w:val="20"/>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5"/>
              </w:rPr>
              <w:t>Scotts Miracle-Gro Company (effective as of January 22, 2010)</w:t>
            </w:r>
          </w:p>
        </w:tc>
      </w:tr>
      <w:tr>
        <w:trPr>
          <w:trHeight w:val="593"/>
        </w:trPr>
        <w:tc>
          <w:tcPr>
            <w:tcW w:w="1220" w:type="dxa"/>
            <w:vAlign w:val="bottom"/>
          </w:tcPr>
          <w:p>
            <w:pPr>
              <w:spacing w:after="0"/>
              <w:rPr>
                <w:sz w:val="20"/>
                <w:szCs w:val="20"/>
                <w:color w:val="auto"/>
              </w:rPr>
            </w:pPr>
            <w:r>
              <w:rPr>
                <w:rFonts w:ascii="Arial" w:cs="Arial" w:eastAsia="Arial" w:hAnsi="Arial"/>
                <w:sz w:val="18"/>
                <w:szCs w:val="18"/>
                <w:color w:val="auto"/>
              </w:rPr>
              <w:t>10.10(a)†</w:t>
            </w:r>
          </w:p>
        </w:tc>
        <w:tc>
          <w:tcPr>
            <w:tcW w:w="5140" w:type="dxa"/>
            <w:vAlign w:val="bottom"/>
          </w:tcPr>
          <w:p>
            <w:pPr>
              <w:ind w:left="300"/>
              <w:spacing w:after="0"/>
              <w:rPr>
                <w:sz w:val="20"/>
                <w:szCs w:val="20"/>
                <w:color w:val="auto"/>
              </w:rPr>
            </w:pPr>
            <w:r>
              <w:rPr>
                <w:rFonts w:ascii="Arial" w:cs="Arial" w:eastAsia="Arial" w:hAnsi="Arial"/>
                <w:sz w:val="18"/>
                <w:szCs w:val="18"/>
                <w:color w:val="auto"/>
                <w:w w:val="92"/>
              </w:rPr>
              <w:t>Employment Agreement, dated as of May 19, 1995, between The</w:t>
            </w:r>
          </w:p>
        </w:tc>
      </w:tr>
      <w:tr>
        <w:trPr>
          <w:trHeight w:val="230"/>
        </w:trPr>
        <w:tc>
          <w:tcPr>
            <w:tcW w:w="1220" w:type="dxa"/>
            <w:vAlign w:val="bottom"/>
          </w:tcPr>
          <w:p>
            <w:pPr>
              <w:spacing w:after="0"/>
              <w:rPr>
                <w:sz w:val="20"/>
                <w:szCs w:val="20"/>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Scotts Company and James Hagedorn</w:t>
            </w:r>
          </w:p>
        </w:tc>
      </w:tr>
      <w:tr>
        <w:trPr>
          <w:trHeight w:val="593"/>
        </w:trPr>
        <w:tc>
          <w:tcPr>
            <w:tcW w:w="1220" w:type="dxa"/>
            <w:vAlign w:val="bottom"/>
          </w:tcPr>
          <w:p>
            <w:pPr>
              <w:spacing w:after="0"/>
              <w:rPr>
                <w:sz w:val="20"/>
                <w:szCs w:val="20"/>
                <w:color w:val="auto"/>
              </w:rPr>
            </w:pPr>
            <w:r>
              <w:rPr>
                <w:rFonts w:ascii="Arial" w:cs="Arial" w:eastAsia="Arial" w:hAnsi="Arial"/>
                <w:sz w:val="18"/>
                <w:szCs w:val="18"/>
                <w:color w:val="auto"/>
              </w:rPr>
              <w:t>10.10(b)†</w:t>
            </w:r>
          </w:p>
        </w:tc>
        <w:tc>
          <w:tcPr>
            <w:tcW w:w="5140" w:type="dxa"/>
            <w:vAlign w:val="bottom"/>
          </w:tcPr>
          <w:p>
            <w:pPr>
              <w:ind w:left="300"/>
              <w:spacing w:after="0"/>
              <w:rPr>
                <w:sz w:val="20"/>
                <w:szCs w:val="20"/>
                <w:color w:val="auto"/>
              </w:rPr>
            </w:pPr>
            <w:r>
              <w:rPr>
                <w:rFonts w:ascii="Arial" w:cs="Arial" w:eastAsia="Arial" w:hAnsi="Arial"/>
                <w:sz w:val="18"/>
                <w:szCs w:val="18"/>
                <w:color w:val="auto"/>
                <w:w w:val="90"/>
              </w:rPr>
              <w:t>Amendments to Employment Agreement by and among The Scotts</w:t>
            </w:r>
          </w:p>
        </w:tc>
      </w:tr>
      <w:tr>
        <w:trPr>
          <w:trHeight w:val="216"/>
        </w:trPr>
        <w:tc>
          <w:tcPr>
            <w:tcW w:w="122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9"/>
              </w:rPr>
              <w:t>Miracle-Gro Company, The Scotts Company LLC and James</w:t>
            </w:r>
          </w:p>
        </w:tc>
      </w:tr>
      <w:tr>
        <w:trPr>
          <w:trHeight w:val="216"/>
        </w:trPr>
        <w:tc>
          <w:tcPr>
            <w:tcW w:w="122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9"/>
              </w:rPr>
              <w:t>Hagedorn,  effective  as  of  October  1,  2008  (executed  by</w:t>
            </w:r>
          </w:p>
        </w:tc>
      </w:tr>
      <w:tr>
        <w:trPr>
          <w:trHeight w:val="216"/>
        </w:trPr>
        <w:tc>
          <w:tcPr>
            <w:tcW w:w="122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2"/>
              </w:rPr>
              <w:t>Mr. Hagedorn on December 22, 2008 and on behalf of The Scotts</w:t>
            </w:r>
          </w:p>
        </w:tc>
      </w:tr>
      <w:tr>
        <w:trPr>
          <w:trHeight w:val="216"/>
        </w:trPr>
        <w:tc>
          <w:tcPr>
            <w:tcW w:w="122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5"/>
              </w:rPr>
              <w:t>Miracle-Gro Company and The Scotts Company LLC by Denise</w:t>
            </w:r>
          </w:p>
        </w:tc>
      </w:tr>
      <w:tr>
        <w:trPr>
          <w:trHeight w:val="216"/>
        </w:trPr>
        <w:tc>
          <w:tcPr>
            <w:tcW w:w="122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Stump on December 22, 2008 and Vincent C. Brockman on</w:t>
            </w:r>
          </w:p>
        </w:tc>
      </w:tr>
      <w:tr>
        <w:trPr>
          <w:trHeight w:val="230"/>
        </w:trPr>
        <w:tc>
          <w:tcPr>
            <w:tcW w:w="1220" w:type="dxa"/>
            <w:vAlign w:val="bottom"/>
          </w:tcPr>
          <w:p>
            <w:pPr>
              <w:spacing w:after="0"/>
              <w:rPr>
                <w:sz w:val="20"/>
                <w:szCs w:val="20"/>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December 30, 2008)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July 1, 2006 (File No. 1-11593) [Exhibit 10.1]</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January 1, 2011 (File No. 1-11593) [Exhibit 10.3]</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29, 2012 (File No. 1-11593) [Exhibit 10.8]</w:t>
      </w:r>
    </w:p>
    <w:p>
      <w:pPr>
        <w:spacing w:after="0" w:line="15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29, 2012 (File No. 1-11593) [Exhibit 10.9]</w:t>
      </w:r>
    </w:p>
    <w:p>
      <w:pPr>
        <w:spacing w:after="0" w:line="15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Incorporated herein by reference to the Registrant's Quarterly Report on Form 10-Q for the quarterly period ended December 29, 2012 (File No. 1-11593) [Exhibit 10.10]</w:t>
      </w:r>
    </w:p>
    <w:p>
      <w:pPr>
        <w:spacing w:after="0" w:line="13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October 15, 2008 (File No. 1-11593) [Exhibit 10.2]</w:t>
      </w:r>
    </w:p>
    <w:p>
      <w:pPr>
        <w:spacing w:after="0" w:line="3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April 3, 2010 (File No. 1-11593) [Exhibit 10.7]</w:t>
      </w:r>
    </w:p>
    <w:p>
      <w:pPr>
        <w:spacing w:after="0" w:line="14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Incorporated herein by reference to the Annual Report on Form 10-K of The Scotts Company, an Ohio corporation, for the fiscal year ended September 30, 1995 (File No. 1-11593) [Exhibit 10(p)]</w:t>
      </w:r>
    </w:p>
    <w:p>
      <w:pPr>
        <w:spacing w:after="0" w:line="1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27, 2008 (File No. 1-11593) [Exhibit 10.16]</w:t>
      </w:r>
    </w:p>
    <w:p>
      <w:pPr>
        <w:spacing w:after="0" w:line="1004" w:lineRule="exact"/>
        <w:rPr>
          <w:sz w:val="20"/>
          <w:szCs w:val="20"/>
          <w:color w:val="auto"/>
        </w:rPr>
      </w:pPr>
    </w:p>
    <w:p>
      <w:pPr>
        <w:sectPr>
          <w:pgSz w:w="11900" w:h="16838" w:orient="portrait"/>
          <w:cols w:equalWidth="0" w:num="2">
            <w:col w:w="6360" w:space="200"/>
            <w:col w:w="4840"/>
          </w:cols>
          <w:pgMar w:left="240" w:top="122"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10.10(c)†</w:t>
            </w:r>
          </w:p>
        </w:tc>
        <w:tc>
          <w:tcPr>
            <w:tcW w:w="5240" w:type="dxa"/>
            <w:vAlign w:val="bottom"/>
          </w:tcPr>
          <w:p>
            <w:pPr>
              <w:ind w:left="400"/>
              <w:spacing w:after="0"/>
              <w:rPr>
                <w:sz w:val="20"/>
                <w:szCs w:val="20"/>
                <w:color w:val="auto"/>
              </w:rPr>
            </w:pPr>
            <w:r>
              <w:rPr>
                <w:rFonts w:ascii="Arial" w:cs="Arial" w:eastAsia="Arial" w:hAnsi="Arial"/>
                <w:sz w:val="18"/>
                <w:szCs w:val="18"/>
                <w:color w:val="auto"/>
                <w:w w:val="90"/>
              </w:rPr>
              <w:t>Separation Agreement and Release of All Claims, entered into and</w:t>
            </w:r>
          </w:p>
        </w:tc>
      </w:tr>
      <w:tr>
        <w:trPr>
          <w:trHeight w:val="216"/>
        </w:trPr>
        <w:tc>
          <w:tcPr>
            <w:tcW w:w="108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90"/>
              </w:rPr>
              <w:t>effective as of July 10, 2013, by and between The Scotts Company</w:t>
            </w:r>
          </w:p>
        </w:tc>
      </w:tr>
      <w:tr>
        <w:trPr>
          <w:trHeight w:val="230"/>
        </w:trPr>
        <w:tc>
          <w:tcPr>
            <w:tcW w:w="108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LLC and Vincent C. Brockman</w:t>
            </w:r>
          </w:p>
        </w:tc>
      </w:tr>
      <w:tr>
        <w:trPr>
          <w:trHeight w:val="391"/>
        </w:trPr>
        <w:tc>
          <w:tcPr>
            <w:tcW w:w="1080" w:type="dxa"/>
            <w:vAlign w:val="bottom"/>
          </w:tcPr>
          <w:p>
            <w:pPr>
              <w:spacing w:after="0"/>
              <w:rPr>
                <w:sz w:val="20"/>
                <w:szCs w:val="20"/>
                <w:color w:val="auto"/>
              </w:rPr>
            </w:pPr>
            <w:r>
              <w:rPr>
                <w:rFonts w:ascii="Arial" w:cs="Arial" w:eastAsia="Arial" w:hAnsi="Arial"/>
                <w:sz w:val="18"/>
                <w:szCs w:val="18"/>
                <w:color w:val="auto"/>
              </w:rPr>
              <w:t>10.10(d)</w:t>
            </w:r>
          </w:p>
        </w:tc>
        <w:tc>
          <w:tcPr>
            <w:tcW w:w="5240" w:type="dxa"/>
            <w:vAlign w:val="bottom"/>
          </w:tcPr>
          <w:p>
            <w:pPr>
              <w:ind w:left="400"/>
              <w:spacing w:after="0"/>
              <w:rPr>
                <w:sz w:val="20"/>
                <w:szCs w:val="20"/>
                <w:color w:val="auto"/>
              </w:rPr>
            </w:pPr>
            <w:r>
              <w:rPr>
                <w:rFonts w:ascii="Arial" w:cs="Arial" w:eastAsia="Arial" w:hAnsi="Arial"/>
                <w:sz w:val="18"/>
                <w:szCs w:val="18"/>
                <w:color w:val="auto"/>
                <w:w w:val="97"/>
              </w:rPr>
              <w:t>Consulting Agreement, dated as of May 9, 2013, between The</w:t>
            </w:r>
          </w:p>
        </w:tc>
      </w:tr>
      <w:tr>
        <w:trPr>
          <w:trHeight w:val="230"/>
        </w:trPr>
        <w:tc>
          <w:tcPr>
            <w:tcW w:w="108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Scotts Miracle-Gro Company and Dr. Michael Porter</w:t>
            </w:r>
          </w:p>
        </w:tc>
      </w:tr>
      <w:tr>
        <w:trPr>
          <w:trHeight w:val="837"/>
        </w:trPr>
        <w:tc>
          <w:tcPr>
            <w:tcW w:w="1080" w:type="dxa"/>
            <w:vAlign w:val="bottom"/>
          </w:tcPr>
          <w:p>
            <w:pPr>
              <w:spacing w:after="0"/>
              <w:rPr>
                <w:sz w:val="24"/>
                <w:szCs w:val="24"/>
                <w:color w:val="auto"/>
              </w:rPr>
            </w:pPr>
          </w:p>
        </w:tc>
        <w:tc>
          <w:tcPr>
            <w:tcW w:w="5240" w:type="dxa"/>
            <w:vAlign w:val="bottom"/>
          </w:tcPr>
          <w:p>
            <w:pPr>
              <w:ind w:left="4460"/>
              <w:spacing w:after="0"/>
              <w:rPr>
                <w:sz w:val="20"/>
                <w:szCs w:val="20"/>
                <w:color w:val="auto"/>
              </w:rPr>
            </w:pPr>
            <w:r>
              <w:rPr>
                <w:rFonts w:ascii="Arial" w:cs="Arial" w:eastAsia="Arial" w:hAnsi="Arial"/>
                <w:sz w:val="18"/>
                <w:szCs w:val="18"/>
                <w:color w:val="auto"/>
              </w:rPr>
              <w:t>116</w:t>
            </w:r>
          </w:p>
        </w:tc>
      </w:tr>
    </w:tbl>
    <w:p>
      <w:pPr>
        <w:spacing w:after="0" w:line="20" w:lineRule="exact"/>
        <w:rPr>
          <w:sz w:val="20"/>
          <w:szCs w:val="20"/>
          <w:color w:val="auto"/>
        </w:rPr>
      </w:pPr>
      <w:r>
        <w:rPr>
          <w:sz w:val="20"/>
          <w:szCs w:val="20"/>
          <w:color w:val="auto"/>
        </w:rPr>
        <w:br w:type="column"/>
      </w:r>
    </w:p>
    <w:p>
      <w:pPr>
        <w:jc w:val="both"/>
        <w:spacing w:after="0" w:line="342" w:lineRule="auto"/>
        <w:rPr>
          <w:sz w:val="20"/>
          <w:szCs w:val="20"/>
          <w:color w:val="auto"/>
        </w:rPr>
      </w:pPr>
      <w:r>
        <w:rPr>
          <w:rFonts w:ascii="Arial" w:cs="Arial" w:eastAsia="Arial" w:hAnsi="Arial"/>
          <w:sz w:val="16"/>
          <w:szCs w:val="16"/>
          <w:color w:val="auto"/>
        </w:rPr>
        <w:t>Incorporated herein by reference to the Registrant's Current Report on Form 8-K filed July 11, 2013 (File No. 1-11593) [Exhibit 10.1]</w:t>
      </w:r>
    </w:p>
    <w:p>
      <w:pPr>
        <w:spacing w:after="0" w:line="31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June 29, 2013 (File No. 1-11593) [Exhibit 10.3]</w:t>
      </w:r>
    </w:p>
    <w:p>
      <w:pPr>
        <w:sectPr>
          <w:pgSz w:w="11900" w:h="16838" w:orient="portrait"/>
          <w:cols w:equalWidth="0" w:num="2">
            <w:col w:w="6360" w:space="200"/>
            <w:col w:w="4840"/>
          </w:cols>
          <w:pgMar w:left="240" w:top="122" w:right="259" w:bottom="1440" w:gutter="0" w:footer="0" w:header="0"/>
          <w:type w:val="continuous"/>
        </w:sectPr>
      </w:pPr>
    </w:p>
    <w:bookmarkStart w:id="116" w:name="page117"/>
    <w:bookmarkEnd w:id="116"/>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10.11(a)†</w:t>
            </w:r>
          </w:p>
        </w:tc>
        <w:tc>
          <w:tcPr>
            <w:tcW w:w="5340" w:type="dxa"/>
            <w:vAlign w:val="bottom"/>
          </w:tcPr>
          <w:p>
            <w:pPr>
              <w:ind w:left="400"/>
              <w:spacing w:after="0"/>
              <w:rPr>
                <w:sz w:val="20"/>
                <w:szCs w:val="20"/>
                <w:color w:val="auto"/>
              </w:rPr>
            </w:pPr>
            <w:r>
              <w:rPr>
                <w:rFonts w:ascii="Arial" w:cs="Arial" w:eastAsia="Arial" w:hAnsi="Arial"/>
                <w:sz w:val="18"/>
                <w:szCs w:val="18"/>
                <w:color w:val="auto"/>
                <w:w w:val="94"/>
              </w:rPr>
              <w:t>The Scotts Company LLC Executive Severance Plan, adopted on</w:t>
            </w:r>
          </w:p>
        </w:tc>
        <w:tc>
          <w:tcPr>
            <w:tcW w:w="4920" w:type="dxa"/>
            <w:vAlign w:val="bottom"/>
          </w:tcPr>
          <w:p>
            <w:pPr>
              <w:ind w:left="80"/>
              <w:spacing w:after="0"/>
              <w:rPr>
                <w:sz w:val="20"/>
                <w:szCs w:val="20"/>
                <w:color w:val="auto"/>
              </w:rPr>
            </w:pPr>
            <w:r>
              <w:rPr>
                <w:rFonts w:ascii="Arial" w:cs="Arial" w:eastAsia="Arial" w:hAnsi="Arial"/>
                <w:sz w:val="18"/>
                <w:szCs w:val="18"/>
                <w:color w:val="auto"/>
                <w:w w:val="90"/>
              </w:rPr>
              <w:t>Incorporated herein by reference to the Registrant’s Current Report</w:t>
            </w:r>
          </w:p>
        </w:tc>
      </w:tr>
      <w:tr>
        <w:trPr>
          <w:trHeight w:val="230"/>
        </w:trPr>
        <w:tc>
          <w:tcPr>
            <w:tcW w:w="1120" w:type="dxa"/>
            <w:vAlign w:val="bottom"/>
          </w:tcPr>
          <w:p>
            <w:pPr>
              <w:spacing w:after="0"/>
              <w:rPr>
                <w:sz w:val="20"/>
                <w:szCs w:val="20"/>
                <w:color w:val="auto"/>
              </w:rPr>
            </w:pPr>
          </w:p>
        </w:tc>
        <w:tc>
          <w:tcPr>
            <w:tcW w:w="5340" w:type="dxa"/>
            <w:vAlign w:val="bottom"/>
          </w:tcPr>
          <w:p>
            <w:pPr>
              <w:ind w:left="400"/>
              <w:spacing w:after="0"/>
              <w:rPr>
                <w:sz w:val="20"/>
                <w:szCs w:val="20"/>
                <w:color w:val="auto"/>
              </w:rPr>
            </w:pPr>
            <w:r>
              <w:rPr>
                <w:rFonts w:ascii="Arial" w:cs="Arial" w:eastAsia="Arial" w:hAnsi="Arial"/>
                <w:sz w:val="18"/>
                <w:szCs w:val="18"/>
                <w:color w:val="auto"/>
              </w:rPr>
              <w:t>May 4, 2011</w:t>
            </w:r>
          </w:p>
        </w:tc>
        <w:tc>
          <w:tcPr>
            <w:tcW w:w="4920" w:type="dxa"/>
            <w:vAlign w:val="bottom"/>
          </w:tcPr>
          <w:p>
            <w:pPr>
              <w:ind w:left="80"/>
              <w:spacing w:after="0"/>
              <w:rPr>
                <w:sz w:val="20"/>
                <w:szCs w:val="20"/>
                <w:color w:val="auto"/>
              </w:rPr>
            </w:pPr>
            <w:r>
              <w:rPr>
                <w:rFonts w:ascii="Arial" w:cs="Arial" w:eastAsia="Arial" w:hAnsi="Arial"/>
                <w:sz w:val="18"/>
                <w:szCs w:val="18"/>
                <w:color w:val="auto"/>
                <w:w w:val="94"/>
              </w:rPr>
              <w:t>on Form 8-K filed May 10, 2011 (File No. 1-11593) [Exhibit 10.1]</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10.11(b)†</w:t>
            </w:r>
          </w:p>
        </w:tc>
        <w:tc>
          <w:tcPr>
            <w:tcW w:w="5340" w:type="dxa"/>
            <w:vAlign w:val="bottom"/>
          </w:tcPr>
          <w:p>
            <w:pPr>
              <w:ind w:left="400"/>
              <w:spacing w:after="0"/>
              <w:rPr>
                <w:sz w:val="20"/>
                <w:szCs w:val="20"/>
                <w:color w:val="auto"/>
              </w:rPr>
            </w:pPr>
            <w:r>
              <w:rPr>
                <w:rFonts w:ascii="Arial" w:cs="Arial" w:eastAsia="Arial" w:hAnsi="Arial"/>
                <w:sz w:val="18"/>
                <w:szCs w:val="18"/>
                <w:color w:val="auto"/>
                <w:w w:val="99"/>
              </w:rPr>
              <w:t>Form  of  Tier  1  Participation  Agreement  under  The  Scotts</w:t>
            </w:r>
          </w:p>
        </w:tc>
        <w:tc>
          <w:tcPr>
            <w:tcW w:w="4920" w:type="dxa"/>
            <w:vAlign w:val="bottom"/>
          </w:tcPr>
          <w:p>
            <w:pPr>
              <w:ind w:left="80"/>
              <w:spacing w:after="0"/>
              <w:rPr>
                <w:sz w:val="20"/>
                <w:szCs w:val="20"/>
                <w:color w:val="auto"/>
              </w:rPr>
            </w:pPr>
            <w:r>
              <w:rPr>
                <w:rFonts w:ascii="Arial" w:cs="Arial" w:eastAsia="Arial" w:hAnsi="Arial"/>
                <w:sz w:val="18"/>
                <w:szCs w:val="18"/>
                <w:color w:val="auto"/>
                <w:w w:val="90"/>
              </w:rPr>
              <w:t>Incorporated herein by reference to the Registrant’s Current Report</w:t>
            </w:r>
          </w:p>
        </w:tc>
      </w:tr>
      <w:tr>
        <w:trPr>
          <w:trHeight w:val="230"/>
        </w:trPr>
        <w:tc>
          <w:tcPr>
            <w:tcW w:w="1120" w:type="dxa"/>
            <w:vAlign w:val="bottom"/>
          </w:tcPr>
          <w:p>
            <w:pPr>
              <w:spacing w:after="0"/>
              <w:rPr>
                <w:sz w:val="20"/>
                <w:szCs w:val="20"/>
                <w:color w:val="auto"/>
              </w:rPr>
            </w:pPr>
          </w:p>
        </w:tc>
        <w:tc>
          <w:tcPr>
            <w:tcW w:w="5340" w:type="dxa"/>
            <w:vAlign w:val="bottom"/>
          </w:tcPr>
          <w:p>
            <w:pPr>
              <w:ind w:left="400"/>
              <w:spacing w:after="0"/>
              <w:rPr>
                <w:sz w:val="20"/>
                <w:szCs w:val="20"/>
                <w:color w:val="auto"/>
              </w:rPr>
            </w:pPr>
            <w:r>
              <w:rPr>
                <w:rFonts w:ascii="Arial" w:cs="Arial" w:eastAsia="Arial" w:hAnsi="Arial"/>
                <w:sz w:val="18"/>
                <w:szCs w:val="18"/>
                <w:color w:val="auto"/>
              </w:rPr>
              <w:t>Company LLC Executive Severance Plan</w:t>
            </w:r>
          </w:p>
        </w:tc>
        <w:tc>
          <w:tcPr>
            <w:tcW w:w="4920" w:type="dxa"/>
            <w:vAlign w:val="bottom"/>
          </w:tcPr>
          <w:p>
            <w:pPr>
              <w:ind w:left="80"/>
              <w:spacing w:after="0"/>
              <w:rPr>
                <w:sz w:val="20"/>
                <w:szCs w:val="20"/>
                <w:color w:val="auto"/>
              </w:rPr>
            </w:pPr>
            <w:r>
              <w:rPr>
                <w:rFonts w:ascii="Arial" w:cs="Arial" w:eastAsia="Arial" w:hAnsi="Arial"/>
                <w:sz w:val="18"/>
                <w:szCs w:val="18"/>
                <w:color w:val="auto"/>
                <w:w w:val="94"/>
              </w:rPr>
              <w:t>on Form 8-K filed May 10, 2011 (File No. 1-11593) [Exhibit 10.2]</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10.11(c)†</w:t>
            </w:r>
          </w:p>
        </w:tc>
        <w:tc>
          <w:tcPr>
            <w:tcW w:w="5340" w:type="dxa"/>
            <w:vAlign w:val="bottom"/>
          </w:tcPr>
          <w:p>
            <w:pPr>
              <w:ind w:left="400"/>
              <w:spacing w:after="0"/>
              <w:rPr>
                <w:sz w:val="20"/>
                <w:szCs w:val="20"/>
                <w:color w:val="auto"/>
              </w:rPr>
            </w:pPr>
            <w:r>
              <w:rPr>
                <w:rFonts w:ascii="Arial" w:cs="Arial" w:eastAsia="Arial" w:hAnsi="Arial"/>
                <w:sz w:val="18"/>
                <w:szCs w:val="18"/>
                <w:color w:val="auto"/>
                <w:w w:val="97"/>
              </w:rPr>
              <w:t>Executive Officers of The Scotts Miracle-Gro Company who are</w:t>
            </w:r>
          </w:p>
        </w:tc>
        <w:tc>
          <w:tcPr>
            <w:tcW w:w="492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5340" w:type="dxa"/>
            <w:vAlign w:val="bottom"/>
          </w:tcPr>
          <w:p>
            <w:pPr>
              <w:ind w:left="400"/>
              <w:spacing w:after="0"/>
              <w:rPr>
                <w:sz w:val="20"/>
                <w:szCs w:val="20"/>
                <w:color w:val="auto"/>
              </w:rPr>
            </w:pPr>
            <w:r>
              <w:rPr>
                <w:rFonts w:ascii="Arial" w:cs="Arial" w:eastAsia="Arial" w:hAnsi="Arial"/>
                <w:sz w:val="18"/>
                <w:szCs w:val="18"/>
                <w:color w:val="auto"/>
                <w:w w:val="93"/>
              </w:rPr>
              <w:t>parties to form of Tier 1 Participation Agreement under The Scotts</w:t>
            </w:r>
          </w:p>
        </w:tc>
        <w:tc>
          <w:tcPr>
            <w:tcW w:w="492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5340" w:type="dxa"/>
            <w:vAlign w:val="bottom"/>
          </w:tcPr>
          <w:p>
            <w:pPr>
              <w:ind w:left="400"/>
              <w:spacing w:after="0"/>
              <w:rPr>
                <w:sz w:val="20"/>
                <w:szCs w:val="20"/>
                <w:color w:val="auto"/>
              </w:rPr>
            </w:pPr>
            <w:r>
              <w:rPr>
                <w:rFonts w:ascii="Arial" w:cs="Arial" w:eastAsia="Arial" w:hAnsi="Arial"/>
                <w:sz w:val="18"/>
                <w:szCs w:val="18"/>
                <w:color w:val="auto"/>
              </w:rPr>
              <w:t>Company LLC Executive Severance Plan</w:t>
            </w:r>
          </w:p>
        </w:tc>
        <w:tc>
          <w:tcPr>
            <w:tcW w:w="4920" w:type="dxa"/>
            <w:vAlign w:val="bottom"/>
          </w:tcPr>
          <w:p>
            <w:pPr>
              <w:spacing w:after="0"/>
              <w:rPr>
                <w:sz w:val="20"/>
                <w:szCs w:val="20"/>
                <w:color w:val="auto"/>
              </w:rPr>
            </w:pPr>
          </w:p>
        </w:tc>
      </w:tr>
    </w:tbl>
    <w:p>
      <w:pPr>
        <w:spacing w:after="0" w:line="161" w:lineRule="exact"/>
        <w:rPr>
          <w:sz w:val="20"/>
          <w:szCs w:val="20"/>
          <w:color w:val="auto"/>
        </w:rPr>
      </w:pPr>
    </w:p>
    <w:p>
      <w:pPr>
        <w:sectPr>
          <w:pgSz w:w="11900" w:h="16838" w:orient="portrait"/>
          <w:cols w:equalWidth="0" w:num="1">
            <w:col w:w="11400"/>
          </w:cols>
          <w:pgMar w:left="240" w:top="121" w:right="259" w:bottom="1440" w:gutter="0" w:footer="0" w:header="0"/>
        </w:sectPr>
      </w:pPr>
    </w:p>
    <w:tbl>
      <w:tblPr>
        <w:tblLayout w:type="fixed"/>
        <w:tblInd w:w="4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10.12(a)</w:t>
            </w:r>
          </w:p>
        </w:tc>
        <w:tc>
          <w:tcPr>
            <w:tcW w:w="5280" w:type="dxa"/>
            <w:vAlign w:val="bottom"/>
          </w:tcPr>
          <w:p>
            <w:pPr>
              <w:ind w:left="440"/>
              <w:spacing w:after="0"/>
              <w:rPr>
                <w:sz w:val="20"/>
                <w:szCs w:val="20"/>
                <w:color w:val="auto"/>
              </w:rPr>
            </w:pPr>
            <w:r>
              <w:rPr>
                <w:rFonts w:ascii="Arial" w:cs="Arial" w:eastAsia="Arial" w:hAnsi="Arial"/>
                <w:sz w:val="18"/>
                <w:szCs w:val="18"/>
                <w:color w:val="auto"/>
                <w:w w:val="99"/>
              </w:rPr>
              <w:t>Amended  and  Restated  Exclusive  Agency  and  Marketing</w:t>
            </w:r>
          </w:p>
        </w:tc>
      </w:tr>
      <w:tr>
        <w:trPr>
          <w:trHeight w:val="216"/>
        </w:trPr>
        <w:tc>
          <w:tcPr>
            <w:tcW w:w="10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8"/>
              </w:rPr>
              <w:t>Agreement,  effective  as  of  September  30,  1998,  between</w:t>
            </w:r>
          </w:p>
        </w:tc>
      </w:tr>
      <w:tr>
        <w:trPr>
          <w:trHeight w:val="216"/>
        </w:trPr>
        <w:tc>
          <w:tcPr>
            <w:tcW w:w="10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2"/>
              </w:rPr>
              <w:t>Monsanto Company and The Scotts Company LLC (as successor</w:t>
            </w:r>
          </w:p>
        </w:tc>
      </w:tr>
      <w:tr>
        <w:trPr>
          <w:trHeight w:val="230"/>
        </w:trPr>
        <w:tc>
          <w:tcPr>
            <w:tcW w:w="1040" w:type="dxa"/>
            <w:vAlign w:val="bottom"/>
          </w:tcPr>
          <w:p>
            <w:pPr>
              <w:spacing w:after="0"/>
              <w:rPr>
                <w:sz w:val="20"/>
                <w:szCs w:val="20"/>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rPr>
              <w:t>to The Scotts Company)</w:t>
            </w:r>
          </w:p>
        </w:tc>
      </w:tr>
      <w:tr>
        <w:trPr>
          <w:trHeight w:val="377"/>
        </w:trPr>
        <w:tc>
          <w:tcPr>
            <w:tcW w:w="1040" w:type="dxa"/>
            <w:vAlign w:val="bottom"/>
          </w:tcPr>
          <w:p>
            <w:pPr>
              <w:spacing w:after="0"/>
              <w:rPr>
                <w:sz w:val="20"/>
                <w:szCs w:val="20"/>
                <w:color w:val="auto"/>
              </w:rPr>
            </w:pPr>
            <w:r>
              <w:rPr>
                <w:rFonts w:ascii="Arial" w:cs="Arial" w:eastAsia="Arial" w:hAnsi="Arial"/>
                <w:sz w:val="18"/>
                <w:szCs w:val="18"/>
                <w:color w:val="auto"/>
              </w:rPr>
              <w:t>10.12(b)</w:t>
            </w:r>
          </w:p>
        </w:tc>
        <w:tc>
          <w:tcPr>
            <w:tcW w:w="5280" w:type="dxa"/>
            <w:vAlign w:val="bottom"/>
          </w:tcPr>
          <w:p>
            <w:pPr>
              <w:ind w:left="440"/>
              <w:spacing w:after="0"/>
              <w:rPr>
                <w:sz w:val="20"/>
                <w:szCs w:val="20"/>
                <w:color w:val="auto"/>
              </w:rPr>
            </w:pPr>
            <w:r>
              <w:rPr>
                <w:rFonts w:ascii="Arial" w:cs="Arial" w:eastAsia="Arial" w:hAnsi="Arial"/>
                <w:sz w:val="18"/>
                <w:szCs w:val="18"/>
                <w:color w:val="auto"/>
                <w:w w:val="91"/>
              </w:rPr>
              <w:t>Letter Agreement, dated March 10, 2005, amending the Amended</w:t>
            </w:r>
          </w:p>
        </w:tc>
      </w:tr>
      <w:tr>
        <w:trPr>
          <w:trHeight w:val="216"/>
        </w:trPr>
        <w:tc>
          <w:tcPr>
            <w:tcW w:w="10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2"/>
              </w:rPr>
              <w:t>and Restated Exclusive Agency and Marketing Agreement, dated</w:t>
            </w:r>
          </w:p>
        </w:tc>
      </w:tr>
      <w:tr>
        <w:trPr>
          <w:trHeight w:val="216"/>
        </w:trPr>
        <w:tc>
          <w:tcPr>
            <w:tcW w:w="10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2"/>
              </w:rPr>
              <w:t>as of September 30, 1998, between Monsanto Company and The</w:t>
            </w:r>
          </w:p>
        </w:tc>
      </w:tr>
      <w:tr>
        <w:trPr>
          <w:trHeight w:val="230"/>
        </w:trPr>
        <w:tc>
          <w:tcPr>
            <w:tcW w:w="1040" w:type="dxa"/>
            <w:vAlign w:val="bottom"/>
          </w:tcPr>
          <w:p>
            <w:pPr>
              <w:spacing w:after="0"/>
              <w:rPr>
                <w:sz w:val="20"/>
                <w:szCs w:val="20"/>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9"/>
              </w:rPr>
              <w:t>Scotts Company LLC (as successor to The Scotts Company)</w:t>
            </w:r>
          </w:p>
        </w:tc>
      </w:tr>
      <w:tr>
        <w:trPr>
          <w:trHeight w:val="377"/>
        </w:trPr>
        <w:tc>
          <w:tcPr>
            <w:tcW w:w="1040" w:type="dxa"/>
            <w:vAlign w:val="bottom"/>
          </w:tcPr>
          <w:p>
            <w:pPr>
              <w:spacing w:after="0"/>
              <w:rPr>
                <w:sz w:val="20"/>
                <w:szCs w:val="20"/>
                <w:color w:val="auto"/>
              </w:rPr>
            </w:pPr>
            <w:r>
              <w:rPr>
                <w:rFonts w:ascii="Arial" w:cs="Arial" w:eastAsia="Arial" w:hAnsi="Arial"/>
                <w:sz w:val="18"/>
                <w:szCs w:val="18"/>
                <w:color w:val="auto"/>
              </w:rPr>
              <w:t>10.12(c)</w:t>
            </w:r>
          </w:p>
        </w:tc>
        <w:tc>
          <w:tcPr>
            <w:tcW w:w="5280" w:type="dxa"/>
            <w:vAlign w:val="bottom"/>
          </w:tcPr>
          <w:p>
            <w:pPr>
              <w:ind w:left="440"/>
              <w:spacing w:after="0"/>
              <w:rPr>
                <w:sz w:val="20"/>
                <w:szCs w:val="20"/>
                <w:color w:val="auto"/>
              </w:rPr>
            </w:pPr>
            <w:r>
              <w:rPr>
                <w:rFonts w:ascii="Arial" w:cs="Arial" w:eastAsia="Arial" w:hAnsi="Arial"/>
                <w:sz w:val="18"/>
                <w:szCs w:val="18"/>
                <w:color w:val="auto"/>
                <w:w w:val="91"/>
              </w:rPr>
              <w:t>Letter Agreement, dated March 28, 2008, amending the Amended</w:t>
            </w:r>
          </w:p>
        </w:tc>
      </w:tr>
      <w:tr>
        <w:trPr>
          <w:trHeight w:val="216"/>
        </w:trPr>
        <w:tc>
          <w:tcPr>
            <w:tcW w:w="10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2"/>
              </w:rPr>
              <w:t>and Restated Exclusive Agency and Marketing Agreement, dated</w:t>
            </w:r>
          </w:p>
        </w:tc>
      </w:tr>
      <w:tr>
        <w:trPr>
          <w:trHeight w:val="216"/>
        </w:trPr>
        <w:tc>
          <w:tcPr>
            <w:tcW w:w="10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2"/>
              </w:rPr>
              <w:t>as of September 30, 1998, between Monsanto Company and The</w:t>
            </w:r>
          </w:p>
        </w:tc>
      </w:tr>
      <w:tr>
        <w:trPr>
          <w:trHeight w:val="230"/>
        </w:trPr>
        <w:tc>
          <w:tcPr>
            <w:tcW w:w="1040" w:type="dxa"/>
            <w:vAlign w:val="bottom"/>
          </w:tcPr>
          <w:p>
            <w:pPr>
              <w:spacing w:after="0"/>
              <w:rPr>
                <w:sz w:val="20"/>
                <w:szCs w:val="20"/>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rPr>
              <w:t>Scotts Company LLC</w:t>
            </w:r>
          </w:p>
        </w:tc>
      </w:tr>
      <w:tr>
        <w:trPr>
          <w:trHeight w:val="377"/>
        </w:trPr>
        <w:tc>
          <w:tcPr>
            <w:tcW w:w="1040" w:type="dxa"/>
            <w:vAlign w:val="bottom"/>
          </w:tcPr>
          <w:p>
            <w:pPr>
              <w:spacing w:after="0"/>
              <w:rPr>
                <w:sz w:val="20"/>
                <w:szCs w:val="20"/>
                <w:color w:val="auto"/>
              </w:rPr>
            </w:pPr>
            <w:r>
              <w:rPr>
                <w:rFonts w:ascii="Arial" w:cs="Arial" w:eastAsia="Arial" w:hAnsi="Arial"/>
                <w:sz w:val="18"/>
                <w:szCs w:val="18"/>
                <w:color w:val="auto"/>
              </w:rPr>
              <w:t>10.13</w:t>
            </w:r>
          </w:p>
        </w:tc>
        <w:tc>
          <w:tcPr>
            <w:tcW w:w="5280" w:type="dxa"/>
            <w:vAlign w:val="bottom"/>
          </w:tcPr>
          <w:p>
            <w:pPr>
              <w:ind w:left="440"/>
              <w:spacing w:after="0"/>
              <w:rPr>
                <w:sz w:val="20"/>
                <w:szCs w:val="20"/>
                <w:color w:val="auto"/>
              </w:rPr>
            </w:pPr>
            <w:r>
              <w:rPr>
                <w:rFonts w:ascii="Arial" w:cs="Arial" w:eastAsia="Arial" w:hAnsi="Arial"/>
                <w:sz w:val="18"/>
                <w:szCs w:val="18"/>
                <w:color w:val="auto"/>
                <w:w w:val="90"/>
              </w:rPr>
              <w:t>Purchase Agreement, dated as of December 13, 2010, among The</w:t>
            </w:r>
          </w:p>
        </w:tc>
      </w:tr>
      <w:tr>
        <w:trPr>
          <w:trHeight w:val="216"/>
        </w:trPr>
        <w:tc>
          <w:tcPr>
            <w:tcW w:w="10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5"/>
              </w:rPr>
              <w:t>Scotts Miracle-Gro Company, the subsidiary guarantors named</w:t>
            </w:r>
          </w:p>
        </w:tc>
      </w:tr>
      <w:tr>
        <w:trPr>
          <w:trHeight w:val="216"/>
        </w:trPr>
        <w:tc>
          <w:tcPr>
            <w:tcW w:w="10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5"/>
              </w:rPr>
              <w:t>therein and Merrill Lynch, Pierce, Fenner &amp; Smith Incorporated,</w:t>
            </w:r>
          </w:p>
        </w:tc>
      </w:tr>
      <w:tr>
        <w:trPr>
          <w:trHeight w:val="230"/>
        </w:trPr>
        <w:tc>
          <w:tcPr>
            <w:tcW w:w="1040" w:type="dxa"/>
            <w:vAlign w:val="bottom"/>
          </w:tcPr>
          <w:p>
            <w:pPr>
              <w:spacing w:after="0"/>
              <w:rPr>
                <w:sz w:val="20"/>
                <w:szCs w:val="20"/>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4"/>
              </w:rPr>
              <w:t>as representative of the several initial purchasers named therein</w:t>
            </w:r>
          </w:p>
        </w:tc>
      </w:tr>
      <w:tr>
        <w:trPr>
          <w:trHeight w:val="377"/>
        </w:trPr>
        <w:tc>
          <w:tcPr>
            <w:tcW w:w="1040" w:type="dxa"/>
            <w:vAlign w:val="bottom"/>
          </w:tcPr>
          <w:p>
            <w:pPr>
              <w:spacing w:after="0"/>
              <w:rPr>
                <w:sz w:val="20"/>
                <w:szCs w:val="20"/>
                <w:color w:val="auto"/>
              </w:rPr>
            </w:pPr>
            <w:r>
              <w:rPr>
                <w:rFonts w:ascii="Arial" w:cs="Arial" w:eastAsia="Arial" w:hAnsi="Arial"/>
                <w:sz w:val="18"/>
                <w:szCs w:val="18"/>
                <w:color w:val="auto"/>
              </w:rPr>
              <w:t>10.14</w:t>
            </w:r>
          </w:p>
        </w:tc>
        <w:tc>
          <w:tcPr>
            <w:tcW w:w="5280" w:type="dxa"/>
            <w:vAlign w:val="bottom"/>
          </w:tcPr>
          <w:p>
            <w:pPr>
              <w:ind w:left="440"/>
              <w:spacing w:after="0"/>
              <w:rPr>
                <w:sz w:val="20"/>
                <w:szCs w:val="20"/>
                <w:color w:val="auto"/>
              </w:rPr>
            </w:pPr>
            <w:r>
              <w:rPr>
                <w:rFonts w:ascii="Arial" w:cs="Arial" w:eastAsia="Arial" w:hAnsi="Arial"/>
                <w:sz w:val="18"/>
                <w:szCs w:val="18"/>
                <w:color w:val="auto"/>
                <w:w w:val="96"/>
              </w:rPr>
              <w:t>Share and Business Sale Agreement, dated as of February 23,</w:t>
            </w:r>
          </w:p>
        </w:tc>
      </w:tr>
      <w:tr>
        <w:trPr>
          <w:trHeight w:val="230"/>
        </w:trPr>
        <w:tc>
          <w:tcPr>
            <w:tcW w:w="1040" w:type="dxa"/>
            <w:vAlign w:val="bottom"/>
          </w:tcPr>
          <w:p>
            <w:pPr>
              <w:spacing w:after="0"/>
              <w:rPr>
                <w:sz w:val="20"/>
                <w:szCs w:val="20"/>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1"/>
              </w:rPr>
              <w:t>2011, by and among The Scotts Company LLC, as Seller, each of</w:t>
            </w:r>
          </w:p>
        </w:tc>
      </w:tr>
    </w:tbl>
    <w:p>
      <w:pPr>
        <w:jc w:val="both"/>
        <w:ind w:left="1520"/>
        <w:spacing w:after="0" w:line="254" w:lineRule="auto"/>
        <w:rPr>
          <w:sz w:val="20"/>
          <w:szCs w:val="20"/>
          <w:color w:val="auto"/>
        </w:rPr>
      </w:pPr>
      <w:r>
        <w:rPr>
          <w:rFonts w:ascii="Arial" w:cs="Arial" w:eastAsia="Arial" w:hAnsi="Arial"/>
          <w:sz w:val="18"/>
          <w:szCs w:val="18"/>
          <w:color w:val="auto"/>
        </w:rPr>
        <w:t>the Share Sellers and Business Sellers (as defined therein), Israel Chemicals Ltd., as Purchaser, each of the Share Purchasers and Business Purchasers (as defined therein) and The Scotts Miracle-Gro Company, as Seller Guarantor</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2005 (File No. 1-11593) [Exhibit 10(x)]</w:t>
      </w:r>
    </w:p>
    <w:p>
      <w:pPr>
        <w:spacing w:after="0" w:line="3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2009 (File No. 1-11593) [Exhibit 10.17(b)]</w:t>
      </w:r>
    </w:p>
    <w:p>
      <w:pPr>
        <w:spacing w:after="0" w:line="3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(File No. 1-11593) [Exhibit 10.18(b)]</w:t>
      </w:r>
    </w:p>
    <w:p>
      <w:pPr>
        <w:spacing w:after="0" w:line="3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December 16, 2010 (File No. 1-11593) [Exhibit 10.1]</w:t>
      </w:r>
    </w:p>
    <w:p>
      <w:pPr>
        <w:spacing w:after="0" w:line="3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March 1, 2011 (File No. 1-11593) [Exhibit 10.1]</w:t>
      </w:r>
    </w:p>
    <w:p>
      <w:pPr>
        <w:spacing w:after="0" w:line="788"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p>
      <w:pPr>
        <w:jc w:val="both"/>
        <w:ind w:left="1520" w:hanging="1485"/>
        <w:spacing w:after="0" w:line="276" w:lineRule="auto"/>
        <w:tabs>
          <w:tab w:leader="none" w:pos="1500" w:val="left"/>
        </w:tabs>
        <w:rPr>
          <w:sz w:val="20"/>
          <w:szCs w:val="20"/>
          <w:color w:val="auto"/>
        </w:rPr>
      </w:pPr>
      <w:r>
        <w:rPr>
          <w:rFonts w:ascii="Arial" w:cs="Arial" w:eastAsia="Arial" w:hAnsi="Arial"/>
          <w:sz w:val="18"/>
          <w:szCs w:val="18"/>
          <w:color w:val="auto"/>
        </w:rPr>
        <w:t>10.15(a)</w:t>
      </w:r>
      <w:r>
        <w:rPr>
          <w:sz w:val="20"/>
          <w:szCs w:val="20"/>
          <w:color w:val="auto"/>
        </w:rPr>
        <w:tab/>
      </w:r>
      <w:r>
        <w:rPr>
          <w:rFonts w:ascii="Arial" w:cs="Arial" w:eastAsia="Arial" w:hAnsi="Arial"/>
          <w:sz w:val="17"/>
          <w:szCs w:val="17"/>
          <w:color w:val="auto"/>
        </w:rPr>
        <w:t>Master Accounts Receivable Purchase Agreement, dated as of November 15, 2012, by and among The Scotts Miracle-Gro Company, The Scotts Company LLC, The Bank of Nova Scotia, Suntrust Bank, RB Receivables LLC and Mizuho Corporate Bank, Ltd., as Administrative Agent and as a Bank</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2012 (File No. 1-11593) [Exhibit 10.16]</w:t>
      </w:r>
    </w:p>
    <w:p>
      <w:pPr>
        <w:spacing w:after="0" w:line="572"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p>
      <w:pPr>
        <w:jc w:val="both"/>
        <w:ind w:left="1520" w:hanging="1485"/>
        <w:spacing w:after="0" w:line="255" w:lineRule="auto"/>
        <w:tabs>
          <w:tab w:leader="none" w:pos="1500" w:val="left"/>
        </w:tabs>
        <w:rPr>
          <w:sz w:val="20"/>
          <w:szCs w:val="20"/>
          <w:color w:val="auto"/>
        </w:rPr>
      </w:pPr>
      <w:r>
        <w:rPr>
          <w:rFonts w:ascii="Arial" w:cs="Arial" w:eastAsia="Arial" w:hAnsi="Arial"/>
          <w:sz w:val="18"/>
          <w:szCs w:val="18"/>
          <w:color w:val="auto"/>
        </w:rPr>
        <w:t>10.15(b)</w:t>
      </w:r>
      <w:r>
        <w:rPr>
          <w:sz w:val="20"/>
          <w:szCs w:val="20"/>
          <w:color w:val="auto"/>
        </w:rPr>
        <w:tab/>
      </w:r>
      <w:r>
        <w:rPr>
          <w:rFonts w:ascii="Arial" w:cs="Arial" w:eastAsia="Arial" w:hAnsi="Arial"/>
          <w:sz w:val="18"/>
          <w:szCs w:val="18"/>
          <w:color w:val="auto"/>
        </w:rPr>
        <w:t>First Amendment, dated as of October 25, 2013, to the Master Accounts Receivable Purchase Agreement, dated as of November 15, 2012, among The Scotts Miracle-Gro Company, The Scotts Company LLC, The Bank of Nova Scotia, Suntrust Bank, RB Receivables LLC and Mizuho Bank, Ltd., as Administrative Agent and as a Bank</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October 31, 2013 (File No. 1-11593) [Exhibit 10.1]</w:t>
      </w:r>
    </w:p>
    <w:p>
      <w:pPr>
        <w:spacing w:after="0" w:line="802"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tbl>
      <w:tblPr>
        <w:tblLayout w:type="fixed"/>
        <w:tblInd w:w="40" w:type="dxa"/>
        <w:tblCellMar>
          <w:top w:w="0" w:type="dxa"/>
          <w:left w:w="0" w:type="dxa"/>
          <w:bottom w:w="0" w:type="dxa"/>
          <w:right w:w="0" w:type="dxa"/>
        </w:tblCellMar>
      </w:tblPr>
      <w:tr>
        <w:trPr>
          <w:trHeight w:val="230"/>
        </w:trPr>
        <w:tc>
          <w:tcPr>
            <w:tcW w:w="820" w:type="dxa"/>
            <w:vAlign w:val="bottom"/>
          </w:tcPr>
          <w:p>
            <w:pPr>
              <w:jc w:val="right"/>
              <w:ind w:right="550"/>
              <w:spacing w:after="0"/>
              <w:rPr>
                <w:sz w:val="20"/>
                <w:szCs w:val="20"/>
                <w:color w:val="auto"/>
              </w:rPr>
            </w:pPr>
            <w:r>
              <w:rPr>
                <w:rFonts w:ascii="Arial" w:cs="Arial" w:eastAsia="Arial" w:hAnsi="Arial"/>
                <w:sz w:val="18"/>
                <w:szCs w:val="18"/>
                <w:color w:val="auto"/>
                <w:w w:val="79"/>
              </w:rPr>
              <w:t>12</w:t>
            </w:r>
          </w:p>
        </w:tc>
        <w:tc>
          <w:tcPr>
            <w:tcW w:w="5580" w:type="dxa"/>
            <w:vAlign w:val="bottom"/>
          </w:tcPr>
          <w:p>
            <w:pPr>
              <w:ind w:left="660"/>
              <w:spacing w:after="0"/>
              <w:rPr>
                <w:sz w:val="20"/>
                <w:szCs w:val="20"/>
                <w:color w:val="auto"/>
              </w:rPr>
            </w:pPr>
            <w:r>
              <w:rPr>
                <w:rFonts w:ascii="Arial" w:cs="Arial" w:eastAsia="Arial" w:hAnsi="Arial"/>
                <w:sz w:val="18"/>
                <w:szCs w:val="18"/>
                <w:color w:val="auto"/>
              </w:rPr>
              <w:t>Computation of Ratio of Earnings to Fixed Charges</w:t>
            </w:r>
          </w:p>
        </w:tc>
        <w:tc>
          <w:tcPr>
            <w:tcW w:w="49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377"/>
        </w:trPr>
        <w:tc>
          <w:tcPr>
            <w:tcW w:w="820" w:type="dxa"/>
            <w:vAlign w:val="bottom"/>
          </w:tcPr>
          <w:p>
            <w:pPr>
              <w:jc w:val="right"/>
              <w:ind w:right="550"/>
              <w:spacing w:after="0"/>
              <w:rPr>
                <w:sz w:val="20"/>
                <w:szCs w:val="20"/>
                <w:color w:val="auto"/>
              </w:rPr>
            </w:pPr>
            <w:r>
              <w:rPr>
                <w:rFonts w:ascii="Arial" w:cs="Arial" w:eastAsia="Arial" w:hAnsi="Arial"/>
                <w:sz w:val="18"/>
                <w:szCs w:val="18"/>
                <w:color w:val="auto"/>
                <w:w w:val="79"/>
              </w:rPr>
              <w:t>14</w:t>
            </w:r>
          </w:p>
        </w:tc>
        <w:tc>
          <w:tcPr>
            <w:tcW w:w="5580" w:type="dxa"/>
            <w:vAlign w:val="bottom"/>
          </w:tcPr>
          <w:p>
            <w:pPr>
              <w:ind w:left="660"/>
              <w:spacing w:after="0"/>
              <w:rPr>
                <w:sz w:val="20"/>
                <w:szCs w:val="20"/>
                <w:color w:val="auto"/>
              </w:rPr>
            </w:pPr>
            <w:r>
              <w:rPr>
                <w:rFonts w:ascii="Arial" w:cs="Arial" w:eastAsia="Arial" w:hAnsi="Arial"/>
                <w:sz w:val="18"/>
                <w:szCs w:val="18"/>
                <w:color w:val="auto"/>
                <w:w w:val="97"/>
              </w:rPr>
              <w:t>The Scotts Miracle-Gro Company Code of Business Conduct &amp;</w:t>
            </w:r>
          </w:p>
        </w:tc>
        <w:tc>
          <w:tcPr>
            <w:tcW w:w="4960" w:type="dxa"/>
            <w:vAlign w:val="bottom"/>
          </w:tcPr>
          <w:p>
            <w:pPr>
              <w:ind w:left="100"/>
              <w:spacing w:after="0"/>
              <w:rPr>
                <w:sz w:val="20"/>
                <w:szCs w:val="20"/>
                <w:color w:val="auto"/>
              </w:rPr>
            </w:pPr>
            <w:r>
              <w:rPr>
                <w:rFonts w:ascii="Arial" w:cs="Arial" w:eastAsia="Arial" w:hAnsi="Arial"/>
                <w:sz w:val="18"/>
                <w:szCs w:val="18"/>
                <w:color w:val="auto"/>
                <w:w w:val="90"/>
              </w:rPr>
              <w:t>Incorporated herein by reference to the Registrant's Current Report</w:t>
            </w:r>
          </w:p>
        </w:tc>
      </w:tr>
      <w:tr>
        <w:trPr>
          <w:trHeight w:val="216"/>
        </w:trPr>
        <w:tc>
          <w:tcPr>
            <w:tcW w:w="820" w:type="dxa"/>
            <w:vAlign w:val="bottom"/>
          </w:tcPr>
          <w:p>
            <w:pPr>
              <w:spacing w:after="0"/>
              <w:rPr>
                <w:sz w:val="18"/>
                <w:szCs w:val="18"/>
                <w:color w:val="auto"/>
              </w:rPr>
            </w:pPr>
          </w:p>
        </w:tc>
        <w:tc>
          <w:tcPr>
            <w:tcW w:w="5580" w:type="dxa"/>
            <w:vAlign w:val="bottom"/>
          </w:tcPr>
          <w:p>
            <w:pPr>
              <w:ind w:left="660"/>
              <w:spacing w:after="0"/>
              <w:rPr>
                <w:sz w:val="20"/>
                <w:szCs w:val="20"/>
                <w:color w:val="auto"/>
              </w:rPr>
            </w:pPr>
            <w:r>
              <w:rPr>
                <w:rFonts w:ascii="Arial" w:cs="Arial" w:eastAsia="Arial" w:hAnsi="Arial"/>
                <w:sz w:val="18"/>
                <w:szCs w:val="18"/>
                <w:color w:val="auto"/>
              </w:rPr>
              <w:t>Ethics (as revised effective January 18, 2012)</w:t>
            </w:r>
          </w:p>
        </w:tc>
        <w:tc>
          <w:tcPr>
            <w:tcW w:w="4960" w:type="dxa"/>
            <w:vAlign w:val="bottom"/>
          </w:tcPr>
          <w:p>
            <w:pPr>
              <w:ind w:left="100"/>
              <w:spacing w:after="0"/>
              <w:rPr>
                <w:sz w:val="20"/>
                <w:szCs w:val="20"/>
                <w:color w:val="auto"/>
              </w:rPr>
            </w:pPr>
            <w:r>
              <w:rPr>
                <w:rFonts w:ascii="Arial" w:cs="Arial" w:eastAsia="Arial" w:hAnsi="Arial"/>
                <w:sz w:val="18"/>
                <w:szCs w:val="18"/>
                <w:color w:val="auto"/>
                <w:w w:val="97"/>
              </w:rPr>
              <w:t>on Form 8-K filed January 24, 2012 (File No. 1-11593) [Exhibit</w:t>
            </w:r>
          </w:p>
        </w:tc>
      </w:tr>
      <w:tr>
        <w:trPr>
          <w:trHeight w:val="230"/>
        </w:trPr>
        <w:tc>
          <w:tcPr>
            <w:tcW w:w="8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14.1]</w:t>
            </w:r>
          </w:p>
        </w:tc>
      </w:tr>
      <w:tr>
        <w:trPr>
          <w:trHeight w:val="392"/>
        </w:trPr>
        <w:tc>
          <w:tcPr>
            <w:tcW w:w="820" w:type="dxa"/>
            <w:vAlign w:val="bottom"/>
          </w:tcPr>
          <w:p>
            <w:pPr>
              <w:jc w:val="right"/>
              <w:ind w:right="550"/>
              <w:spacing w:after="0"/>
              <w:rPr>
                <w:sz w:val="20"/>
                <w:szCs w:val="20"/>
                <w:color w:val="auto"/>
              </w:rPr>
            </w:pPr>
            <w:r>
              <w:rPr>
                <w:rFonts w:ascii="Arial" w:cs="Arial" w:eastAsia="Arial" w:hAnsi="Arial"/>
                <w:sz w:val="18"/>
                <w:szCs w:val="18"/>
                <w:color w:val="auto"/>
                <w:w w:val="79"/>
              </w:rPr>
              <w:t>21</w:t>
            </w:r>
          </w:p>
        </w:tc>
        <w:tc>
          <w:tcPr>
            <w:tcW w:w="5580" w:type="dxa"/>
            <w:vAlign w:val="bottom"/>
          </w:tcPr>
          <w:p>
            <w:pPr>
              <w:ind w:left="660"/>
              <w:spacing w:after="0"/>
              <w:rPr>
                <w:sz w:val="20"/>
                <w:szCs w:val="20"/>
                <w:color w:val="auto"/>
              </w:rPr>
            </w:pPr>
            <w:r>
              <w:rPr>
                <w:rFonts w:ascii="Arial" w:cs="Arial" w:eastAsia="Arial" w:hAnsi="Arial"/>
                <w:sz w:val="18"/>
                <w:szCs w:val="18"/>
                <w:color w:val="auto"/>
              </w:rPr>
              <w:t>Subsidiaries of The Scotts Miracle-Gro Company</w:t>
            </w:r>
          </w:p>
        </w:tc>
        <w:tc>
          <w:tcPr>
            <w:tcW w:w="49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377"/>
        </w:trPr>
        <w:tc>
          <w:tcPr>
            <w:tcW w:w="820" w:type="dxa"/>
            <w:vAlign w:val="bottom"/>
          </w:tcPr>
          <w:p>
            <w:pPr>
              <w:jc w:val="right"/>
              <w:ind w:right="550"/>
              <w:spacing w:after="0"/>
              <w:rPr>
                <w:sz w:val="20"/>
                <w:szCs w:val="20"/>
                <w:color w:val="auto"/>
              </w:rPr>
            </w:pPr>
            <w:r>
              <w:rPr>
                <w:rFonts w:ascii="Arial" w:cs="Arial" w:eastAsia="Arial" w:hAnsi="Arial"/>
                <w:sz w:val="18"/>
                <w:szCs w:val="18"/>
                <w:color w:val="auto"/>
                <w:w w:val="79"/>
              </w:rPr>
              <w:t>23</w:t>
            </w:r>
          </w:p>
        </w:tc>
        <w:tc>
          <w:tcPr>
            <w:tcW w:w="5580" w:type="dxa"/>
            <w:vAlign w:val="bottom"/>
          </w:tcPr>
          <w:p>
            <w:pPr>
              <w:ind w:left="660"/>
              <w:spacing w:after="0"/>
              <w:rPr>
                <w:sz w:val="20"/>
                <w:szCs w:val="20"/>
                <w:color w:val="auto"/>
              </w:rPr>
            </w:pPr>
            <w:r>
              <w:rPr>
                <w:rFonts w:ascii="Arial" w:cs="Arial" w:eastAsia="Arial" w:hAnsi="Arial"/>
                <w:sz w:val="18"/>
                <w:szCs w:val="18"/>
                <w:color w:val="auto"/>
                <w:w w:val="98"/>
              </w:rPr>
              <w:t>Consent of Independent Registered Public Accounting Firm —</w:t>
            </w:r>
          </w:p>
        </w:tc>
        <w:tc>
          <w:tcPr>
            <w:tcW w:w="49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30"/>
        </w:trPr>
        <w:tc>
          <w:tcPr>
            <w:tcW w:w="820" w:type="dxa"/>
            <w:vAlign w:val="bottom"/>
          </w:tcPr>
          <w:p>
            <w:pPr>
              <w:spacing w:after="0"/>
              <w:rPr>
                <w:sz w:val="20"/>
                <w:szCs w:val="20"/>
                <w:color w:val="auto"/>
              </w:rPr>
            </w:pPr>
          </w:p>
        </w:tc>
        <w:tc>
          <w:tcPr>
            <w:tcW w:w="5580" w:type="dxa"/>
            <w:vAlign w:val="bottom"/>
          </w:tcPr>
          <w:p>
            <w:pPr>
              <w:ind w:left="660"/>
              <w:spacing w:after="0"/>
              <w:rPr>
                <w:sz w:val="20"/>
                <w:szCs w:val="20"/>
                <w:color w:val="auto"/>
              </w:rPr>
            </w:pPr>
            <w:r>
              <w:rPr>
                <w:rFonts w:ascii="Arial" w:cs="Arial" w:eastAsia="Arial" w:hAnsi="Arial"/>
                <w:sz w:val="18"/>
                <w:szCs w:val="18"/>
                <w:color w:val="auto"/>
              </w:rPr>
              <w:t>Deloitte &amp; Touche LLP</w:t>
            </w:r>
          </w:p>
        </w:tc>
        <w:tc>
          <w:tcPr>
            <w:tcW w:w="49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type w:val="continuous"/>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1400"/>
          </w:cols>
          <w:pgMar w:left="240" w:top="121" w:right="259" w:bottom="1440" w:gutter="0" w:footer="0" w:header="0"/>
          <w:type w:val="continuous"/>
        </w:sectPr>
      </w:pPr>
    </w:p>
    <w:bookmarkStart w:id="117" w:name="page118"/>
    <w:bookmarkEnd w:id="117"/>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24</w:t>
            </w:r>
          </w:p>
        </w:tc>
        <w:tc>
          <w:tcPr>
            <w:tcW w:w="5260" w:type="dxa"/>
            <w:vAlign w:val="bottom"/>
          </w:tcPr>
          <w:p>
            <w:pPr>
              <w:ind w:left="320"/>
              <w:spacing w:after="0"/>
              <w:rPr>
                <w:sz w:val="20"/>
                <w:szCs w:val="20"/>
                <w:color w:val="auto"/>
              </w:rPr>
            </w:pPr>
            <w:r>
              <w:rPr>
                <w:rFonts w:ascii="Arial" w:cs="Arial" w:eastAsia="Arial" w:hAnsi="Arial"/>
                <w:sz w:val="18"/>
                <w:szCs w:val="18"/>
                <w:color w:val="auto"/>
              </w:rPr>
              <w:t>Powers of Attorney of Executive Officers and Directors of The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spacing w:after="0"/>
              <w:rPr>
                <w:sz w:val="20"/>
                <w:szCs w:val="20"/>
                <w:color w:val="auto"/>
              </w:rPr>
            </w:pPr>
          </w:p>
        </w:tc>
        <w:tc>
          <w:tcPr>
            <w:tcW w:w="5260" w:type="dxa"/>
            <w:vAlign w:val="bottom"/>
          </w:tcPr>
          <w:p>
            <w:pPr>
              <w:ind w:left="320"/>
              <w:spacing w:after="0"/>
              <w:rPr>
                <w:sz w:val="20"/>
                <w:szCs w:val="20"/>
                <w:color w:val="auto"/>
              </w:rPr>
            </w:pPr>
            <w:r>
              <w:rPr>
                <w:rFonts w:ascii="Arial" w:cs="Arial" w:eastAsia="Arial" w:hAnsi="Arial"/>
                <w:sz w:val="18"/>
                <w:szCs w:val="18"/>
                <w:color w:val="auto"/>
              </w:rPr>
              <w:t>Scotts Miracle-Gro Company</w:t>
            </w:r>
          </w:p>
        </w:tc>
        <w:tc>
          <w:tcPr>
            <w:tcW w:w="180" w:type="dxa"/>
            <w:vAlign w:val="bottom"/>
          </w:tcPr>
          <w:p>
            <w:pPr>
              <w:spacing w:after="0"/>
              <w:rPr>
                <w:sz w:val="20"/>
                <w:szCs w:val="20"/>
                <w:color w:val="auto"/>
              </w:rPr>
            </w:pPr>
          </w:p>
        </w:tc>
      </w:tr>
      <w:tr>
        <w:trPr>
          <w:trHeight w:val="377"/>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5260" w:type="dxa"/>
            <w:vAlign w:val="bottom"/>
          </w:tcPr>
          <w:p>
            <w:pPr>
              <w:ind w:left="320"/>
              <w:spacing w:after="0"/>
              <w:rPr>
                <w:sz w:val="20"/>
                <w:szCs w:val="20"/>
                <w:color w:val="auto"/>
              </w:rPr>
            </w:pPr>
            <w:r>
              <w:rPr>
                <w:rFonts w:ascii="Arial" w:cs="Arial" w:eastAsia="Arial" w:hAnsi="Arial"/>
                <w:sz w:val="18"/>
                <w:szCs w:val="18"/>
                <w:color w:val="auto"/>
                <w:w w:val="99"/>
              </w:rPr>
              <w:t>Rule  13a-14(a)/15d-14(a)  Certifications  (Principal  Executive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spacing w:after="0"/>
              <w:rPr>
                <w:sz w:val="20"/>
                <w:szCs w:val="20"/>
                <w:color w:val="auto"/>
              </w:rPr>
            </w:pPr>
          </w:p>
        </w:tc>
        <w:tc>
          <w:tcPr>
            <w:tcW w:w="5260" w:type="dxa"/>
            <w:vAlign w:val="bottom"/>
          </w:tcPr>
          <w:p>
            <w:pPr>
              <w:ind w:left="320"/>
              <w:spacing w:after="0"/>
              <w:rPr>
                <w:sz w:val="20"/>
                <w:szCs w:val="20"/>
                <w:color w:val="auto"/>
              </w:rPr>
            </w:pPr>
            <w:r>
              <w:rPr>
                <w:rFonts w:ascii="Arial" w:cs="Arial" w:eastAsia="Arial" w:hAnsi="Arial"/>
                <w:sz w:val="18"/>
                <w:szCs w:val="18"/>
                <w:color w:val="auto"/>
              </w:rPr>
              <w:t>Officer)</w:t>
            </w:r>
          </w:p>
        </w:tc>
        <w:tc>
          <w:tcPr>
            <w:tcW w:w="180" w:type="dxa"/>
            <w:vAlign w:val="bottom"/>
          </w:tcPr>
          <w:p>
            <w:pPr>
              <w:spacing w:after="0"/>
              <w:rPr>
                <w:sz w:val="20"/>
                <w:szCs w:val="20"/>
                <w:color w:val="auto"/>
              </w:rPr>
            </w:pPr>
          </w:p>
        </w:tc>
      </w:tr>
      <w:tr>
        <w:trPr>
          <w:trHeight w:val="377"/>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5260" w:type="dxa"/>
            <w:vAlign w:val="bottom"/>
          </w:tcPr>
          <w:p>
            <w:pPr>
              <w:ind w:left="320"/>
              <w:spacing w:after="0"/>
              <w:rPr>
                <w:sz w:val="20"/>
                <w:szCs w:val="20"/>
                <w:color w:val="auto"/>
              </w:rPr>
            </w:pPr>
            <w:r>
              <w:rPr>
                <w:rFonts w:ascii="Arial" w:cs="Arial" w:eastAsia="Arial" w:hAnsi="Arial"/>
                <w:sz w:val="18"/>
                <w:szCs w:val="18"/>
                <w:color w:val="auto"/>
              </w:rPr>
              <w:t>Rule  13a-14(a)/15d-14(a)  Certifications  (Principal  Financial</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spacing w:after="0"/>
              <w:rPr>
                <w:sz w:val="20"/>
                <w:szCs w:val="20"/>
                <w:color w:val="auto"/>
              </w:rPr>
            </w:pPr>
          </w:p>
        </w:tc>
        <w:tc>
          <w:tcPr>
            <w:tcW w:w="5260" w:type="dxa"/>
            <w:vAlign w:val="bottom"/>
          </w:tcPr>
          <w:p>
            <w:pPr>
              <w:ind w:left="320"/>
              <w:spacing w:after="0"/>
              <w:rPr>
                <w:sz w:val="20"/>
                <w:szCs w:val="20"/>
                <w:color w:val="auto"/>
              </w:rPr>
            </w:pPr>
            <w:r>
              <w:rPr>
                <w:rFonts w:ascii="Arial" w:cs="Arial" w:eastAsia="Arial" w:hAnsi="Arial"/>
                <w:sz w:val="18"/>
                <w:szCs w:val="18"/>
                <w:color w:val="auto"/>
              </w:rPr>
              <w:t>Officer)</w:t>
            </w:r>
          </w:p>
        </w:tc>
        <w:tc>
          <w:tcPr>
            <w:tcW w:w="180" w:type="dxa"/>
            <w:vAlign w:val="bottom"/>
          </w:tcPr>
          <w:p>
            <w:pPr>
              <w:spacing w:after="0"/>
              <w:rPr>
                <w:sz w:val="20"/>
                <w:szCs w:val="20"/>
                <w:color w:val="auto"/>
              </w:rPr>
            </w:pPr>
          </w:p>
        </w:tc>
      </w:tr>
      <w:tr>
        <w:trPr>
          <w:trHeight w:val="377"/>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5260" w:type="dxa"/>
            <w:vAlign w:val="bottom"/>
          </w:tcPr>
          <w:p>
            <w:pPr>
              <w:ind w:left="320"/>
              <w:spacing w:after="0"/>
              <w:rPr>
                <w:sz w:val="20"/>
                <w:szCs w:val="20"/>
                <w:color w:val="auto"/>
              </w:rPr>
            </w:pPr>
            <w:r>
              <w:rPr>
                <w:rFonts w:ascii="Arial" w:cs="Arial" w:eastAsia="Arial" w:hAnsi="Arial"/>
                <w:sz w:val="18"/>
                <w:szCs w:val="18"/>
                <w:color w:val="auto"/>
                <w:w w:val="98"/>
              </w:rPr>
              <w:t>Section  1350  Certifications  (Principal  Executive  Officer  and</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spacing w:after="0"/>
              <w:rPr>
                <w:sz w:val="20"/>
                <w:szCs w:val="20"/>
                <w:color w:val="auto"/>
              </w:rPr>
            </w:pPr>
          </w:p>
        </w:tc>
        <w:tc>
          <w:tcPr>
            <w:tcW w:w="5260" w:type="dxa"/>
            <w:vAlign w:val="bottom"/>
          </w:tcPr>
          <w:p>
            <w:pPr>
              <w:ind w:left="320"/>
              <w:spacing w:after="0"/>
              <w:rPr>
                <w:sz w:val="20"/>
                <w:szCs w:val="20"/>
                <w:color w:val="auto"/>
              </w:rPr>
            </w:pPr>
            <w:r>
              <w:rPr>
                <w:rFonts w:ascii="Arial" w:cs="Arial" w:eastAsia="Arial" w:hAnsi="Arial"/>
                <w:sz w:val="18"/>
                <w:szCs w:val="18"/>
                <w:color w:val="auto"/>
              </w:rPr>
              <w:t>Principal Financial Officer)</w:t>
            </w:r>
          </w:p>
        </w:tc>
        <w:tc>
          <w:tcPr>
            <w:tcW w:w="180" w:type="dxa"/>
            <w:vAlign w:val="bottom"/>
          </w:tcPr>
          <w:p>
            <w:pPr>
              <w:spacing w:after="0"/>
              <w:rPr>
                <w:sz w:val="20"/>
                <w:szCs w:val="20"/>
                <w:color w:val="auto"/>
              </w:rPr>
            </w:pPr>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5260" w:type="dxa"/>
            <w:vAlign w:val="bottom"/>
          </w:tcPr>
          <w:p>
            <w:pPr>
              <w:ind w:left="320"/>
              <w:spacing w:after="0"/>
              <w:rPr>
                <w:sz w:val="20"/>
                <w:szCs w:val="20"/>
                <w:color w:val="auto"/>
              </w:rPr>
            </w:pPr>
            <w:r>
              <w:rPr>
                <w:rFonts w:ascii="Arial" w:cs="Arial" w:eastAsia="Arial" w:hAnsi="Arial"/>
                <w:sz w:val="18"/>
                <w:szCs w:val="18"/>
                <w:color w:val="auto"/>
              </w:rPr>
              <w:t>XBRL Instance Document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5260" w:type="dxa"/>
            <w:vAlign w:val="bottom"/>
          </w:tcPr>
          <w:p>
            <w:pPr>
              <w:ind w:left="320"/>
              <w:spacing w:after="0"/>
              <w:rPr>
                <w:sz w:val="20"/>
                <w:szCs w:val="20"/>
                <w:color w:val="auto"/>
              </w:rPr>
            </w:pPr>
            <w:r>
              <w:rPr>
                <w:rFonts w:ascii="Arial" w:cs="Arial" w:eastAsia="Arial" w:hAnsi="Arial"/>
                <w:sz w:val="18"/>
                <w:szCs w:val="18"/>
                <w:color w:val="auto"/>
              </w:rPr>
              <w:t>XBRL Taxonomy Extension Schema</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5260" w:type="dxa"/>
            <w:vAlign w:val="bottom"/>
          </w:tcPr>
          <w:p>
            <w:pPr>
              <w:ind w:left="320"/>
              <w:spacing w:after="0"/>
              <w:rPr>
                <w:sz w:val="20"/>
                <w:szCs w:val="20"/>
                <w:color w:val="auto"/>
              </w:rPr>
            </w:pPr>
            <w:r>
              <w:rPr>
                <w:rFonts w:ascii="Arial" w:cs="Arial" w:eastAsia="Arial" w:hAnsi="Arial"/>
                <w:sz w:val="18"/>
                <w:szCs w:val="18"/>
                <w:color w:val="auto"/>
              </w:rPr>
              <w:t>XBRL Taxonomy Extension Calculation Linkbase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5260" w:type="dxa"/>
            <w:vAlign w:val="bottom"/>
          </w:tcPr>
          <w:p>
            <w:pPr>
              <w:ind w:left="320"/>
              <w:spacing w:after="0"/>
              <w:rPr>
                <w:sz w:val="20"/>
                <w:szCs w:val="20"/>
                <w:color w:val="auto"/>
              </w:rPr>
            </w:pPr>
            <w:r>
              <w:rPr>
                <w:rFonts w:ascii="Arial" w:cs="Arial" w:eastAsia="Arial" w:hAnsi="Arial"/>
                <w:sz w:val="18"/>
                <w:szCs w:val="18"/>
                <w:color w:val="auto"/>
              </w:rPr>
              <w:t>XBRL Taxonomy Extension Definition Linkbase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5260" w:type="dxa"/>
            <w:vAlign w:val="bottom"/>
          </w:tcPr>
          <w:p>
            <w:pPr>
              <w:ind w:left="320"/>
              <w:spacing w:after="0"/>
              <w:rPr>
                <w:sz w:val="20"/>
                <w:szCs w:val="20"/>
                <w:color w:val="auto"/>
              </w:rPr>
            </w:pPr>
            <w:r>
              <w:rPr>
                <w:rFonts w:ascii="Arial" w:cs="Arial" w:eastAsia="Arial" w:hAnsi="Arial"/>
                <w:sz w:val="18"/>
                <w:szCs w:val="18"/>
                <w:color w:val="auto"/>
              </w:rPr>
              <w:t>XBRL Taxonomy Extension Label Linkbase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5260" w:type="dxa"/>
            <w:vAlign w:val="bottom"/>
          </w:tcPr>
          <w:p>
            <w:pPr>
              <w:ind w:left="320"/>
              <w:spacing w:after="0"/>
              <w:rPr>
                <w:sz w:val="20"/>
                <w:szCs w:val="20"/>
                <w:color w:val="auto"/>
              </w:rPr>
            </w:pPr>
            <w:r>
              <w:rPr>
                <w:rFonts w:ascii="Arial" w:cs="Arial" w:eastAsia="Arial" w:hAnsi="Arial"/>
                <w:sz w:val="18"/>
                <w:szCs w:val="18"/>
                <w:color w:val="auto"/>
              </w:rPr>
              <w:t>XBRL Taxonomy Extension Presentation Linkbase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91" w:lineRule="exact"/>
        <w:rPr>
          <w:sz w:val="20"/>
          <w:szCs w:val="20"/>
          <w:color w:val="auto"/>
        </w:rPr>
      </w:pPr>
    </w:p>
    <w:p>
      <w:pPr>
        <w:ind w:left="720" w:hanging="685"/>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63" w:lineRule="exact"/>
        <w:rPr>
          <w:sz w:val="20"/>
          <w:szCs w:val="20"/>
          <w:color w:val="auto"/>
        </w:rPr>
      </w:pPr>
    </w:p>
    <w:p>
      <w:pPr>
        <w:jc w:val="both"/>
        <w:ind w:left="720" w:hanging="685"/>
        <w:spacing w:after="0" w:line="264"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w:t>
      </w:r>
    </w:p>
    <w:p>
      <w:pPr>
        <w:spacing w:after="0" w:line="19" w:lineRule="exact"/>
        <w:rPr>
          <w:sz w:val="20"/>
          <w:szCs w:val="20"/>
          <w:color w:val="auto"/>
        </w:rPr>
      </w:pPr>
    </w:p>
    <w:p>
      <w:pPr>
        <w:ind w:left="720" w:hanging="685"/>
        <w:spacing w:after="0"/>
        <w:tabs>
          <w:tab w:leader="none" w:pos="720" w:val="left"/>
        </w:tabs>
        <w:numPr>
          <w:ilvl w:val="0"/>
          <w:numId w:val="27"/>
        </w:numPr>
        <w:rPr>
          <w:rFonts w:ascii="Arial" w:cs="Arial" w:eastAsia="Arial" w:hAnsi="Arial"/>
          <w:sz w:val="13"/>
          <w:szCs w:val="13"/>
          <w:color w:val="auto"/>
        </w:rPr>
      </w:pPr>
      <w:r>
        <w:rPr>
          <w:rFonts w:ascii="Arial" w:cs="Arial" w:eastAsia="Arial" w:hAnsi="Arial"/>
          <w:sz w:val="18"/>
          <w:szCs w:val="18"/>
          <w:color w:val="auto"/>
        </w:rPr>
        <w:t>Management contract, compensatory plan or arrangement.</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121" w:right="27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418080" cy="531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2418080" cy="531495"/>
                    </a:xfrm>
                    <a:prstGeom prst="rect">
                      <a:avLst/>
                    </a:prstGeom>
                    <a:noFill/>
                  </pic:spPr>
                </pic:pic>
              </a:graphicData>
            </a:graphic>
          </wp:anchor>
        </w:drawing>
        <w:t>Exhibit 4.3</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November 20, 2013</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100 F Street, N.E.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Washington, D.C. 20549</w:t>
      </w:r>
    </w:p>
    <w:p>
      <w:pPr>
        <w:spacing w:after="0" w:line="242" w:lineRule="exact"/>
        <w:rPr>
          <w:sz w:val="20"/>
          <w:szCs w:val="20"/>
          <w:color w:val="auto"/>
        </w:rPr>
      </w:pPr>
    </w:p>
    <w:p>
      <w:pPr>
        <w:ind w:left="1960" w:right="300" w:hanging="659"/>
        <w:spacing w:after="0" w:line="263" w:lineRule="auto"/>
        <w:tabs>
          <w:tab w:leader="none" w:pos="19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The Scotts Miracle-Gro Company – Annual Report on Form 10-K for the fiscal year ended September 30, 2013</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ind w:right="760" w:firstLine="648"/>
        <w:spacing w:after="0" w:line="263" w:lineRule="auto"/>
        <w:rPr>
          <w:sz w:val="20"/>
          <w:szCs w:val="20"/>
          <w:color w:val="auto"/>
        </w:rPr>
      </w:pPr>
      <w:r>
        <w:rPr>
          <w:rFonts w:ascii="Arial" w:cs="Arial" w:eastAsia="Arial" w:hAnsi="Arial"/>
          <w:sz w:val="22"/>
          <w:szCs w:val="22"/>
          <w:color w:val="auto"/>
        </w:rPr>
        <w:t>The Scotts Miracle-Gro Company, an Ohio corporation (“Scotts Miracle-Gro”), is today filing its Annual Report on Form 10-K for the fiscal year ended September 30, 2013 (the “Form 10-K”).</w:t>
      </w:r>
    </w:p>
    <w:p>
      <w:pPr>
        <w:spacing w:after="0" w:line="175" w:lineRule="exact"/>
        <w:rPr>
          <w:sz w:val="20"/>
          <w:szCs w:val="20"/>
          <w:color w:val="auto"/>
        </w:rPr>
      </w:pPr>
    </w:p>
    <w:p>
      <w:pPr>
        <w:ind w:right="260" w:firstLine="648"/>
        <w:spacing w:after="0" w:line="292" w:lineRule="auto"/>
        <w:rPr>
          <w:sz w:val="20"/>
          <w:szCs w:val="20"/>
          <w:color w:val="auto"/>
        </w:rPr>
      </w:pPr>
      <w:r>
        <w:rPr>
          <w:rFonts w:ascii="Arial" w:cs="Arial" w:eastAsia="Arial" w:hAnsi="Arial"/>
          <w:sz w:val="19"/>
          <w:szCs w:val="19"/>
          <w:color w:val="auto"/>
        </w:rPr>
        <w:t>Neither Scotts Miracle-Gro nor any of its consolidated subsidiaries has outstanding any instrument or agreement with respect to its long-term debt, other than those filed or incorporated by reference as an exhibit to the Form 10-K, under which the total amount of long-term debt authorized exceeds ten percent (10%) of the total assets of Scotts Miracle-Gro and its subsidiaries on a consolidated basis. In accordance with the provisions of Item 601(b)(4)(iii) of SEC Regulation S-K, Scotts Miracle-Gro hereby agrees to furnish to the SEC, upon request, a copy of each such instrument or agreement defining the rights of holders of long-term debt of Scotts Miracle-Gro or the rights of holders of long-term debt of one of Scotts Miracle-Gro’s consolidated subsidiaries, in each case which is not being filed or incorporated by reference as an exhibit to the Form 10-K.</w:t>
      </w:r>
    </w:p>
    <w:p>
      <w:pPr>
        <w:spacing w:after="0" w:line="15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THE SCOTTS MIRACLE-GRO COMPANY</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LAWRENCE A. HILSHEIMER</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Lawrence A. Hilsheimer</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14111 Scottslawn Road Marysville, OH 43041 937-644-0011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www.scotts.com</w:t>
      </w:r>
    </w:p>
    <w:p>
      <w:pPr>
        <w:sectPr>
          <w:pgSz w:w="11900" w:h="16838" w:orient="portrait"/>
          <w:cols w:equalWidth="0" w:num="1">
            <w:col w:w="11420"/>
          </w:cols>
          <w:pgMar w:left="240" w:top="1418"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10.7(c)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Officers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who are parties to form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Employee Confidentiality, Noncompetition,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Nonsolicitation Agreement for employees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participating in The Scotts Company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Amended and Restated Executive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Date of Employee Confidentiality,</w:t>
            </w:r>
          </w:p>
        </w:tc>
      </w:tr>
      <w:tr>
        <w:trPr>
          <w:trHeight w:val="270"/>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Name and Principal Position</w:t>
            </w:r>
          </w:p>
        </w:tc>
        <w:tc>
          <w:tcPr>
            <w:tcW w:w="3980" w:type="dxa"/>
            <w:vAlign w:val="bottom"/>
          </w:tcPr>
          <w:p>
            <w:pPr>
              <w:ind w:left="20"/>
              <w:spacing w:after="0"/>
              <w:rPr>
                <w:sz w:val="20"/>
                <w:szCs w:val="20"/>
                <w:color w:val="auto"/>
              </w:rPr>
            </w:pPr>
            <w:r>
              <w:rPr>
                <w:rFonts w:ascii="Arial" w:cs="Arial" w:eastAsia="Arial" w:hAnsi="Arial"/>
                <w:sz w:val="18"/>
                <w:szCs w:val="18"/>
                <w:color w:val="auto"/>
              </w:rPr>
              <w:t>Noncompetition, Nonsolicitation</w:t>
            </w:r>
          </w:p>
        </w:tc>
      </w:tr>
      <w:tr>
        <w:trPr>
          <w:trHeight w:val="270"/>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with The Scotts Miracle-Gro Company</w:t>
            </w:r>
          </w:p>
        </w:tc>
        <w:tc>
          <w:tcPr>
            <w:tcW w:w="3980" w:type="dxa"/>
            <w:vAlign w:val="bottom"/>
          </w:tcPr>
          <w:p>
            <w:pPr>
              <w:ind w:left="20"/>
              <w:spacing w:after="0"/>
              <w:rPr>
                <w:sz w:val="20"/>
                <w:szCs w:val="20"/>
                <w:color w:val="auto"/>
              </w:rPr>
            </w:pPr>
            <w:r>
              <w:rPr>
                <w:rFonts w:ascii="Arial" w:cs="Arial" w:eastAsia="Arial" w:hAnsi="Arial"/>
                <w:sz w:val="18"/>
                <w:szCs w:val="18"/>
                <w:color w:val="auto"/>
              </w:rPr>
              <w:t>Agreement</w:t>
            </w: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50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Barry W. Sanders, President and Chief Operating Officer</w:t>
            </w:r>
          </w:p>
        </w:tc>
        <w:tc>
          <w:tcPr>
            <w:tcW w:w="3980" w:type="dxa"/>
            <w:vAlign w:val="bottom"/>
          </w:tcPr>
          <w:p>
            <w:pPr>
              <w:jc w:val="center"/>
              <w:spacing w:after="0"/>
              <w:rPr>
                <w:sz w:val="20"/>
                <w:szCs w:val="20"/>
                <w:color w:val="auto"/>
              </w:rPr>
            </w:pPr>
            <w:r>
              <w:rPr>
                <w:rFonts w:ascii="Arial" w:cs="Arial" w:eastAsia="Arial" w:hAnsi="Arial"/>
                <w:sz w:val="18"/>
                <w:szCs w:val="18"/>
                <w:color w:val="auto"/>
                <w:w w:val="95"/>
              </w:rPr>
              <w:t>April 22, 2005</w:t>
            </w:r>
          </w:p>
        </w:tc>
      </w:tr>
      <w:tr>
        <w:trPr>
          <w:trHeight w:val="540"/>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Michael C. Lukemire, Executive Vice President, Business Execution</w:t>
            </w:r>
          </w:p>
        </w:tc>
        <w:tc>
          <w:tcPr>
            <w:tcW w:w="3980" w:type="dxa"/>
            <w:vAlign w:val="bottom"/>
          </w:tcPr>
          <w:p>
            <w:pPr>
              <w:jc w:val="center"/>
              <w:spacing w:after="0"/>
              <w:rPr>
                <w:sz w:val="20"/>
                <w:szCs w:val="20"/>
                <w:color w:val="auto"/>
              </w:rPr>
            </w:pPr>
            <w:r>
              <w:rPr>
                <w:rFonts w:ascii="Arial" w:cs="Arial" w:eastAsia="Arial" w:hAnsi="Arial"/>
                <w:sz w:val="18"/>
                <w:szCs w:val="18"/>
                <w:color w:val="auto"/>
                <w:w w:val="89"/>
              </w:rPr>
              <w:t>June 26, 2006</w:t>
            </w:r>
          </w:p>
        </w:tc>
      </w:tr>
      <w:tr>
        <w:trPr>
          <w:trHeight w:val="526"/>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Ivan C. Smith, Executive Vice President, General Counsel, Corporate Secretary and Chief</w:t>
            </w:r>
          </w:p>
        </w:tc>
        <w:tc>
          <w:tcPr>
            <w:tcW w:w="3980" w:type="dxa"/>
            <w:vAlign w:val="bottom"/>
          </w:tcPr>
          <w:p>
            <w:pPr>
              <w:jc w:val="center"/>
              <w:spacing w:after="0"/>
              <w:rPr>
                <w:sz w:val="20"/>
                <w:szCs w:val="20"/>
                <w:color w:val="auto"/>
              </w:rPr>
            </w:pPr>
            <w:r>
              <w:rPr>
                <w:rFonts w:ascii="Arial" w:cs="Arial" w:eastAsia="Arial" w:hAnsi="Arial"/>
                <w:sz w:val="18"/>
                <w:szCs w:val="18"/>
                <w:color w:val="auto"/>
                <w:w w:val="89"/>
              </w:rPr>
              <w:t>June 26, 2006</w:t>
            </w:r>
          </w:p>
        </w:tc>
      </w:tr>
      <w:tr>
        <w:trPr>
          <w:trHeight w:val="230"/>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Compliance Officer</w:t>
            </w:r>
          </w:p>
        </w:tc>
        <w:tc>
          <w:tcPr>
            <w:tcW w:w="3980" w:type="dxa"/>
            <w:vAlign w:val="bottom"/>
          </w:tcPr>
          <w:p>
            <w:pPr>
              <w:spacing w:after="0"/>
              <w:rPr>
                <w:sz w:val="20"/>
                <w:szCs w:val="20"/>
                <w:color w:val="auto"/>
              </w:rPr>
            </w:pPr>
          </w:p>
        </w:tc>
      </w:tr>
      <w:tr>
        <w:trPr>
          <w:trHeight w:val="540"/>
        </w:trPr>
        <w:tc>
          <w:tcPr>
            <w:tcW w:w="7440" w:type="dxa"/>
            <w:vAlign w:val="bottom"/>
            <w:gridSpan w:val="2"/>
          </w:tcPr>
          <w:p>
            <w:pPr>
              <w:ind w:left="40"/>
              <w:spacing w:after="0"/>
              <w:rPr>
                <w:sz w:val="20"/>
                <w:szCs w:val="20"/>
                <w:color w:val="auto"/>
              </w:rPr>
            </w:pPr>
            <w:r>
              <w:rPr>
                <w:rFonts w:ascii="Arial" w:cs="Arial" w:eastAsia="Arial" w:hAnsi="Arial"/>
                <w:sz w:val="18"/>
                <w:szCs w:val="18"/>
                <w:color w:val="auto"/>
                <w:w w:val="97"/>
              </w:rPr>
              <w:t>Denise S. Stump, Executive Vice President, Global Human Resources and Chief Ethics Officer</w:t>
            </w:r>
          </w:p>
        </w:tc>
        <w:tc>
          <w:tcPr>
            <w:tcW w:w="3980" w:type="dxa"/>
            <w:vAlign w:val="bottom"/>
          </w:tcPr>
          <w:p>
            <w:pPr>
              <w:jc w:val="center"/>
              <w:spacing w:after="0"/>
              <w:rPr>
                <w:sz w:val="20"/>
                <w:szCs w:val="20"/>
                <w:color w:val="auto"/>
              </w:rPr>
            </w:pPr>
            <w:r>
              <w:rPr>
                <w:rFonts w:ascii="Arial" w:cs="Arial" w:eastAsia="Arial" w:hAnsi="Arial"/>
                <w:sz w:val="18"/>
                <w:szCs w:val="18"/>
                <w:color w:val="auto"/>
                <w:w w:val="90"/>
              </w:rPr>
              <w:t>August 8, 2006</w:t>
            </w:r>
          </w:p>
        </w:tc>
      </w:tr>
      <w:tr>
        <w:trPr>
          <w:trHeight w:val="540"/>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James R. Lyski, Executive Vice President, Chief Marketing Officer</w:t>
            </w:r>
          </w:p>
        </w:tc>
        <w:tc>
          <w:tcPr>
            <w:tcW w:w="3980" w:type="dxa"/>
            <w:vAlign w:val="bottom"/>
          </w:tcPr>
          <w:p>
            <w:pPr>
              <w:jc w:val="center"/>
              <w:spacing w:after="0"/>
              <w:rPr>
                <w:sz w:val="20"/>
                <w:szCs w:val="20"/>
                <w:color w:val="auto"/>
              </w:rPr>
            </w:pPr>
            <w:r>
              <w:rPr>
                <w:rFonts w:ascii="Arial" w:cs="Arial" w:eastAsia="Arial" w:hAnsi="Arial"/>
                <w:sz w:val="18"/>
                <w:szCs w:val="18"/>
                <w:color w:val="auto"/>
                <w:w w:val="94"/>
              </w:rPr>
              <w:t>April 6, 2011</w:t>
            </w:r>
          </w:p>
        </w:tc>
      </w:tr>
      <w:tr>
        <w:trPr>
          <w:trHeight w:val="540"/>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Lawrence A. Hilsheimer, Executive Vice President and Chief Financial Officer</w:t>
            </w:r>
          </w:p>
        </w:tc>
        <w:tc>
          <w:tcPr>
            <w:tcW w:w="3980" w:type="dxa"/>
            <w:vAlign w:val="bottom"/>
          </w:tcPr>
          <w:p>
            <w:pPr>
              <w:jc w:val="center"/>
              <w:spacing w:after="0"/>
              <w:rPr>
                <w:sz w:val="20"/>
                <w:szCs w:val="20"/>
                <w:color w:val="auto"/>
              </w:rPr>
            </w:pPr>
            <w:r>
              <w:rPr>
                <w:rFonts w:ascii="Arial" w:cs="Arial" w:eastAsia="Arial" w:hAnsi="Arial"/>
                <w:sz w:val="18"/>
                <w:szCs w:val="18"/>
                <w:color w:val="auto"/>
                <w:w w:val="96"/>
              </w:rPr>
              <w:t>April 1, 2013</w:t>
            </w:r>
          </w:p>
        </w:tc>
      </w:tr>
    </w:tbl>
    <w:p>
      <w:pPr>
        <w:sectPr>
          <w:pgSz w:w="11900" w:h="16838" w:orient="portrait"/>
          <w:cols w:equalWidth="0" w:num="1">
            <w:col w:w="11420"/>
          </w:cols>
          <w:pgMar w:left="240" w:top="580"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10.11(c)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Executive Officers of</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who are parties to form of</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Tier 1 Participation Agreement under</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The Scotts Company LLC Executive Severance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1"/>
              </w:rPr>
              <w:t>Effective Date of Employee,</w:t>
            </w:r>
          </w:p>
        </w:tc>
      </w:tr>
      <w:tr>
        <w:trPr>
          <w:trHeight w:val="270"/>
        </w:trPr>
        <w:tc>
          <w:tcPr>
            <w:tcW w:w="5220" w:type="dxa"/>
            <w:vAlign w:val="bottom"/>
            <w:gridSpan w:val="2"/>
          </w:tcPr>
          <w:p>
            <w:pPr>
              <w:ind w:left="1520"/>
              <w:spacing w:after="0"/>
              <w:rPr>
                <w:sz w:val="20"/>
                <w:szCs w:val="20"/>
                <w:color w:val="auto"/>
              </w:rPr>
            </w:pPr>
            <w:r>
              <w:rPr>
                <w:rFonts w:ascii="Arial" w:cs="Arial" w:eastAsia="Arial" w:hAnsi="Arial"/>
                <w:sz w:val="18"/>
                <w:szCs w:val="18"/>
                <w:color w:val="auto"/>
              </w:rPr>
              <w:t>Name and Principal Position</w:t>
            </w:r>
          </w:p>
        </w:tc>
        <w:tc>
          <w:tcPr>
            <w:tcW w:w="3740" w:type="dxa"/>
            <w:vAlign w:val="bottom"/>
          </w:tcPr>
          <w:p>
            <w:pPr>
              <w:jc w:val="center"/>
              <w:spacing w:after="0"/>
              <w:rPr>
                <w:sz w:val="20"/>
                <w:szCs w:val="20"/>
                <w:color w:val="auto"/>
              </w:rPr>
            </w:pPr>
            <w:r>
              <w:rPr>
                <w:rFonts w:ascii="Arial" w:cs="Arial" w:eastAsia="Arial" w:hAnsi="Arial"/>
                <w:sz w:val="18"/>
                <w:szCs w:val="18"/>
                <w:color w:val="auto"/>
                <w:w w:val="93"/>
              </w:rPr>
              <w:t>Tier 1 Participation</w:t>
            </w:r>
          </w:p>
        </w:tc>
      </w:tr>
      <w:tr>
        <w:trPr>
          <w:trHeight w:val="270"/>
        </w:trPr>
        <w:tc>
          <w:tcPr>
            <w:tcW w:w="5220" w:type="dxa"/>
            <w:vAlign w:val="bottom"/>
            <w:gridSpan w:val="2"/>
          </w:tcPr>
          <w:p>
            <w:pPr>
              <w:ind w:left="1140"/>
              <w:spacing w:after="0"/>
              <w:rPr>
                <w:sz w:val="20"/>
                <w:szCs w:val="20"/>
                <w:color w:val="auto"/>
              </w:rPr>
            </w:pPr>
            <w:r>
              <w:rPr>
                <w:rFonts w:ascii="Arial" w:cs="Arial" w:eastAsia="Arial" w:hAnsi="Arial"/>
                <w:sz w:val="18"/>
                <w:szCs w:val="18"/>
                <w:color w:val="auto"/>
              </w:rPr>
              <w:t>with The Scotts Miracle-Gro Company</w:t>
            </w:r>
          </w:p>
        </w:tc>
        <w:tc>
          <w:tcPr>
            <w:tcW w:w="3740" w:type="dxa"/>
            <w:vAlign w:val="bottom"/>
          </w:tcPr>
          <w:p>
            <w:pPr>
              <w:jc w:val="center"/>
              <w:spacing w:after="0"/>
              <w:rPr>
                <w:sz w:val="20"/>
                <w:szCs w:val="20"/>
                <w:color w:val="auto"/>
              </w:rPr>
            </w:pPr>
            <w:r>
              <w:rPr>
                <w:rFonts w:ascii="Arial" w:cs="Arial" w:eastAsia="Arial" w:hAnsi="Arial"/>
                <w:sz w:val="18"/>
                <w:szCs w:val="18"/>
                <w:color w:val="auto"/>
                <w:w w:val="90"/>
              </w:rPr>
              <w:t>Agreement</w:t>
            </w:r>
          </w:p>
        </w:tc>
      </w:tr>
      <w:tr>
        <w:trPr>
          <w:trHeight w:val="27"/>
        </w:trPr>
        <w:tc>
          <w:tcPr>
            <w:tcW w:w="5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507"/>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Barry W. Sanders, President and Chief Operating Officer</w:t>
            </w:r>
          </w:p>
        </w:tc>
        <w:tc>
          <w:tcPr>
            <w:tcW w:w="3740" w:type="dxa"/>
            <w:vAlign w:val="bottom"/>
          </w:tcPr>
          <w:p>
            <w:pPr>
              <w:jc w:val="center"/>
              <w:spacing w:after="0"/>
              <w:rPr>
                <w:sz w:val="20"/>
                <w:szCs w:val="20"/>
                <w:color w:val="auto"/>
              </w:rPr>
            </w:pPr>
            <w:r>
              <w:rPr>
                <w:rFonts w:ascii="Arial" w:cs="Arial" w:eastAsia="Arial" w:hAnsi="Arial"/>
                <w:sz w:val="18"/>
                <w:szCs w:val="18"/>
                <w:color w:val="auto"/>
                <w:w w:val="89"/>
              </w:rPr>
              <w:t>November 5, 2011</w:t>
            </w:r>
          </w:p>
        </w:tc>
      </w:tr>
      <w:tr>
        <w:trPr>
          <w:trHeight w:val="526"/>
        </w:trPr>
        <w:tc>
          <w:tcPr>
            <w:tcW w:w="5220" w:type="dxa"/>
            <w:vAlign w:val="bottom"/>
            <w:gridSpan w:val="2"/>
          </w:tcPr>
          <w:p>
            <w:pPr>
              <w:ind w:left="20"/>
              <w:spacing w:after="0"/>
              <w:rPr>
                <w:sz w:val="20"/>
                <w:szCs w:val="20"/>
                <w:color w:val="auto"/>
              </w:rPr>
            </w:pPr>
            <w:r>
              <w:rPr>
                <w:rFonts w:ascii="Arial" w:cs="Arial" w:eastAsia="Arial" w:hAnsi="Arial"/>
                <w:sz w:val="18"/>
                <w:szCs w:val="18"/>
                <w:color w:val="auto"/>
                <w:w w:val="92"/>
              </w:rPr>
              <w:t>Denise S. Stump, Executive Vice President, Global Human Resources</w:t>
            </w:r>
          </w:p>
        </w:tc>
        <w:tc>
          <w:tcPr>
            <w:tcW w:w="3740" w:type="dxa"/>
            <w:vAlign w:val="bottom"/>
          </w:tcPr>
          <w:p>
            <w:pPr>
              <w:jc w:val="center"/>
              <w:spacing w:after="0"/>
              <w:rPr>
                <w:sz w:val="20"/>
                <w:szCs w:val="20"/>
                <w:color w:val="auto"/>
              </w:rPr>
            </w:pPr>
            <w:r>
              <w:rPr>
                <w:rFonts w:ascii="Arial" w:cs="Arial" w:eastAsia="Arial" w:hAnsi="Arial"/>
                <w:sz w:val="18"/>
                <w:szCs w:val="18"/>
                <w:color w:val="auto"/>
                <w:w w:val="89"/>
              </w:rPr>
              <w:t>November 5, 2011</w:t>
            </w:r>
          </w:p>
        </w:tc>
      </w:tr>
      <w:tr>
        <w:trPr>
          <w:trHeight w:val="230"/>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and Chief Ethics Officer</w:t>
            </w:r>
          </w:p>
        </w:tc>
        <w:tc>
          <w:tcPr>
            <w:tcW w:w="3740" w:type="dxa"/>
            <w:vAlign w:val="bottom"/>
          </w:tcPr>
          <w:p>
            <w:pPr>
              <w:spacing w:after="0"/>
              <w:rPr>
                <w:sz w:val="20"/>
                <w:szCs w:val="20"/>
                <w:color w:val="auto"/>
              </w:rPr>
            </w:pPr>
          </w:p>
        </w:tc>
      </w:tr>
      <w:tr>
        <w:trPr>
          <w:trHeight w:val="540"/>
        </w:trPr>
        <w:tc>
          <w:tcPr>
            <w:tcW w:w="5220" w:type="dxa"/>
            <w:vAlign w:val="bottom"/>
            <w:gridSpan w:val="2"/>
          </w:tcPr>
          <w:p>
            <w:pPr>
              <w:ind w:left="20"/>
              <w:spacing w:after="0"/>
              <w:rPr>
                <w:sz w:val="20"/>
                <w:szCs w:val="20"/>
                <w:color w:val="auto"/>
              </w:rPr>
            </w:pPr>
            <w:r>
              <w:rPr>
                <w:rFonts w:ascii="Arial" w:cs="Arial" w:eastAsia="Arial" w:hAnsi="Arial"/>
                <w:sz w:val="18"/>
                <w:szCs w:val="18"/>
                <w:color w:val="auto"/>
                <w:w w:val="98"/>
              </w:rPr>
              <w:t>James R. Lyski, Executive Vice President, Chief Marketing Officer</w:t>
            </w:r>
          </w:p>
        </w:tc>
        <w:tc>
          <w:tcPr>
            <w:tcW w:w="3740" w:type="dxa"/>
            <w:vAlign w:val="bottom"/>
          </w:tcPr>
          <w:p>
            <w:pPr>
              <w:jc w:val="center"/>
              <w:spacing w:after="0"/>
              <w:rPr>
                <w:sz w:val="20"/>
                <w:szCs w:val="20"/>
                <w:color w:val="auto"/>
              </w:rPr>
            </w:pPr>
            <w:r>
              <w:rPr>
                <w:rFonts w:ascii="Arial" w:cs="Arial" w:eastAsia="Arial" w:hAnsi="Arial"/>
                <w:sz w:val="18"/>
                <w:szCs w:val="18"/>
                <w:color w:val="auto"/>
                <w:w w:val="89"/>
              </w:rPr>
              <w:t>November 5, 2011</w:t>
            </w:r>
          </w:p>
        </w:tc>
      </w:tr>
      <w:tr>
        <w:trPr>
          <w:trHeight w:val="540"/>
        </w:trPr>
        <w:tc>
          <w:tcPr>
            <w:tcW w:w="5220" w:type="dxa"/>
            <w:vAlign w:val="bottom"/>
            <w:gridSpan w:val="2"/>
          </w:tcPr>
          <w:p>
            <w:pPr>
              <w:ind w:left="20"/>
              <w:spacing w:after="0"/>
              <w:rPr>
                <w:sz w:val="20"/>
                <w:szCs w:val="20"/>
                <w:color w:val="auto"/>
              </w:rPr>
            </w:pPr>
            <w:r>
              <w:rPr>
                <w:rFonts w:ascii="Arial" w:cs="Arial" w:eastAsia="Arial" w:hAnsi="Arial"/>
                <w:sz w:val="18"/>
                <w:szCs w:val="18"/>
                <w:color w:val="auto"/>
                <w:w w:val="95"/>
              </w:rPr>
              <w:t>Michael C. Lukemire, Executive Vice President, Business Execution</w:t>
            </w:r>
          </w:p>
        </w:tc>
        <w:tc>
          <w:tcPr>
            <w:tcW w:w="3740" w:type="dxa"/>
            <w:vAlign w:val="bottom"/>
          </w:tcPr>
          <w:p>
            <w:pPr>
              <w:jc w:val="center"/>
              <w:spacing w:after="0"/>
              <w:rPr>
                <w:sz w:val="20"/>
                <w:szCs w:val="20"/>
                <w:color w:val="auto"/>
              </w:rPr>
            </w:pPr>
            <w:r>
              <w:rPr>
                <w:rFonts w:ascii="Arial" w:cs="Arial" w:eastAsia="Arial" w:hAnsi="Arial"/>
                <w:sz w:val="18"/>
                <w:szCs w:val="18"/>
                <w:color w:val="auto"/>
                <w:w w:val="93"/>
              </w:rPr>
              <w:t>April 26, 2012</w:t>
            </w:r>
          </w:p>
        </w:tc>
      </w:tr>
      <w:tr>
        <w:trPr>
          <w:trHeight w:val="526"/>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Lawrence A. Hilsheimer, Executive Vice President and Chief</w:t>
            </w:r>
          </w:p>
        </w:tc>
        <w:tc>
          <w:tcPr>
            <w:tcW w:w="3740" w:type="dxa"/>
            <w:vAlign w:val="bottom"/>
          </w:tcPr>
          <w:p>
            <w:pPr>
              <w:jc w:val="center"/>
              <w:spacing w:after="0"/>
              <w:rPr>
                <w:sz w:val="20"/>
                <w:szCs w:val="20"/>
                <w:color w:val="auto"/>
              </w:rPr>
            </w:pPr>
            <w:r>
              <w:rPr>
                <w:rFonts w:ascii="Arial" w:cs="Arial" w:eastAsia="Arial" w:hAnsi="Arial"/>
                <w:sz w:val="18"/>
                <w:szCs w:val="18"/>
                <w:color w:val="auto"/>
                <w:w w:val="94"/>
              </w:rPr>
              <w:t>April 1, 2013</w:t>
            </w:r>
          </w:p>
        </w:tc>
      </w:tr>
      <w:tr>
        <w:trPr>
          <w:trHeight w:val="230"/>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Financial Officer</w:t>
            </w:r>
          </w:p>
        </w:tc>
        <w:tc>
          <w:tcPr>
            <w:tcW w:w="3740" w:type="dxa"/>
            <w:vAlign w:val="bottom"/>
          </w:tcPr>
          <w:p>
            <w:pPr>
              <w:spacing w:after="0"/>
              <w:rPr>
                <w:sz w:val="20"/>
                <w:szCs w:val="20"/>
                <w:color w:val="auto"/>
              </w:rPr>
            </w:pPr>
          </w:p>
        </w:tc>
      </w:tr>
      <w:tr>
        <w:trPr>
          <w:trHeight w:val="526"/>
        </w:trPr>
        <w:tc>
          <w:tcPr>
            <w:tcW w:w="5220" w:type="dxa"/>
            <w:vAlign w:val="bottom"/>
            <w:gridSpan w:val="2"/>
          </w:tcPr>
          <w:p>
            <w:pPr>
              <w:ind w:left="20"/>
              <w:spacing w:after="0"/>
              <w:rPr>
                <w:sz w:val="20"/>
                <w:szCs w:val="20"/>
                <w:color w:val="auto"/>
              </w:rPr>
            </w:pPr>
            <w:r>
              <w:rPr>
                <w:rFonts w:ascii="Arial" w:cs="Arial" w:eastAsia="Arial" w:hAnsi="Arial"/>
                <w:sz w:val="18"/>
                <w:szCs w:val="18"/>
                <w:color w:val="auto"/>
                <w:w w:val="93"/>
              </w:rPr>
              <w:t>Ivan C. Smith, Executive Vice President, General Counsel, Corporate</w:t>
            </w:r>
          </w:p>
        </w:tc>
        <w:tc>
          <w:tcPr>
            <w:tcW w:w="3740" w:type="dxa"/>
            <w:vAlign w:val="bottom"/>
          </w:tcPr>
          <w:p>
            <w:pPr>
              <w:jc w:val="center"/>
              <w:spacing w:after="0"/>
              <w:rPr>
                <w:sz w:val="20"/>
                <w:szCs w:val="20"/>
                <w:color w:val="auto"/>
              </w:rPr>
            </w:pPr>
            <w:r>
              <w:rPr>
                <w:rFonts w:ascii="Arial" w:cs="Arial" w:eastAsia="Arial" w:hAnsi="Arial"/>
                <w:sz w:val="18"/>
                <w:szCs w:val="18"/>
                <w:color w:val="auto"/>
                <w:w w:val="89"/>
              </w:rPr>
              <w:t>July 10, 2013</w:t>
            </w:r>
          </w:p>
        </w:tc>
      </w:tr>
      <w:tr>
        <w:trPr>
          <w:trHeight w:val="230"/>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Secretary and Chief Compliance Officer</w:t>
            </w:r>
          </w:p>
        </w:tc>
        <w:tc>
          <w:tcPr>
            <w:tcW w:w="3740" w:type="dxa"/>
            <w:vAlign w:val="bottom"/>
          </w:tcPr>
          <w:p>
            <w:pPr>
              <w:spacing w:after="0"/>
              <w:rPr>
                <w:sz w:val="20"/>
                <w:szCs w:val="20"/>
                <w:color w:val="auto"/>
              </w:rPr>
            </w:pPr>
          </w:p>
        </w:tc>
      </w:tr>
    </w:tbl>
    <w:p>
      <w:pPr>
        <w:sectPr>
          <w:pgSz w:w="11900" w:h="16838" w:orient="portrait"/>
          <w:cols w:equalWidth="0" w:num="1">
            <w:col w:w="10220"/>
          </w:cols>
          <w:pgMar w:left="1440" w:top="580"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IN MILLIONS)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Fiscal Year Ended September 30,</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15"/>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Fixed charges</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Interest Capitalized</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Total adjusted earnings available for payment of fixed</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267.1</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12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400.3</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ind w:left="40"/>
              <w:spacing w:after="0"/>
              <w:rPr>
                <w:sz w:val="20"/>
                <w:szCs w:val="20"/>
                <w:color w:val="auto"/>
              </w:rPr>
            </w:pPr>
            <w:r>
              <w:rPr>
                <w:rFonts w:ascii="Arial" w:cs="Arial" w:eastAsia="Arial" w:hAnsi="Arial"/>
                <w:sz w:val="18"/>
                <w:szCs w:val="18"/>
                <w:color w:val="auto"/>
              </w:rPr>
              <w:t>Fixed Charges:</w:t>
            </w: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43"/>
        </w:trPr>
        <w:tc>
          <w:tcPr>
            <w:tcW w:w="4080" w:type="dxa"/>
            <w:vAlign w:val="bottom"/>
          </w:tcPr>
          <w:p>
            <w:pPr>
              <w:ind w:left="380"/>
              <w:spacing w:after="0"/>
              <w:rPr>
                <w:sz w:val="20"/>
                <w:szCs w:val="20"/>
                <w:color w:val="auto"/>
              </w:rPr>
            </w:pPr>
            <w:r>
              <w:rPr>
                <w:rFonts w:ascii="Arial" w:cs="Arial" w:eastAsia="Arial" w:hAnsi="Arial"/>
                <w:sz w:val="18"/>
                <w:szCs w:val="18"/>
                <w:color w:val="auto"/>
              </w:rPr>
              <w:t>Interest Capitalized</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Rental expense representative of interest factor</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8"/>
                <w:szCs w:val="18"/>
                <w:color w:val="auto"/>
              </w:rPr>
              <w:t>Total Fixed Charges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67"/>
        </w:trPr>
        <w:tc>
          <w:tcPr>
            <w:tcW w:w="40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Ratio of Earnings to Fixed Charges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right="20" w:hanging="316"/>
        <w:spacing w:after="0" w:line="342" w:lineRule="auto"/>
        <w:tabs>
          <w:tab w:leader="none" w:pos="5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amortization of capitalized interest, adjustments for non-controlling interests in consolidated subsidiaries and distributed earnings of equity investees. Interest expense recorded on tax exposures has been recorded in income tax expense and has therefore been excluded from the calculation.</w:t>
      </w:r>
    </w:p>
    <w:p>
      <w:pPr>
        <w:sectPr>
          <w:pgSz w:w="11900" w:h="16838" w:orient="portrait"/>
          <w:cols w:equalWidth="0" w:num="1">
            <w:col w:w="11420"/>
          </w:cols>
          <w:pgMar w:left="240" w:top="580"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319" w:lineRule="exact"/>
        <w:rPr>
          <w:sz w:val="20"/>
          <w:szCs w:val="20"/>
          <w:color w:val="auto"/>
        </w:rPr>
      </w:pPr>
    </w:p>
    <w:p>
      <w:pPr>
        <w:ind w:left="2820"/>
        <w:spacing w:after="0"/>
        <w:rPr>
          <w:sz w:val="20"/>
          <w:szCs w:val="20"/>
          <w:color w:val="auto"/>
        </w:rPr>
      </w:pPr>
      <w:r>
        <w:rPr>
          <w:rFonts w:ascii="Arial" w:cs="Arial" w:eastAsia="Arial" w:hAnsi="Arial"/>
          <w:sz w:val="22"/>
          <w:szCs w:val="22"/>
          <w:color w:val="auto"/>
        </w:rPr>
        <w:t>SUBSIDIARIES OF THE SCOTTS MIRACLE-GRO COMPANY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Gutwein &amp; Co., Inc., an Indiana corporation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Scotts Global Investments, Inc., a Delaware corporation</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Scotts Switzerland Holdings, SA (Switzerland)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Scotts Luxembourg SARL (Luxembourg)</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OMS Investments, Inc., a Delaware corporation</w:t>
      </w:r>
    </w:p>
    <w:p>
      <w:pPr>
        <w:spacing w:after="0" w:line="4" w:lineRule="exact"/>
        <w:rPr>
          <w:sz w:val="20"/>
          <w:szCs w:val="20"/>
          <w:color w:val="auto"/>
        </w:rPr>
      </w:pPr>
    </w:p>
    <w:p>
      <w:pPr>
        <w:ind w:right="4500" w:firstLine="648"/>
        <w:spacing w:after="0" w:line="243" w:lineRule="auto"/>
        <w:rPr>
          <w:sz w:val="20"/>
          <w:szCs w:val="20"/>
          <w:color w:val="auto"/>
        </w:rPr>
      </w:pPr>
      <w:r>
        <w:rPr>
          <w:rFonts w:ascii="Arial" w:cs="Arial" w:eastAsia="Arial" w:hAnsi="Arial"/>
          <w:sz w:val="22"/>
          <w:szCs w:val="22"/>
          <w:color w:val="auto"/>
        </w:rPr>
        <w:t>Scotts Temecula Operations, LLC, a Delaware limited liability company SMG Growing Media, Inc., an Ohio corporation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Rod McLellan Company, a California corporation</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Hyponex Corporation, a Delaware corporation</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AeroGrow International, Inc., a Nevada Corporation (30.9% ownership)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SMGM LLC, an Ohio limited liability company</w:t>
      </w:r>
    </w:p>
    <w:p>
      <w:pPr>
        <w:spacing w:after="0" w:line="4" w:lineRule="exact"/>
        <w:rPr>
          <w:sz w:val="20"/>
          <w:szCs w:val="20"/>
          <w:color w:val="auto"/>
        </w:rPr>
      </w:pPr>
    </w:p>
    <w:p>
      <w:pPr>
        <w:ind w:left="1300" w:right="4760" w:hanging="647"/>
        <w:spacing w:after="0" w:line="243" w:lineRule="auto"/>
        <w:rPr>
          <w:sz w:val="20"/>
          <w:szCs w:val="20"/>
          <w:color w:val="auto"/>
        </w:rPr>
      </w:pPr>
      <w:r>
        <w:rPr>
          <w:rFonts w:ascii="Arial" w:cs="Arial" w:eastAsia="Arial" w:hAnsi="Arial"/>
          <w:sz w:val="22"/>
          <w:szCs w:val="22"/>
          <w:color w:val="auto"/>
        </w:rPr>
        <w:t>Scotts-Sierra Investments LLC, a Delaware limited liability company ASEF BV (Netherlands)</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Scotts Australia Pty Limited (Australia)</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Scotts Gardening Fertilizer (Wuhan) Co., Ltd. (China)</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Scotts Benelux BVBA (Belgium) (OMS Investments, Inc. owns 0.1%)</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Scotts Canada Ltd. (Canada)</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Scotts Czech s.r.o. (Czech Republic)</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Scotts de Mexico SA de CV (Mexico) (The Scotts Company LLC owns 0.5%)</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Scotts France Holdings SARL (France)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Scotts France SAS (France)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Scotts Celaflor GmbH (Germany)</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Scotts Celaflor HGmbH (Austria)</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Scotts Holdings Limited (United Kingdom)</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Levington Group Limited (United Kingdom)</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The Scotts Company (UK) Limited (United Kingdom)</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The Scotts Company (Manufacturing) Limited (United Kingdom)</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Humax Horticulture Limited (UK)</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O M Scott International Investments Limited (United Kingdom)</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Scotts Horticulture Ltd. (Ireland)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Scotts Poland Sp.z.o.o. (Poland)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Teak 2, Ltd., a Delaware corporation</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Turf-Seed (Europe) Limited (Ireland)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The Scotts Company LLC, an Ohio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EG Systems, Inc., dba Scotts LawnService, an Indiana corporation</w:t>
      </w:r>
    </w:p>
    <w:p>
      <w:pPr>
        <w:spacing w:after="0" w:line="4" w:lineRule="exact"/>
        <w:rPr>
          <w:sz w:val="20"/>
          <w:szCs w:val="20"/>
          <w:color w:val="auto"/>
        </w:rPr>
      </w:pPr>
    </w:p>
    <w:p>
      <w:pPr>
        <w:ind w:right="4940" w:firstLine="648"/>
        <w:spacing w:after="0" w:line="243" w:lineRule="auto"/>
        <w:rPr>
          <w:sz w:val="20"/>
          <w:szCs w:val="20"/>
          <w:color w:val="auto"/>
        </w:rPr>
      </w:pPr>
      <w:r>
        <w:rPr>
          <w:rFonts w:ascii="Arial" w:cs="Arial" w:eastAsia="Arial" w:hAnsi="Arial"/>
          <w:sz w:val="22"/>
          <w:szCs w:val="22"/>
          <w:color w:val="auto"/>
        </w:rPr>
        <w:t>SLS Franchise Systems LLC, a Delaware limited liability company Sanford Scientific, Inc., a New York corporation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Scotts Global Services, Inc., an Ohio corporation</w:t>
      </w:r>
    </w:p>
    <w:p>
      <w:pPr>
        <w:spacing w:after="0" w:line="4" w:lineRule="exact"/>
        <w:rPr>
          <w:sz w:val="20"/>
          <w:szCs w:val="20"/>
          <w:color w:val="auto"/>
        </w:rPr>
      </w:pPr>
    </w:p>
    <w:p>
      <w:pPr>
        <w:ind w:left="660" w:right="5700" w:hanging="647"/>
        <w:spacing w:after="0" w:line="281" w:lineRule="auto"/>
        <w:rPr>
          <w:sz w:val="20"/>
          <w:szCs w:val="20"/>
          <w:color w:val="auto"/>
        </w:rPr>
      </w:pPr>
      <w:r>
        <w:rPr>
          <w:rFonts w:ascii="Arial" w:cs="Arial" w:eastAsia="Arial" w:hAnsi="Arial"/>
          <w:sz w:val="19"/>
          <w:szCs w:val="19"/>
          <w:color w:val="auto"/>
        </w:rPr>
        <w:t>Scotts Manufacturing Company, a Delaware corporation Miracle-Gro Lawn Products, Inc., a New York corporation</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Scotts Products Co., an Ohio corporation</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Scotts Servicios, S.A. de C.V. (Mexico) (Scotts Professional Products Co. owns 50%)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Scotts Professional Products Co., an Ohio corporation</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Scotts Servicios, S.A. de C.V. (Mexico) (Scotts Products Co. owns 50%)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Swiss Farms Products, Inc., a Delaware corporation</w:t>
      </w:r>
    </w:p>
    <w:p>
      <w:pPr>
        <w:sectPr>
          <w:pgSz w:w="11900" w:h="16838" w:orient="portrait"/>
          <w:cols w:equalWidth="0" w:num="1">
            <w:col w:w="11420"/>
          </w:cols>
          <w:pgMar w:left="240" w:top="337"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12"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We consent to the incorporation by reference in this Registration Statement Nos. 033-47073, 333-06061, 333-27561, 333-72715, 333-76697, 333-104490, 333-124503, 333-131466, 333-147397, 333-153925, 333-154364 and 333-186187 on Form S-8 and Registration Statement No. 333-185493 on Form S-3 of our reports dated November 20, 2013 relating to the consolidated financial statements and consolidated financial statement schedules of The Scotts Miracle−Gro Company and subsidiaries (the “Company”) and the effectiveness of the Company’s internal control over financial reporting, appearing in the Company’s Annual Report on Form 10-K for the year ended September 30, 2013.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20, 2013</w:t>
      </w:r>
    </w:p>
    <w:p>
      <w:pPr>
        <w:sectPr>
          <w:pgSz w:w="11900" w:h="16838" w:orient="portrait"/>
          <w:cols w:equalWidth="0" w:num="1">
            <w:col w:w="11420"/>
          </w:cols>
          <w:pgMar w:left="240" w:top="135"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2"/>
          <w:szCs w:val="22"/>
          <w:b w:val="1"/>
          <w:bCs w:val="1"/>
          <w:color w:val="auto"/>
        </w:rPr>
        <w:t>Exhibit 24</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3" w:lineRule="exact"/>
        <w:rPr>
          <w:sz w:val="20"/>
          <w:szCs w:val="20"/>
          <w:color w:val="auto"/>
        </w:rPr>
      </w:pPr>
    </w:p>
    <w:p>
      <w:pPr>
        <w:ind w:right="60"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2013, hereby constitutes and appoints James Hagedorn, Lawrence A. Hilsheimer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1st day of November,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/s/ ALAN H.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24765</wp:posOffset>
            </wp:positionV>
            <wp:extent cx="23412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Alan H. Barry</w:t>
      </w:r>
    </w:p>
    <w:p>
      <w:pPr>
        <w:sectPr>
          <w:pgSz w:w="11900" w:h="16838" w:orient="portrait"/>
          <w:cols w:equalWidth="0" w:num="1">
            <w:col w:w="11420"/>
          </w:cols>
          <w:pgMar w:left="240" w:top="382" w:right="23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officer and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2013, hereby constitutes and appoints Lawrence A. Hilsheimer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1st day of November,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24765</wp:posOffset>
            </wp:positionV>
            <wp:extent cx="23412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James Hagedorn</w:t>
      </w:r>
    </w:p>
    <w:p>
      <w:pPr>
        <w:sectPr>
          <w:pgSz w:w="11900" w:h="16838" w:orient="portrait"/>
          <w:cols w:equalWidth="0" w:num="1">
            <w:col w:w="11400"/>
          </w:cols>
          <w:pgMar w:left="240" w:top="360" w:right="259" w:bottom="1440" w:gutter="0" w:footer="0" w:header="0"/>
        </w:sectPr>
      </w:pPr>
    </w:p>
    <w:bookmarkStart w:id="126" w:name="page127"/>
    <w:bookmarkEnd w:id="126"/>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2013, hereby constitutes and appoints James Hagedorn, Lawrence A. Hilsheimer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1st day of November,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/s/ ADAM HANFT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24765</wp:posOffset>
            </wp:positionV>
            <wp:extent cx="23412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Adam Hanft</w:t>
      </w:r>
    </w:p>
    <w:p>
      <w:pPr>
        <w:sectPr>
          <w:pgSz w:w="11900" w:h="16838" w:orient="portrait"/>
          <w:cols w:equalWidth="0" w:num="1">
            <w:col w:w="11360"/>
          </w:cols>
          <w:pgMar w:left="240" w:top="360" w:right="299" w:bottom="1440" w:gutter="0" w:footer="0" w:header="0"/>
        </w:sectPr>
      </w:pPr>
    </w:p>
    <w:bookmarkStart w:id="127" w:name="page128"/>
    <w:bookmarkEnd w:id="127"/>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2013, hereby constitutes and appoints James Hagedorn, Lawrence A. Hilsheimer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1st day of November,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/s/ STEPHEN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24765</wp:posOffset>
            </wp:positionV>
            <wp:extent cx="23412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Stephen L. Johnson</w:t>
      </w:r>
    </w:p>
    <w:p>
      <w:pPr>
        <w:sectPr>
          <w:pgSz w:w="11900" w:h="16838" w:orient="portrait"/>
          <w:cols w:equalWidth="0" w:num="1">
            <w:col w:w="11360"/>
          </w:cols>
          <w:pgMar w:left="240" w:top="360" w:right="299" w:bottom="1440" w:gutter="0" w:footer="0" w:header="0"/>
        </w:sectPr>
      </w:pPr>
    </w:p>
    <w:bookmarkStart w:id="128" w:name="page129"/>
    <w:bookmarkEnd w:id="128"/>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2013, hereby constitutes and appoints James Hagedorn, Lawrence A. Hilsheimer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1st day of November,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/s/ THOMAS N.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24765</wp:posOffset>
            </wp:positionV>
            <wp:extent cx="23412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Thomas N. Kelly Jr.</w:t>
      </w:r>
    </w:p>
    <w:p>
      <w:pPr>
        <w:sectPr>
          <w:pgSz w:w="11900" w:h="16838" w:orient="portrait"/>
          <w:cols w:equalWidth="0" w:num="1">
            <w:col w:w="11360"/>
          </w:cols>
          <w:pgMar w:left="240" w:top="360" w:right="299" w:bottom="1440" w:gutter="0" w:footer="0" w:header="0"/>
        </w:sectPr>
      </w:pPr>
    </w:p>
    <w:bookmarkStart w:id="129" w:name="page130"/>
    <w:bookmarkEnd w:id="129"/>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2013, hereby constitutes and appoints James Hagedorn, Lawrence A. Hilsheimer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1st day of November,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/s/ KATHERINE HAGEDORN</w:t>
      </w:r>
    </w:p>
    <w:p>
      <w:pPr>
        <w:spacing w:after="0" w:line="8"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13335</wp:posOffset>
            </wp:positionV>
            <wp:extent cx="25298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Katherine Hagedorn Littlefield</w:t>
      </w:r>
    </w:p>
    <w:p>
      <w:pPr>
        <w:sectPr>
          <w:pgSz w:w="11900" w:h="16838" w:orient="portrait"/>
          <w:cols w:equalWidth="0" w:num="1">
            <w:col w:w="11360"/>
          </w:cols>
          <w:pgMar w:left="240" w:top="360" w:right="299" w:bottom="1440" w:gutter="0" w:footer="0" w:header="0"/>
        </w:sectPr>
      </w:pPr>
    </w:p>
    <w:bookmarkStart w:id="130" w:name="page131"/>
    <w:bookmarkEnd w:id="130"/>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2013, hereby constitutes and appoints James Hagedorn, Lawrence A. Hilsheimer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1st day of November,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/s/ NANCY G. MISTRETTA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24765</wp:posOffset>
            </wp:positionV>
            <wp:extent cx="23412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Nancy G. Mistretta</w:t>
      </w:r>
    </w:p>
    <w:p>
      <w:pPr>
        <w:sectPr>
          <w:pgSz w:w="11900" w:h="16838" w:orient="portrait"/>
          <w:cols w:equalWidth="0" w:num="1">
            <w:col w:w="11360"/>
          </w:cols>
          <w:pgMar w:left="240" w:top="360" w:right="299" w:bottom="1440" w:gutter="0" w:footer="0" w:header="0"/>
        </w:sectPr>
      </w:pPr>
    </w:p>
    <w:bookmarkStart w:id="131" w:name="page132"/>
    <w:bookmarkEnd w:id="131"/>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2013, hereby constitutes and appoints James Hagedorn, Lawrence A. Hilsheimer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1st day of November,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/s/ MICHAEL E.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24765</wp:posOffset>
            </wp:positionV>
            <wp:extent cx="23412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Michael E. Porter</w:t>
      </w:r>
    </w:p>
    <w:p>
      <w:pPr>
        <w:sectPr>
          <w:pgSz w:w="11900" w:h="16838" w:orient="portrait"/>
          <w:cols w:equalWidth="0" w:num="1">
            <w:col w:w="11360"/>
          </w:cols>
          <w:pgMar w:left="240" w:top="360" w:right="299" w:bottom="1440" w:gutter="0" w:footer="0" w:header="0"/>
        </w:sectPr>
      </w:pPr>
    </w:p>
    <w:bookmarkStart w:id="132" w:name="page133"/>
    <w:bookmarkEnd w:id="132"/>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2013, hereby constitutes and appoints James Hagedorn, Lawrence A. Hilsheimer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1st day of November,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/s/ STEPHANIE M. SHERN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24765</wp:posOffset>
            </wp:positionV>
            <wp:extent cx="23412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Stephanie M. Shern</w:t>
      </w:r>
    </w:p>
    <w:p>
      <w:pPr>
        <w:sectPr>
          <w:pgSz w:w="11900" w:h="16838" w:orient="portrait"/>
          <w:cols w:equalWidth="0" w:num="1">
            <w:col w:w="11360"/>
          </w:cols>
          <w:pgMar w:left="240" w:top="360" w:right="299" w:bottom="1440" w:gutter="0" w:footer="0" w:header="0"/>
        </w:sectPr>
      </w:pPr>
    </w:p>
    <w:bookmarkStart w:id="133" w:name="page134"/>
    <w:bookmarkEnd w:id="133"/>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2013, hereby constitutes and appoints James Hagedorn, Lawrence A. Hilsheimer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1st day of November,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/s/ JOHN R. VINES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24765</wp:posOffset>
            </wp:positionV>
            <wp:extent cx="23412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John R. Vines</w:t>
      </w:r>
    </w:p>
    <w:p>
      <w:pPr>
        <w:sectPr>
          <w:pgSz w:w="11900" w:h="16838" w:orient="portrait"/>
          <w:cols w:equalWidth="0" w:num="1">
            <w:col w:w="11360"/>
          </w:cols>
          <w:pgMar w:left="240" w:top="360" w:right="299"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officer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2013, hereby constitutes and appoints James Hagedorn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he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1st day of November,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/s/ LAWRENCE A. HILSHEIMER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24765</wp:posOffset>
            </wp:positionV>
            <wp:extent cx="23412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Lawrence A. Hilsheimer</w:t>
      </w:r>
    </w:p>
    <w:p>
      <w:pPr>
        <w:sectPr>
          <w:pgSz w:w="11900" w:h="16838" w:orient="portrait"/>
          <w:cols w:equalWidth="0" w:num="1">
            <w:col w:w="11420"/>
          </w:cols>
          <w:pgMar w:left="240" w:top="360"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279"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Scotts Miracle-Gro Company for the fiscal year ended September 30, 2013;</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520" w:val="left"/>
          <w:tab w:leader="none" w:pos="6060" w:val="left"/>
        </w:tabs>
        <w:rPr>
          <w:sz w:val="20"/>
          <w:szCs w:val="20"/>
          <w:color w:val="auto"/>
        </w:rPr>
      </w:pPr>
      <w:r>
        <w:rPr>
          <w:rFonts w:ascii="Arial" w:cs="Arial" w:eastAsia="Arial" w:hAnsi="Arial"/>
          <w:sz w:val="18"/>
          <w:szCs w:val="18"/>
          <w:color w:val="auto"/>
        </w:rPr>
        <w:t>Date: November 20,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James Hagedorn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 and Chairman of the Board</w:t>
      </w:r>
    </w:p>
    <w:p>
      <w:pPr>
        <w:sectPr>
          <w:pgSz w:w="11900" w:h="16838" w:orient="portrait"/>
          <w:cols w:equalWidth="0" w:num="1">
            <w:col w:w="11420"/>
          </w:cols>
          <w:pgMar w:left="240" w:top="580"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Lawrence A. Hilsheimer, certify that:</w:t>
      </w:r>
    </w:p>
    <w:p>
      <w:pPr>
        <w:spacing w:after="0" w:line="279"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Scotts Miracle-Gro Company for the fiscal year ended September 30, 2013;</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400" w:val="left"/>
          <w:tab w:leader="none" w:pos="6060" w:val="left"/>
        </w:tabs>
        <w:rPr>
          <w:sz w:val="20"/>
          <w:szCs w:val="20"/>
          <w:color w:val="auto"/>
        </w:rPr>
      </w:pPr>
      <w:r>
        <w:rPr>
          <w:rFonts w:ascii="Arial" w:cs="Arial" w:eastAsia="Arial" w:hAnsi="Arial"/>
          <w:sz w:val="18"/>
          <w:szCs w:val="18"/>
          <w:color w:val="auto"/>
        </w:rPr>
        <w:t>Date: November 20,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LAWRENCE A. HILSHEIMER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5420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Lawrence A. Hilsheimer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20"/>
          </w:cols>
          <w:pgMar w:left="240" w:top="580"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Annual Report on Form 10-K of The Scotts Miracle-Gro Company (the “Company”) for the fiscal year ended September 30, 2013 as filed with the Securities and Exchange Commission on the date hereof (the “Report”), the undersigned James Hagedorn, Chief Executive Officer and Chairman of the Board of the Company, and Lawrence A. Hilsheimer,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34"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17"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/s/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/s/ LAWRENCE A. HILSHEIMER</w:t>
            </w:r>
          </w:p>
        </w:tc>
      </w:tr>
      <w:tr>
        <w:trPr>
          <w:trHeight w:val="27"/>
        </w:trPr>
        <w:tc>
          <w:tcPr>
            <w:tcW w:w="5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Printed Name: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Printed Name: Lawrence A. Hilsheimer</w:t>
            </w:r>
          </w:p>
        </w:tc>
      </w:tr>
      <w:tr>
        <w:trPr>
          <w:trHeight w:val="270"/>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Title: Chief Executive Officer and Chairman of the Board</w:t>
            </w:r>
          </w:p>
        </w:tc>
        <w:tc>
          <w:tcPr>
            <w:tcW w:w="5580" w:type="dxa"/>
            <w:vAlign w:val="bottom"/>
          </w:tcPr>
          <w:p>
            <w:pPr>
              <w:ind w:left="360"/>
              <w:spacing w:after="0"/>
              <w:rPr>
                <w:sz w:val="20"/>
                <w:szCs w:val="20"/>
                <w:color w:val="auto"/>
              </w:rPr>
            </w:pPr>
            <w:r>
              <w:rPr>
                <w:rFonts w:ascii="Arial" w:cs="Arial" w:eastAsia="Arial" w:hAnsi="Arial"/>
                <w:sz w:val="18"/>
                <w:szCs w:val="18"/>
                <w:color w:val="auto"/>
              </w:rPr>
              <w:t>Title: Executive Vice President and Chief Financial Officer</w:t>
            </w:r>
          </w:p>
        </w:tc>
      </w:tr>
      <w:tr>
        <w:trPr>
          <w:trHeight w:val="540"/>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November 20, 2013</w:t>
            </w:r>
          </w:p>
        </w:tc>
        <w:tc>
          <w:tcPr>
            <w:tcW w:w="5580" w:type="dxa"/>
            <w:vAlign w:val="bottom"/>
          </w:tcPr>
          <w:p>
            <w:pPr>
              <w:ind w:left="360"/>
              <w:spacing w:after="0"/>
              <w:rPr>
                <w:sz w:val="20"/>
                <w:szCs w:val="20"/>
                <w:color w:val="auto"/>
              </w:rPr>
            </w:pPr>
            <w:r>
              <w:rPr>
                <w:rFonts w:ascii="Arial" w:cs="Arial" w:eastAsia="Arial" w:hAnsi="Arial"/>
                <w:sz w:val="18"/>
                <w:szCs w:val="18"/>
                <w:color w:val="auto"/>
              </w:rPr>
              <w:t>November 20, 2013</w:t>
            </w:r>
          </w:p>
        </w:tc>
      </w:tr>
    </w:tbl>
    <w:p>
      <w:pPr>
        <w:spacing w:after="0" w:line="337" w:lineRule="exact"/>
        <w:rPr>
          <w:sz w:val="20"/>
          <w:szCs w:val="20"/>
          <w:color w:val="auto"/>
        </w:rPr>
      </w:pPr>
    </w:p>
    <w:p>
      <w:pPr>
        <w:ind w:left="720" w:right="180" w:hanging="685"/>
        <w:spacing w:after="0" w:line="273" w:lineRule="auto"/>
        <w:tabs>
          <w:tab w:leader="none" w:pos="7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decimal"/>
      <w:start w:val="1"/>
    </w:lvl>
    <w:lvl w:ilvl="1">
      <w:lvlJc w:val="left"/>
      <w:lvlText w:val="(%2)"/>
      <w:numFmt w:val="decimal"/>
      <w:start w:val="2"/>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3"/>
    </w:lvl>
  </w:abstractNum>
  <w:abstractNum w:abstractNumId="9">
    <w:nsid w:val="628C895D"/>
    <w:multiLevelType w:val="hybridMultilevel"/>
    <w:lvl w:ilvl="0">
      <w:lvlJc w:val="left"/>
      <w:lvlText w:val="(%1)"/>
      <w:numFmt w:val="decimal"/>
      <w:start w:val="4"/>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lowerLetter"/>
      <w:start w:val="1"/>
    </w:lvl>
  </w:abstractNum>
  <w:abstractNum w:abstractNumId="18">
    <w:nsid w:val="4353D0CD"/>
    <w:multiLevelType w:val="hybridMultilevel"/>
    <w:lvl w:ilvl="0">
      <w:lvlJc w:val="left"/>
      <w:lvlText w:val="(%1)"/>
      <w:numFmt w:val="lowerLetter"/>
      <w:start w:val="1"/>
    </w:lvl>
  </w:abstractNum>
  <w:abstractNum w:abstractNumId="19">
    <w:nsid w:val="B03E0C6"/>
    <w:multiLevelType w:val="hybridMultilevel"/>
    <w:lvl w:ilvl="0">
      <w:lvlJc w:val="left"/>
      <w:lvlText w:val="(%1)"/>
      <w:numFmt w:val="lowerLetter"/>
      <w:start w:val="2"/>
    </w:lvl>
  </w:abstractNum>
  <w:abstractNum w:abstractNumId="20">
    <w:nsid w:val="189A769B"/>
    <w:multiLevelType w:val="hybridMultilevel"/>
    <w:lvl w:ilvl="0">
      <w:lvlJc w:val="left"/>
      <w:lvlText w:val="(%1)"/>
      <w:numFmt w:val="lowerLetter"/>
      <w:start w:val="3"/>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2019-12-06T01:36:06Z</dcterms:created>
  <dcterms:modified xsi:type="dcterms:W3CDTF">2019-12-06T01:36:06Z</dcterms:modified>
</cp:coreProperties>
</file>