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As filed with the Securities and Exchange Commission on May 9, 2005</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Registration Nos. 333-06061</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333-27561</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333-76697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38"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165735</wp:posOffset>
            </wp:positionV>
            <wp:extent cx="33534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POST-EFFECTIVE AMENDMENT NO. 1</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TO</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FORM S-8</w:t>
      </w: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REGISTRATION STATEMENT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148590</wp:posOffset>
            </wp:positionV>
            <wp:extent cx="33534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43"/>
          <w:szCs w:val="43"/>
          <w:b w:val="1"/>
          <w:bCs w:val="1"/>
          <w:color w:val="auto"/>
        </w:rPr>
        <w:t>THE SCOTTS MIRACLE-GRO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305435</wp:posOffset>
            </wp:positionV>
            <wp:extent cx="58146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80" w:type="dxa"/>
            <w:vAlign w:val="bottom"/>
            <w:gridSpan w:val="3"/>
          </w:tcPr>
          <w:p>
            <w:pPr>
              <w:jc w:val="center"/>
              <w:ind w:left="770"/>
              <w:spacing w:after="0"/>
              <w:rPr>
                <w:sz w:val="20"/>
                <w:szCs w:val="20"/>
                <w:color w:val="auto"/>
              </w:rPr>
            </w:pPr>
            <w:r>
              <w:rPr>
                <w:rFonts w:ascii="Arial" w:cs="Arial" w:eastAsia="Arial" w:hAnsi="Arial"/>
                <w:sz w:val="18"/>
                <w:szCs w:val="18"/>
                <w:color w:val="auto"/>
                <w:w w:val="94"/>
              </w:rPr>
              <w:t>Ohio</w:t>
            </w:r>
          </w:p>
        </w:tc>
        <w:tc>
          <w:tcPr>
            <w:tcW w:w="6860" w:type="dxa"/>
            <w:vAlign w:val="bottom"/>
            <w:gridSpan w:val="4"/>
          </w:tcPr>
          <w:p>
            <w:pPr>
              <w:jc w:val="right"/>
              <w:ind w:right="2300"/>
              <w:spacing w:after="0"/>
              <w:rPr>
                <w:sz w:val="20"/>
                <w:szCs w:val="20"/>
                <w:color w:val="auto"/>
              </w:rPr>
            </w:pPr>
            <w:r>
              <w:rPr>
                <w:rFonts w:ascii="Arial" w:cs="Arial" w:eastAsia="Arial" w:hAnsi="Arial"/>
                <w:sz w:val="18"/>
                <w:szCs w:val="18"/>
                <w:color w:val="auto"/>
              </w:rPr>
              <w:t>31-1414921</w:t>
            </w:r>
          </w:p>
        </w:tc>
      </w:tr>
      <w:tr>
        <w:trPr>
          <w:trHeight w:val="202"/>
        </w:trPr>
        <w:tc>
          <w:tcPr>
            <w:tcW w:w="4580" w:type="dxa"/>
            <w:vAlign w:val="bottom"/>
            <w:tcBorders>
              <w:top w:val="single" w:sz="8" w:color="auto"/>
            </w:tcBorders>
            <w:gridSpan w:val="3"/>
          </w:tcPr>
          <w:p>
            <w:pPr>
              <w:jc w:val="center"/>
              <w:ind w:left="770"/>
              <w:spacing w:after="0" w:line="201" w:lineRule="exact"/>
              <w:rPr>
                <w:sz w:val="20"/>
                <w:szCs w:val="20"/>
                <w:color w:val="auto"/>
              </w:rPr>
            </w:pPr>
            <w:r>
              <w:rPr>
                <w:rFonts w:ascii="Arial" w:cs="Arial" w:eastAsia="Arial" w:hAnsi="Arial"/>
                <w:sz w:val="18"/>
                <w:szCs w:val="18"/>
                <w:color w:val="auto"/>
                <w:w w:val="92"/>
              </w:rPr>
              <w:t>(State or other jurisdiction of</w:t>
            </w:r>
          </w:p>
        </w:tc>
        <w:tc>
          <w:tcPr>
            <w:tcW w:w="88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5440" w:type="dxa"/>
            <w:vAlign w:val="bottom"/>
            <w:tcBorders>
              <w:top w:val="single" w:sz="8" w:color="auto"/>
            </w:tcBorders>
            <w:gridSpan w:val="2"/>
          </w:tcPr>
          <w:p>
            <w:pPr>
              <w:jc w:val="center"/>
              <w:ind w:right="2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580" w:type="dxa"/>
            <w:vAlign w:val="bottom"/>
            <w:gridSpan w:val="3"/>
          </w:tcPr>
          <w:p>
            <w:pPr>
              <w:jc w:val="center"/>
              <w:ind w:left="770"/>
              <w:spacing w:after="0"/>
              <w:rPr>
                <w:sz w:val="20"/>
                <w:szCs w:val="20"/>
                <w:color w:val="auto"/>
              </w:rPr>
            </w:pPr>
            <w:r>
              <w:rPr>
                <w:rFonts w:ascii="Arial" w:cs="Arial" w:eastAsia="Arial" w:hAnsi="Arial"/>
                <w:sz w:val="18"/>
                <w:szCs w:val="18"/>
                <w:color w:val="auto"/>
                <w:w w:val="92"/>
              </w:rPr>
              <w:t>incorporation or organization)</w:t>
            </w: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4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Identification No.)</w:t>
            </w:r>
          </w:p>
        </w:tc>
      </w:tr>
      <w:tr>
        <w:trPr>
          <w:trHeight w:val="439"/>
        </w:trPr>
        <w:tc>
          <w:tcPr>
            <w:tcW w:w="458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color w:val="auto"/>
                <w:w w:val="92"/>
              </w:rPr>
              <w:t>14111 Scottslawn Road, Marysville, Ohio</w:t>
            </w:r>
          </w:p>
        </w:tc>
        <w:tc>
          <w:tcPr>
            <w:tcW w:w="6860" w:type="dxa"/>
            <w:vAlign w:val="bottom"/>
            <w:tcBorders>
              <w:bottom w:val="single" w:sz="8" w:color="auto"/>
            </w:tcBorders>
            <w:gridSpan w:val="4"/>
          </w:tcPr>
          <w:p>
            <w:pPr>
              <w:jc w:val="right"/>
              <w:ind w:right="2500"/>
              <w:spacing w:after="0"/>
              <w:rPr>
                <w:sz w:val="20"/>
                <w:szCs w:val="20"/>
                <w:color w:val="auto"/>
              </w:rPr>
            </w:pPr>
            <w:r>
              <w:rPr>
                <w:rFonts w:ascii="Arial" w:cs="Arial" w:eastAsia="Arial" w:hAnsi="Arial"/>
                <w:sz w:val="18"/>
                <w:szCs w:val="18"/>
                <w:color w:val="auto"/>
              </w:rPr>
              <w:t>43041</w:t>
            </w:r>
          </w:p>
        </w:tc>
      </w:tr>
      <w:tr>
        <w:trPr>
          <w:trHeight w:val="230"/>
        </w:trPr>
        <w:tc>
          <w:tcPr>
            <w:tcW w:w="4580" w:type="dxa"/>
            <w:vAlign w:val="bottom"/>
            <w:gridSpan w:val="3"/>
          </w:tcPr>
          <w:p>
            <w:pPr>
              <w:jc w:val="center"/>
              <w:ind w:left="750"/>
              <w:spacing w:after="0"/>
              <w:rPr>
                <w:sz w:val="20"/>
                <w:szCs w:val="20"/>
                <w:color w:val="auto"/>
              </w:rPr>
            </w:pPr>
            <w:r>
              <w:rPr>
                <w:rFonts w:ascii="Arial" w:cs="Arial" w:eastAsia="Arial" w:hAnsi="Arial"/>
                <w:sz w:val="18"/>
                <w:szCs w:val="18"/>
                <w:color w:val="auto"/>
                <w:w w:val="92"/>
              </w:rPr>
              <w:t>(Address of Principal Executive Offices)</w:t>
            </w: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4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(Zip Code)</w:t>
            </w:r>
          </w:p>
        </w:tc>
      </w:tr>
      <w:tr>
        <w:trPr>
          <w:trHeight w:val="391"/>
        </w:trPr>
        <w:tc>
          <w:tcPr>
            <w:tcW w:w="3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0" w:type="dxa"/>
            <w:vAlign w:val="bottom"/>
            <w:gridSpan w:val="5"/>
          </w:tcPr>
          <w:p>
            <w:pPr>
              <w:jc w:val="center"/>
              <w:ind w:right="3460"/>
              <w:spacing w:after="0"/>
              <w:rPr>
                <w:sz w:val="20"/>
                <w:szCs w:val="20"/>
                <w:color w:val="auto"/>
              </w:rPr>
            </w:pPr>
            <w:r>
              <w:rPr>
                <w:rFonts w:ascii="Arial" w:cs="Arial" w:eastAsia="Arial" w:hAnsi="Arial"/>
                <w:sz w:val="18"/>
                <w:szCs w:val="18"/>
                <w:color w:val="auto"/>
                <w:w w:val="91"/>
              </w:rPr>
              <w:t>The Scotts Miracle-Gro Company 1996 Stock Option Plan</w:t>
            </w:r>
          </w:p>
        </w:tc>
      </w:tr>
      <w:tr>
        <w:trPr>
          <w:trHeight w:val="176"/>
        </w:trPr>
        <w:tc>
          <w:tcPr>
            <w:tcW w:w="30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gridSpan w:val="3"/>
          </w:tcPr>
          <w:p>
            <w:pPr>
              <w:spacing w:after="0"/>
              <w:rPr>
                <w:sz w:val="15"/>
                <w:szCs w:val="15"/>
                <w:color w:val="auto"/>
              </w:rPr>
            </w:pPr>
          </w:p>
        </w:tc>
        <w:tc>
          <w:tcPr>
            <w:tcW w:w="3080" w:type="dxa"/>
            <w:vAlign w:val="bottom"/>
          </w:tcPr>
          <w:p>
            <w:pPr>
              <w:spacing w:after="0"/>
              <w:rPr>
                <w:sz w:val="15"/>
                <w:szCs w:val="15"/>
                <w:color w:val="auto"/>
              </w:rPr>
            </w:pPr>
          </w:p>
        </w:tc>
      </w:tr>
      <w:tr>
        <w:trPr>
          <w:trHeight w:val="304"/>
        </w:trPr>
        <w:tc>
          <w:tcPr>
            <w:tcW w:w="3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60" w:type="dxa"/>
            <w:vAlign w:val="bottom"/>
            <w:gridSpan w:val="4"/>
          </w:tcPr>
          <w:p>
            <w:pPr>
              <w:jc w:val="center"/>
              <w:ind w:right="4600"/>
              <w:spacing w:after="0"/>
              <w:rPr>
                <w:sz w:val="20"/>
                <w:szCs w:val="20"/>
                <w:color w:val="auto"/>
              </w:rPr>
            </w:pPr>
            <w:r>
              <w:rPr>
                <w:rFonts w:ascii="Arial" w:cs="Arial" w:eastAsia="Arial" w:hAnsi="Arial"/>
                <w:sz w:val="18"/>
                <w:szCs w:val="18"/>
                <w:color w:val="auto"/>
                <w:w w:val="94"/>
              </w:rPr>
              <w:t>(Full title of the plan)</w:t>
            </w:r>
          </w:p>
        </w:tc>
      </w:tr>
      <w:tr>
        <w:trPr>
          <w:trHeight w:val="418"/>
        </w:trPr>
        <w:tc>
          <w:tcPr>
            <w:tcW w:w="3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40" w:type="dxa"/>
            <w:vAlign w:val="bottom"/>
            <w:gridSpan w:val="2"/>
          </w:tcPr>
          <w:p>
            <w:pPr>
              <w:ind w:left="280"/>
              <w:spacing w:after="0"/>
              <w:rPr>
                <w:sz w:val="20"/>
                <w:szCs w:val="20"/>
                <w:color w:val="auto"/>
              </w:rPr>
            </w:pPr>
            <w:r>
              <w:rPr>
                <w:rFonts w:ascii="Arial" w:cs="Arial" w:eastAsia="Arial" w:hAnsi="Arial"/>
                <w:sz w:val="18"/>
                <w:szCs w:val="18"/>
                <w:color w:val="auto"/>
              </w:rPr>
              <w:t>Copy to:</w:t>
            </w: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David M. Aronowitz, Esq.</w:t>
            </w: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40" w:type="dxa"/>
            <w:vAlign w:val="bottom"/>
            <w:gridSpan w:val="2"/>
          </w:tcPr>
          <w:p>
            <w:pPr>
              <w:ind w:left="280"/>
              <w:spacing w:after="0"/>
              <w:rPr>
                <w:sz w:val="20"/>
                <w:szCs w:val="20"/>
                <w:color w:val="auto"/>
              </w:rPr>
            </w:pPr>
            <w:r>
              <w:rPr>
                <w:rFonts w:ascii="Arial" w:cs="Arial" w:eastAsia="Arial" w:hAnsi="Arial"/>
                <w:sz w:val="18"/>
                <w:szCs w:val="18"/>
                <w:color w:val="auto"/>
              </w:rPr>
              <w:t>Elizabeth Turrell Farrar, Esq.</w:t>
            </w: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The Scotts Miracle-Gro Company</w:t>
            </w: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40" w:type="dxa"/>
            <w:vAlign w:val="bottom"/>
            <w:gridSpan w:val="2"/>
          </w:tcPr>
          <w:p>
            <w:pPr>
              <w:ind w:left="280"/>
              <w:spacing w:after="0"/>
              <w:rPr>
                <w:sz w:val="20"/>
                <w:szCs w:val="20"/>
                <w:color w:val="auto"/>
              </w:rPr>
            </w:pPr>
            <w:r>
              <w:rPr>
                <w:rFonts w:ascii="Arial" w:cs="Arial" w:eastAsia="Arial" w:hAnsi="Arial"/>
                <w:sz w:val="18"/>
                <w:szCs w:val="18"/>
                <w:color w:val="auto"/>
              </w:rPr>
              <w:t>Vorys, Sater, Seymour and Pease LLP</w:t>
            </w: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14111 Scottslawn Road</w:t>
            </w: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40" w:type="dxa"/>
            <w:vAlign w:val="bottom"/>
            <w:gridSpan w:val="2"/>
          </w:tcPr>
          <w:p>
            <w:pPr>
              <w:ind w:left="280"/>
              <w:spacing w:after="0"/>
              <w:rPr>
                <w:sz w:val="20"/>
                <w:szCs w:val="20"/>
                <w:color w:val="auto"/>
              </w:rPr>
            </w:pPr>
            <w:r>
              <w:rPr>
                <w:rFonts w:ascii="Arial" w:cs="Arial" w:eastAsia="Arial" w:hAnsi="Arial"/>
                <w:sz w:val="18"/>
                <w:szCs w:val="18"/>
                <w:color w:val="auto"/>
              </w:rPr>
              <w:t>52 East Gay Street</w:t>
            </w:r>
          </w:p>
        </w:tc>
      </w:tr>
      <w:tr>
        <w:trPr>
          <w:trHeight w:val="230"/>
        </w:trPr>
        <w:tc>
          <w:tcPr>
            <w:tcW w:w="4580" w:type="dxa"/>
            <w:vAlign w:val="bottom"/>
            <w:gridSpan w:val="3"/>
          </w:tcPr>
          <w:p>
            <w:pPr>
              <w:spacing w:after="0"/>
              <w:rPr>
                <w:sz w:val="20"/>
                <w:szCs w:val="20"/>
                <w:color w:val="auto"/>
              </w:rPr>
            </w:pPr>
            <w:r>
              <w:rPr>
                <w:rFonts w:ascii="Arial" w:cs="Arial" w:eastAsia="Arial" w:hAnsi="Arial"/>
                <w:sz w:val="18"/>
                <w:szCs w:val="18"/>
                <w:color w:val="auto"/>
              </w:rPr>
              <w:t>Marysville, Ohio 43041</w:t>
            </w: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40" w:type="dxa"/>
            <w:vAlign w:val="bottom"/>
            <w:gridSpan w:val="2"/>
          </w:tcPr>
          <w:p>
            <w:pPr>
              <w:ind w:left="280"/>
              <w:spacing w:after="0"/>
              <w:rPr>
                <w:sz w:val="20"/>
                <w:szCs w:val="20"/>
                <w:color w:val="auto"/>
              </w:rPr>
            </w:pPr>
            <w:r>
              <w:rPr>
                <w:rFonts w:ascii="Arial" w:cs="Arial" w:eastAsia="Arial" w:hAnsi="Arial"/>
                <w:sz w:val="18"/>
                <w:szCs w:val="18"/>
                <w:color w:val="auto"/>
              </w:rPr>
              <w:t>P.O. Box 1008</w:t>
            </w:r>
          </w:p>
        </w:tc>
      </w:tr>
      <w:tr>
        <w:trPr>
          <w:trHeight w:val="224"/>
        </w:trPr>
        <w:tc>
          <w:tcPr>
            <w:tcW w:w="34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 and address of agent for service)</w:t>
            </w: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40" w:type="dxa"/>
            <w:vAlign w:val="bottom"/>
            <w:gridSpan w:val="2"/>
          </w:tcPr>
          <w:p>
            <w:pPr>
              <w:ind w:left="280"/>
              <w:spacing w:after="0"/>
              <w:rPr>
                <w:sz w:val="20"/>
                <w:szCs w:val="20"/>
                <w:color w:val="auto"/>
              </w:rPr>
            </w:pPr>
            <w:r>
              <w:rPr>
                <w:rFonts w:ascii="Arial" w:cs="Arial" w:eastAsia="Arial" w:hAnsi="Arial"/>
                <w:sz w:val="18"/>
                <w:szCs w:val="18"/>
                <w:color w:val="auto"/>
              </w:rPr>
              <w:t>Columbus, Ohio 43216-1008</w:t>
            </w:r>
          </w:p>
        </w:tc>
      </w:tr>
      <w:tr>
        <w:trPr>
          <w:trHeight w:val="377"/>
        </w:trPr>
        <w:tc>
          <w:tcPr>
            <w:tcW w:w="3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780" w:type="dxa"/>
            <w:vAlign w:val="bottom"/>
            <w:gridSpan w:val="3"/>
          </w:tcPr>
          <w:p>
            <w:pPr>
              <w:jc w:val="center"/>
              <w:ind w:right="1410"/>
              <w:spacing w:after="0"/>
              <w:rPr>
                <w:sz w:val="20"/>
                <w:szCs w:val="20"/>
                <w:color w:val="auto"/>
              </w:rPr>
            </w:pPr>
            <w:r>
              <w:rPr>
                <w:rFonts w:ascii="Arial" w:cs="Arial" w:eastAsia="Arial" w:hAnsi="Arial"/>
                <w:sz w:val="18"/>
                <w:szCs w:val="18"/>
                <w:color w:val="auto"/>
                <w:w w:val="90"/>
              </w:rPr>
              <w:t>(937) 644-0011</w:t>
            </w:r>
          </w:p>
        </w:tc>
        <w:tc>
          <w:tcPr>
            <w:tcW w:w="30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111760</wp:posOffset>
            </wp:positionV>
            <wp:extent cx="33534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EXPLANATORY NOTE AND</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ADOPTION OF PREDECESSOR ISSUER’S REGISTRATION STATEMENT</w:t>
      </w:r>
    </w:p>
    <w:p>
      <w:pPr>
        <w:spacing w:after="0" w:line="184" w:lineRule="exact"/>
        <w:rPr>
          <w:sz w:val="20"/>
          <w:szCs w:val="20"/>
          <w:color w:val="auto"/>
        </w:rPr>
      </w:pPr>
    </w:p>
    <w:p>
      <w:pPr>
        <w:ind w:right="260" w:firstLine="222"/>
        <w:spacing w:after="0" w:line="264" w:lineRule="auto"/>
        <w:rPr>
          <w:sz w:val="20"/>
          <w:szCs w:val="20"/>
          <w:color w:val="auto"/>
        </w:rPr>
      </w:pPr>
      <w:r>
        <w:rPr>
          <w:rFonts w:ascii="Arial" w:cs="Arial" w:eastAsia="Arial" w:hAnsi="Arial"/>
          <w:sz w:val="18"/>
          <w:szCs w:val="18"/>
          <w:color w:val="auto"/>
        </w:rPr>
        <w:t>This Post-Effective Amendment No. 1 to Registration Statement on Form S-8 (this “Post-Effective Amendment No. 1”), is being filed by The Scotts Miracle-Gro Company, an Ohio corporation (“Scotts Miracle-Gro” or the “Registrant”), as the public company successor to The Scotts Company, an Ohio corporation (“Scotts”).</w:t>
      </w:r>
    </w:p>
    <w:p>
      <w:pPr>
        <w:spacing w:after="0" w:line="141" w:lineRule="exact"/>
        <w:rPr>
          <w:sz w:val="20"/>
          <w:szCs w:val="20"/>
          <w:color w:val="auto"/>
        </w:rPr>
      </w:pPr>
    </w:p>
    <w:p>
      <w:pPr>
        <w:ind w:right="380" w:firstLine="225"/>
        <w:spacing w:after="0" w:line="259" w:lineRule="auto"/>
        <w:rPr>
          <w:sz w:val="20"/>
          <w:szCs w:val="20"/>
          <w:color w:val="auto"/>
        </w:rPr>
      </w:pPr>
      <w:r>
        <w:rPr>
          <w:rFonts w:ascii="Arial" w:cs="Arial" w:eastAsia="Arial" w:hAnsi="Arial"/>
          <w:sz w:val="18"/>
          <w:szCs w:val="18"/>
          <w:color w:val="auto"/>
        </w:rPr>
        <w:t>On March 18, 2005 (the “Effective Time”), Scotts consummated the restructuring of Scotts’ corporate structure into a holding company structure by merging Scotts into a newly-created, wholly-owned, second-tier Ohio limited liability company subsidiary, The Scotts Company LLC (“Scotts LLC”), pursuant to an Agreement and Plan of Merger, dated as of December 13, 2004, by and among Scotts, Scotts LLC and Scotts Miracle-Gro. This merger is referred to in this Post-Effective Amendment No. 1 as the “Restructuring Merger.”</w:t>
      </w:r>
    </w:p>
    <w:p>
      <w:pPr>
        <w:spacing w:after="0" w:line="146"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Upon consummation of the Restructuring Merger, each of Scotts’ common shares, without par value (the “Scotts Common Shares”), issued and outstanding immediately prior to the Effective Time was automatically converted into one fully paid and nonassessable common share, without par value, of Scotts Miracle-Gro (the “Scotts Miracle-Gro Common Shares”). Also, the entire class of Scotts Miracle-Gro Common Shares became registered under Section 12(b) of the Securities Exchange Act of 1934, as amended (the “Exchange Act”), in accordance with Rule 12g-3 under the Exchange Act. As a result of the Restructuring Merger, Scotts Miracle-Gro is the new parent holding company and the public company successor to Scotts. Scotts LLC is the successor to Scotts and is a direct, wholly-owned subsidiary of Scotts Miracle-Gro.</w:t>
      </w:r>
    </w:p>
    <w:p>
      <w:pPr>
        <w:spacing w:after="0" w:line="166" w:lineRule="exact"/>
        <w:rPr>
          <w:sz w:val="20"/>
          <w:szCs w:val="20"/>
          <w:color w:val="auto"/>
        </w:rPr>
      </w:pPr>
    </w:p>
    <w:p>
      <w:pPr>
        <w:ind w:right="100" w:firstLine="215"/>
        <w:spacing w:after="0" w:line="308" w:lineRule="auto"/>
        <w:rPr>
          <w:sz w:val="20"/>
          <w:szCs w:val="20"/>
          <w:color w:val="auto"/>
        </w:rPr>
      </w:pPr>
      <w:r>
        <w:rPr>
          <w:rFonts w:ascii="Arial" w:cs="Arial" w:eastAsia="Arial" w:hAnsi="Arial"/>
          <w:sz w:val="17"/>
          <w:szCs w:val="17"/>
          <w:color w:val="auto"/>
        </w:rPr>
        <w:t>As of the Effective Time, Scotts Miracle-Gro assumed The Scotts Company 1996 Stock Option Plan (the “1996 Plan”) as well as all obligations of Scotts under the 1996 Plan, including the outstanding options and stock units granted pursuant to the 1996 Plan. As part of the Restructuring Merger:</w:t>
      </w:r>
    </w:p>
    <w:p>
      <w:pPr>
        <w:spacing w:after="0" w:line="147" w:lineRule="exact"/>
        <w:rPr>
          <w:sz w:val="20"/>
          <w:szCs w:val="20"/>
          <w:color w:val="auto"/>
        </w:rPr>
      </w:pPr>
    </w:p>
    <w:p>
      <w:pPr>
        <w:ind w:left="1020" w:right="140" w:hanging="445"/>
        <w:spacing w:after="0" w:line="259" w:lineRule="auto"/>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Each option to purchase Scotts Common Shares granted under the 1996 Plan which was outstanding immediately prior to the Effective Time was converted into and became an option to purchase the same number of Scotts Miracle-Gro Common Shares as the number of Scotts Common Shares which were subject to such option immediately prior to the Effective Time, at the same exercise price per share and upon the same terms and subject to the same conditions as were in effect at the Effective Time.</w:t>
      </w:r>
    </w:p>
    <w:p>
      <w:pPr>
        <w:spacing w:after="0" w:line="186" w:lineRule="exact"/>
        <w:rPr>
          <w:rFonts w:ascii="Arial" w:cs="Arial" w:eastAsia="Arial" w:hAnsi="Arial"/>
          <w:sz w:val="18"/>
          <w:szCs w:val="18"/>
          <w:color w:val="auto"/>
        </w:rPr>
      </w:pPr>
    </w:p>
    <w:p>
      <w:pPr>
        <w:ind w:left="1020" w:hanging="445"/>
        <w:spacing w:after="0" w:line="279" w:lineRule="auto"/>
        <w:tabs>
          <w:tab w:leader="none" w:pos="10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Scotts Common Shares attributable to accounts of directors of Scotts (who became directors of Scotts Miracle-Gro following the Restructuring Merger) holding stock units received under the 1996 Plan immediately prior to the Effective Time were converted into the same number of Scotts Miracle-Gro Common Shares and those Scotts Miracle-Gro Common Shares are attributable to the accounts of those directors upon the same terms and subject to the same conditions as were in effect at the Effective Time.</w:t>
      </w:r>
    </w:p>
    <w:p>
      <w:pPr>
        <w:spacing w:after="0" w:line="171" w:lineRule="exact"/>
        <w:rPr>
          <w:sz w:val="20"/>
          <w:szCs w:val="20"/>
          <w:color w:val="auto"/>
        </w:rPr>
      </w:pPr>
    </w:p>
    <w:p>
      <w:pPr>
        <w:ind w:right="80" w:firstLine="215"/>
        <w:spacing w:after="0" w:line="259" w:lineRule="auto"/>
        <w:rPr>
          <w:sz w:val="20"/>
          <w:szCs w:val="20"/>
          <w:color w:val="auto"/>
        </w:rPr>
      </w:pPr>
      <w:r>
        <w:rPr>
          <w:rFonts w:ascii="Arial" w:cs="Arial" w:eastAsia="Arial" w:hAnsi="Arial"/>
          <w:sz w:val="18"/>
          <w:szCs w:val="18"/>
          <w:color w:val="auto"/>
        </w:rPr>
        <w:t>All provisions of the 1996 Plan remain the same following the Restructuring Merger, except that the 1996 Plan has been amended to replace references in the 1996 Plan to “The Scotts Company” with references to “The Scotts Miracle-Gro Company” and to change the name of the 1996 Plan from “The Scotts Company 1996 Stock Option Plan” to “The Scotts Miracle-Gro Company 1996 Stock Option Plan.” From and after the Effective Time, all awards made under the 1996 Plan will be made with respect to Scotts Miracle-Gro Common Shares.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 w:name="page4"/>
    <w:bookmarkEnd w:id="3"/>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PART II</w:t>
        </w:r>
      </w:hyperlink>
    </w:p>
    <w:p>
      <w:pPr>
        <w:ind w:left="320"/>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3. Incorporation of Documents by Reference</w:t>
        </w:r>
      </w:hyperlink>
    </w:p>
    <w:p>
      <w:pPr>
        <w:ind w:left="320"/>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4. Description of Securities</w:t>
        </w:r>
      </w:hyperlink>
    </w:p>
    <w:p>
      <w:pPr>
        <w:ind w:left="320"/>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5. Interests of Named Experts and Counsel</w:t>
        </w:r>
      </w:hyperlink>
    </w:p>
    <w:p>
      <w:pPr>
        <w:ind w:left="320"/>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6. Indemnification of Directors and Officers</w:t>
        </w:r>
      </w:hyperlink>
    </w:p>
    <w:p>
      <w:pPr>
        <w:ind w:left="320"/>
        <w:spacing w:after="0" w:line="230"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Item 7. Exemption from Registration Claimed</w:t>
        </w:r>
      </w:hyperlink>
    </w:p>
    <w:p>
      <w:pPr>
        <w:ind w:left="320"/>
        <w:spacing w:after="0" w:line="231"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Item 8. Exhibits</w:t>
        </w:r>
      </w:hyperlink>
    </w:p>
    <w:p>
      <w:pPr>
        <w:ind w:left="320"/>
        <w:spacing w:after="0" w:line="231"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Item 9. Undertakings</w:t>
        </w:r>
      </w:hyperlink>
    </w:p>
    <w:p>
      <w:pPr>
        <w:spacing w:after="0" w:line="230" w:lineRule="auto"/>
        <w:rPr>
          <w:rFonts w:ascii="Arial" w:cs="Arial" w:eastAsia="Arial" w:hAnsi="Arial"/>
          <w:sz w:val="22"/>
          <w:szCs w:val="22"/>
          <w:u w:val="single" w:color="auto"/>
          <w:color w:val="0000EE"/>
        </w:rPr>
      </w:pPr>
      <w:hyperlink w:anchor="page15">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17">
        <w:r>
          <w:rPr>
            <w:rFonts w:ascii="Arial" w:cs="Arial" w:eastAsia="Arial" w:hAnsi="Arial"/>
            <w:sz w:val="22"/>
            <w:szCs w:val="22"/>
            <w:u w:val="single" w:color="auto"/>
            <w:color w:val="0000EE"/>
          </w:rPr>
          <w:t>INDEX TO EXHIBITS</w:t>
        </w:r>
      </w:hyperlink>
    </w:p>
    <w:p>
      <w:pPr>
        <w:spacing w:after="0" w:line="231" w:lineRule="auto"/>
        <w:rPr>
          <w:sz w:val="20"/>
          <w:szCs w:val="20"/>
          <w:color w:val="auto"/>
        </w:rPr>
      </w:pPr>
      <w:r>
        <w:rPr>
          <w:rFonts w:ascii="Arial" w:cs="Arial" w:eastAsia="Arial" w:hAnsi="Arial"/>
          <w:sz w:val="22"/>
          <w:szCs w:val="22"/>
          <w:u w:val="single" w:color="auto"/>
          <w:color w:val="0000EE"/>
        </w:rPr>
        <w:t>Exhibit 5.1</w:t>
      </w:r>
    </w:p>
    <w:p>
      <w:pPr>
        <w:spacing w:after="0" w:line="230" w:lineRule="auto"/>
        <w:rPr>
          <w:sz w:val="20"/>
          <w:szCs w:val="20"/>
          <w:color w:val="auto"/>
        </w:rPr>
      </w:pPr>
      <w:r>
        <w:rPr>
          <w:rFonts w:ascii="Arial" w:cs="Arial" w:eastAsia="Arial" w:hAnsi="Arial"/>
          <w:sz w:val="22"/>
          <w:szCs w:val="22"/>
          <w:u w:val="single" w:color="auto"/>
          <w:color w:val="0000EE"/>
        </w:rPr>
        <w:t>Exhibit 10.1</w:t>
      </w:r>
    </w:p>
    <w:p>
      <w:pPr>
        <w:spacing w:after="0" w:line="231" w:lineRule="auto"/>
        <w:rPr>
          <w:sz w:val="20"/>
          <w:szCs w:val="20"/>
          <w:color w:val="auto"/>
        </w:rPr>
      </w:pPr>
      <w:r>
        <w:rPr>
          <w:rFonts w:ascii="Arial" w:cs="Arial" w:eastAsia="Arial" w:hAnsi="Arial"/>
          <w:sz w:val="22"/>
          <w:szCs w:val="22"/>
          <w:u w:val="single" w:color="auto"/>
          <w:color w:val="0000EE"/>
        </w:rPr>
        <w:t>Exhibit 23.1</w:t>
      </w:r>
    </w:p>
    <w:p>
      <w:pPr>
        <w:spacing w:after="0"/>
        <w:rPr>
          <w:sz w:val="20"/>
          <w:szCs w:val="20"/>
          <w:color w:val="auto"/>
        </w:rPr>
      </w:pPr>
      <w:r>
        <w:rPr>
          <w:rFonts w:ascii="Arial" w:cs="Arial" w:eastAsia="Arial" w:hAnsi="Arial"/>
          <w:sz w:val="22"/>
          <w:szCs w:val="22"/>
          <w:u w:val="single" w:color="auto"/>
          <w:color w:val="0000EE"/>
        </w:rPr>
        <w:t>Exhibit 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2"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Restructuring Merger was approved by the shareholders of Scotts at the Annual Meeting of Shareholders held on January 27, 2005. Prior to the Restructuring Merger, Scotts Miracle-Gro had engaged in no activities other than those incident to the restructuring and had no assets or liabilities other than nominal assets and liabilities.</w:t>
      </w:r>
    </w:p>
    <w:p>
      <w:pPr>
        <w:spacing w:after="0" w:line="154"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Pursuant to Rule 414(d) under the Securities Act of 1933, as amended (the “Securities Act”), Scotts Miracle-Gro, as the successor issuer to Scotts, hereby adopts Scotts’ Registration Statements on Form S-8 (Registration Nos. 333-06061, 333-27561 and 333-76697), which Registration Statements are applicable to the securities issuable under the 1996 Plan, as the Registration Statements of Scotts Miracle-Gro for all purposes of the Securities Act and the Exchange Act.</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PART II</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INFORMATION REQUIRED IN THE REGISTRATION STATEMENT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Incorporation of Documents by Reference</w:t>
      </w:r>
      <w:r>
        <w:rPr>
          <w:rFonts w:ascii="Arial" w:cs="Arial" w:eastAsia="Arial" w:hAnsi="Arial"/>
          <w:sz w:val="18"/>
          <w:szCs w:val="18"/>
          <w:color w:val="auto"/>
        </w:rPr>
        <w:t>.</w:t>
      </w:r>
    </w:p>
    <w:p>
      <w:pPr>
        <w:spacing w:after="0" w:line="185" w:lineRule="exact"/>
        <w:rPr>
          <w:sz w:val="20"/>
          <w:szCs w:val="20"/>
          <w:color w:val="auto"/>
        </w:rPr>
      </w:pPr>
    </w:p>
    <w:p>
      <w:pPr>
        <w:jc w:val="both"/>
        <w:ind w:right="20" w:firstLine="225"/>
        <w:spacing w:after="0" w:line="264" w:lineRule="auto"/>
        <w:rPr>
          <w:sz w:val="20"/>
          <w:szCs w:val="20"/>
          <w:color w:val="auto"/>
        </w:rPr>
      </w:pPr>
      <w:r>
        <w:rPr>
          <w:rFonts w:ascii="Arial" w:cs="Arial" w:eastAsia="Arial" w:hAnsi="Arial"/>
          <w:sz w:val="18"/>
          <w:szCs w:val="18"/>
          <w:color w:val="auto"/>
        </w:rPr>
        <w:t>Scotts Miracle-Gro hereby incorporates into this Post-Effective Amendment No. 1 to Registration Statements on Form S-8 (Registration Nos. 333-06061, 333-27561 and 333-76697 (the “Registration Statements”) the following documents filed by Scotts Miracle-Gro and Scotts with the Securities and Exchange Commission (the “Commission”):</w:t>
      </w:r>
    </w:p>
    <w:p>
      <w:pPr>
        <w:spacing w:after="0" w:line="181" w:lineRule="exact"/>
        <w:rPr>
          <w:sz w:val="20"/>
          <w:szCs w:val="20"/>
          <w:color w:val="auto"/>
        </w:rPr>
      </w:pPr>
    </w:p>
    <w:p>
      <w:pPr>
        <w:ind w:left="1020" w:hanging="44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Annual Report on Form 10-K of Scotts for the fiscal year ended September 30, 2004.</w:t>
      </w:r>
    </w:p>
    <w:p>
      <w:pPr>
        <w:spacing w:after="0" w:line="225" w:lineRule="exact"/>
        <w:rPr>
          <w:rFonts w:ascii="Arial" w:cs="Arial" w:eastAsia="Arial" w:hAnsi="Arial"/>
          <w:sz w:val="18"/>
          <w:szCs w:val="18"/>
          <w:color w:val="auto"/>
        </w:rPr>
      </w:pPr>
    </w:p>
    <w:p>
      <w:pPr>
        <w:ind w:left="1020" w:hanging="44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Quarterly Report on Form 10-Q of Scotts for the quarterly period ended January 1, 2005.</w:t>
      </w:r>
    </w:p>
    <w:p>
      <w:pPr>
        <w:spacing w:after="0" w:line="225" w:lineRule="exact"/>
        <w:rPr>
          <w:rFonts w:ascii="Arial" w:cs="Arial" w:eastAsia="Arial" w:hAnsi="Arial"/>
          <w:sz w:val="18"/>
          <w:szCs w:val="18"/>
          <w:color w:val="auto"/>
        </w:rPr>
      </w:pPr>
    </w:p>
    <w:p>
      <w:pPr>
        <w:ind w:left="1020" w:right="140" w:hanging="445"/>
        <w:spacing w:after="0" w:line="308" w:lineRule="auto"/>
        <w:tabs>
          <w:tab w:leader="none" w:pos="102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Current Reports on Form 8-K filed by Scotts with the Commission on November 19, 2004, December 8, 2004 (as subsequently amended by the Current Report on Form 8-K/A filed with the Commission on December 17, 2004) and February 2, 2005.</w:t>
      </w:r>
    </w:p>
    <w:p>
      <w:pPr>
        <w:spacing w:after="0" w:line="146" w:lineRule="exact"/>
        <w:rPr>
          <w:rFonts w:ascii="Arial" w:cs="Arial" w:eastAsia="Arial" w:hAnsi="Arial"/>
          <w:sz w:val="17"/>
          <w:szCs w:val="17"/>
          <w:color w:val="auto"/>
        </w:rPr>
      </w:pPr>
    </w:p>
    <w:p>
      <w:pPr>
        <w:ind w:left="1020" w:hanging="44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Current Report on Form 8-K filed by Scotts Miracle-Gro with the Commission on March 24, 2005.</w:t>
      </w:r>
    </w:p>
    <w:p>
      <w:pPr>
        <w:spacing w:after="0" w:line="225" w:lineRule="exact"/>
        <w:rPr>
          <w:rFonts w:ascii="Arial" w:cs="Arial" w:eastAsia="Arial" w:hAnsi="Arial"/>
          <w:sz w:val="18"/>
          <w:szCs w:val="18"/>
          <w:color w:val="auto"/>
        </w:rPr>
      </w:pPr>
    </w:p>
    <w:p>
      <w:pPr>
        <w:ind w:left="1020" w:right="460" w:hanging="445"/>
        <w:spacing w:after="0" w:line="277"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Scotts Miracle-Gro Common Shares contained in Scotts Miracle-Gro’s Current Report on Form 8-K filed with the Commission on March 24, 2005.</w:t>
      </w:r>
    </w:p>
    <w:p>
      <w:pPr>
        <w:spacing w:after="0" w:line="170" w:lineRule="exact"/>
        <w:rPr>
          <w:sz w:val="20"/>
          <w:szCs w:val="20"/>
          <w:color w:val="auto"/>
        </w:rPr>
      </w:pPr>
    </w:p>
    <w:p>
      <w:pPr>
        <w:jc w:val="both"/>
        <w:ind w:firstLine="215"/>
        <w:spacing w:after="0" w:line="257" w:lineRule="auto"/>
        <w:rPr>
          <w:sz w:val="20"/>
          <w:szCs w:val="20"/>
          <w:color w:val="auto"/>
        </w:rPr>
      </w:pPr>
      <w:r>
        <w:rPr>
          <w:rFonts w:ascii="Arial" w:cs="Arial" w:eastAsia="Arial" w:hAnsi="Arial"/>
          <w:sz w:val="18"/>
          <w:szCs w:val="18"/>
          <w:color w:val="auto"/>
        </w:rPr>
        <w:t>Any definitive proxy statement or information statement filed by Scotts Miracle-Gro pursuant to Section 14 of the Exchange Act and all documents which may be filed by Scotts Miracle-Gro with the Commission pursuant to Section 13, 14 or 15(d) of the Exchange Act subsequent to the date hereof and prior to the completion of the offering contemplated by the 1996 Plan, shall also be deemed to be incorporated herein by reference and to be made a part hereof from the date of filing of such documents. Information furnished by Scotts Miracle-Gro under any Current Report on Form 8-K is not incorporated by reference in this Registration Statement.</w:t>
      </w:r>
    </w:p>
    <w:p>
      <w:pPr>
        <w:spacing w:after="0" w:line="1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Description of Securities</w:t>
      </w:r>
      <w:r>
        <w:rPr>
          <w:rFonts w:ascii="Arial" w:cs="Arial" w:eastAsia="Arial" w:hAnsi="Arial"/>
          <w:sz w:val="18"/>
          <w:szCs w:val="18"/>
          <w:color w:val="auto"/>
        </w:rPr>
        <w:t>.</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Interests of Named Experts and Counsel</w:t>
      </w:r>
      <w:r>
        <w:rPr>
          <w:rFonts w:ascii="Arial" w:cs="Arial" w:eastAsia="Arial" w:hAnsi="Arial"/>
          <w:sz w:val="18"/>
          <w:szCs w:val="18"/>
          <w:color w:val="auto"/>
        </w:rPr>
        <w:t>.</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Indemnification of Directors and Officers</w:t>
      </w:r>
      <w:r>
        <w:rPr>
          <w:rFonts w:ascii="Arial" w:cs="Arial" w:eastAsia="Arial" w:hAnsi="Arial"/>
          <w:sz w:val="18"/>
          <w:szCs w:val="18"/>
          <w:color w:val="auto"/>
        </w:rPr>
        <w:t>.</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Section 11.5 of the 1996 Plan provides for indemnification of the Registrant’s Board of Directors (the “Board”) and of members of the Compensation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Organization Committee (the “Committee”) which administers the 1996 Plan as follows:</w:t>
      </w:r>
    </w:p>
    <w:p>
      <w:pPr>
        <w:spacing w:after="0" w:line="170" w:lineRule="exact"/>
        <w:rPr>
          <w:sz w:val="20"/>
          <w:szCs w:val="20"/>
          <w:color w:val="auto"/>
        </w:rPr>
      </w:pPr>
    </w:p>
    <w:p>
      <w:pPr>
        <w:ind w:left="360" w:firstLine="225"/>
        <w:spacing w:after="0" w:line="271" w:lineRule="auto"/>
        <w:rPr>
          <w:sz w:val="20"/>
          <w:szCs w:val="20"/>
          <w:color w:val="auto"/>
        </w:rPr>
      </w:pPr>
      <w:r>
        <w:rPr>
          <w:rFonts w:ascii="Arial" w:cs="Arial" w:eastAsia="Arial" w:hAnsi="Arial"/>
          <w:sz w:val="17"/>
          <w:szCs w:val="17"/>
          <w:color w:val="auto"/>
        </w:rPr>
        <w:t>11.5. Indemnification. Each person who is or shall have been a member of the Committee or of the Board shall be indemnified and held harmless by the Company against and from any loss, cost, liability, or expense that may be imposed upon or reasonably incurred by him in connection with or resulting from any claim, action, suit, or proceeding to which he may be made a party or in which he may be involved by reason of any action taken or failure to act under the Plan and against and from any and all amounts paid by him in settlement thereof, with the Company’s approval, or paid by him in satisfaction of any judgment in any such action, suit, or proceeding against him, provided he shall give the Company an opportunity, at its own expense, to handle and defend the same before he undertakes to handle and defend it on his own behalf. The foregoing right of indemnification shall not be exclusive and shall be independent of any other rights of indemnification to which such persons may be entitled under the Company’s articles of incorporation or regulations, by contract, as a matter of law, or otherwise.</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Article Five of the Code of Regulations of the Registrant governs the indemnification of officers and directors of the Registrant. Article Five provides:</w:t>
      </w:r>
    </w:p>
    <w:p>
      <w:pPr>
        <w:spacing w:after="0" w:line="196" w:lineRule="exact"/>
        <w:rPr>
          <w:sz w:val="20"/>
          <w:szCs w:val="20"/>
          <w:color w:val="auto"/>
        </w:rPr>
      </w:pPr>
    </w:p>
    <w:p>
      <w:pPr>
        <w:ind w:left="360" w:right="20" w:firstLine="225"/>
        <w:spacing w:after="0" w:line="287" w:lineRule="auto"/>
        <w:rPr>
          <w:sz w:val="20"/>
          <w:szCs w:val="20"/>
          <w:color w:val="auto"/>
        </w:rPr>
      </w:pPr>
      <w:r>
        <w:rPr>
          <w:rFonts w:ascii="Arial" w:cs="Arial" w:eastAsia="Arial" w:hAnsi="Arial"/>
          <w:sz w:val="16"/>
          <w:szCs w:val="16"/>
          <w:u w:val="single" w:color="auto"/>
          <w:color w:val="auto"/>
        </w:rPr>
        <w:t>Section 5.01. Mandatory Indemnification</w:t>
      </w:r>
      <w:r>
        <w:rPr>
          <w:rFonts w:ascii="Arial" w:cs="Arial" w:eastAsia="Arial" w:hAnsi="Arial"/>
          <w:sz w:val="16"/>
          <w:szCs w:val="16"/>
          <w:color w:val="auto"/>
        </w:rPr>
        <w:t>. The corporation shall indemnify any officer or director of the corporation who was or is a party or is threatened to be made a party to any threatened, pending or completed action, suit or proceeding, whether civil, criminal, administrative or investigative (including, without limitation, any action threatened or instituted by or in the right of the corporation),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expenses (including, without limitation, attorneys’ fees, filing fees, court reporters’ fees and transcript costs),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he had no reasonable cause to believe his conduct was unlawful. A person claiming indemnification under this Section 5.01 shall be presumed, in respect of any act or omission giving rise to such claim for indemnification, to have acted in good faith and in a manner he reasonably believed to be in or not opposed to the best interests of the corporation, and with respect to any criminal matter, to have had no reasonable cause to</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right="260"/>
        <w:spacing w:after="0" w:line="277" w:lineRule="auto"/>
        <w:rPr>
          <w:sz w:val="20"/>
          <w:szCs w:val="20"/>
          <w:color w:val="auto"/>
        </w:rPr>
      </w:pPr>
      <w:r>
        <w:rPr>
          <w:rFonts w:ascii="Arial" w:cs="Arial" w:eastAsia="Arial" w:hAnsi="Arial"/>
          <w:sz w:val="18"/>
          <w:szCs w:val="18"/>
          <w:color w:val="auto"/>
        </w:rPr>
        <w:t>believe his conduct was unlawful, and the termination of any action, suit or proceeding by judgment, order, settlement or conviction, or upon a plea of nolo contendere or its equivalent, shall not, of itself, rebut such presumption.</w:t>
      </w:r>
    </w:p>
    <w:p>
      <w:pPr>
        <w:spacing w:after="0" w:line="143"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Section 5.02. Court-Approved Indemnification</w:t>
      </w:r>
      <w:r>
        <w:rPr>
          <w:rFonts w:ascii="Arial" w:cs="Arial" w:eastAsia="Arial" w:hAnsi="Arial"/>
          <w:sz w:val="18"/>
          <w:szCs w:val="18"/>
          <w:color w:val="auto"/>
        </w:rPr>
        <w:t>. Anything contained in the Regulations or elsewhere to the contrary notwithstanding:</w:t>
      </w:r>
    </w:p>
    <w:p>
      <w:pPr>
        <w:spacing w:after="0" w:line="185" w:lineRule="exact"/>
        <w:rPr>
          <w:sz w:val="20"/>
          <w:szCs w:val="20"/>
          <w:color w:val="auto"/>
        </w:rPr>
      </w:pPr>
    </w:p>
    <w:p>
      <w:pPr>
        <w:ind w:left="360" w:right="60" w:firstLine="215"/>
        <w:spacing w:after="0" w:line="270" w:lineRule="auto"/>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corporation shall not indemnify any officer or director of the corporation who was a party to any completed action or suit instituted by or in the right of the corporation to procure a judgment in its favor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in respect of any claim, issue or matter asserted in such action or suit as to which he shall have been adjudged to be liable for acting with reckless disregard for the best interests of the corporation or misconduct (other than negligence) in the performance of his duty to the corporation unless and only to the extent that the Court of Common Pleas of Union County, Ohio or the court in which such action or suit was brought shall determine upon application that, despite such adjudication of liability, and in view of all the circumstances of the case, he is fairly and reasonably entitled to such indemnity as such Court of Common Pleas or such other court shall deem proper; and</w:t>
      </w:r>
    </w:p>
    <w:p>
      <w:pPr>
        <w:spacing w:after="0" w:line="141" w:lineRule="exact"/>
        <w:rPr>
          <w:rFonts w:ascii="Arial" w:cs="Arial" w:eastAsia="Arial" w:hAnsi="Arial"/>
          <w:sz w:val="17"/>
          <w:szCs w:val="17"/>
          <w:color w:val="auto"/>
        </w:rPr>
      </w:pPr>
    </w:p>
    <w:p>
      <w:pPr>
        <w:ind w:left="860" w:hanging="285"/>
        <w:spacing w:after="0"/>
        <w:tabs>
          <w:tab w:leader="none" w:pos="8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corporation shall promptly make any such unpaid indemnification as is determined by a court to be proper as contemplated by this</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Section 5.02.</w:t>
      </w:r>
    </w:p>
    <w:p>
      <w:pPr>
        <w:spacing w:after="0" w:line="184" w:lineRule="exact"/>
        <w:rPr>
          <w:sz w:val="20"/>
          <w:szCs w:val="20"/>
          <w:color w:val="auto"/>
        </w:rPr>
      </w:pPr>
    </w:p>
    <w:p>
      <w:pPr>
        <w:ind w:left="360" w:right="80" w:firstLine="225"/>
        <w:spacing w:after="0" w:line="291" w:lineRule="auto"/>
        <w:rPr>
          <w:sz w:val="20"/>
          <w:szCs w:val="20"/>
          <w:color w:val="auto"/>
        </w:rPr>
      </w:pPr>
      <w:r>
        <w:rPr>
          <w:rFonts w:ascii="Arial" w:cs="Arial" w:eastAsia="Arial" w:hAnsi="Arial"/>
          <w:sz w:val="16"/>
          <w:szCs w:val="16"/>
          <w:u w:val="single" w:color="auto"/>
          <w:color w:val="auto"/>
        </w:rPr>
        <w:t>Section 5.03. Indemnification for Expenses</w:t>
      </w:r>
      <w:r>
        <w:rPr>
          <w:rFonts w:ascii="Arial" w:cs="Arial" w:eastAsia="Arial" w:hAnsi="Arial"/>
          <w:sz w:val="16"/>
          <w:szCs w:val="16"/>
          <w:color w:val="auto"/>
        </w:rPr>
        <w:t>. Anything contained in the Regulations or elsewhere to the contrary notwithstanding, to the extent that an officer or director of the corporation has been successful on the merits or otherwise in defense of any action, suit or proceeding referred to in</w:t>
      </w:r>
    </w:p>
    <w:p>
      <w:pPr>
        <w:ind w:left="360" w:right="60"/>
        <w:spacing w:after="0" w:line="323" w:lineRule="auto"/>
        <w:rPr>
          <w:sz w:val="20"/>
          <w:szCs w:val="20"/>
          <w:color w:val="auto"/>
        </w:rPr>
      </w:pPr>
      <w:r>
        <w:rPr>
          <w:rFonts w:ascii="Arial" w:cs="Arial" w:eastAsia="Arial" w:hAnsi="Arial"/>
          <w:sz w:val="16"/>
          <w:szCs w:val="16"/>
          <w:color w:val="auto"/>
        </w:rPr>
        <w:t>Section 5.01, or in defense of any claim, issue or matter therein, he shall be promptly indemnified by the corporation against expenses (including, without limitation, attorneys’ fees, filing fees, court reporters’ fees and transcript costs) actually and reasonably incurred by him in connection therewith.</w:t>
      </w:r>
    </w:p>
    <w:p>
      <w:pPr>
        <w:spacing w:after="0" w:line="98" w:lineRule="exact"/>
        <w:rPr>
          <w:sz w:val="20"/>
          <w:szCs w:val="20"/>
          <w:color w:val="auto"/>
        </w:rPr>
      </w:pPr>
    </w:p>
    <w:p>
      <w:pPr>
        <w:ind w:left="360" w:firstLine="225"/>
        <w:spacing w:after="0" w:line="288" w:lineRule="auto"/>
        <w:rPr>
          <w:sz w:val="20"/>
          <w:szCs w:val="20"/>
          <w:color w:val="auto"/>
        </w:rPr>
      </w:pPr>
      <w:r>
        <w:rPr>
          <w:rFonts w:ascii="Arial" w:cs="Arial" w:eastAsia="Arial" w:hAnsi="Arial"/>
          <w:sz w:val="16"/>
          <w:szCs w:val="16"/>
          <w:u w:val="single" w:color="auto"/>
          <w:color w:val="auto"/>
        </w:rPr>
        <w:t>Section 5.04. Determination Required</w:t>
      </w:r>
      <w:r>
        <w:rPr>
          <w:rFonts w:ascii="Arial" w:cs="Arial" w:eastAsia="Arial" w:hAnsi="Arial"/>
          <w:sz w:val="16"/>
          <w:szCs w:val="16"/>
          <w:color w:val="auto"/>
        </w:rPr>
        <w:t>. Any indemnification required under Section 5.01 and not precluded under Section 5.02 shall be made by the corporation only upon a determination that such indemnification of the officer or director is proper in the circumstances because he has met the applicable standard of conduct set forth in Section 5.01. Such determination may be made only (A) by a majority vote of a quorum consisting of directors of the corporation who were not and are not parties to, or threatened with, any such action, suit or proceeding, or (B) if such a quorum is not obtainable or if a majority of a quorum of disinterested directors so directs, in a written opinion by independent legal counsel other than an attorney, or a firm having associated with it an attorney, who has been retained by or who has performed services for the corporation, or any person to be indemnified, within the past five years, or (C) by the shareholders, or (D) by the Court of Common Pleas of Union County, Ohio or (if the corporation is a party thereto) the court in which such action, suit or proceeding was brought, if any; any such determination may be made by a court under division (D) of this Section 5.04 at any time [including, without limitation, any time before, during or after the time when any such determination may be requested of, be under consideration by or have been denied or disregarded by the disinterested directors under division (A) or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line="271" w:lineRule="auto"/>
        <w:rPr>
          <w:sz w:val="20"/>
          <w:szCs w:val="20"/>
          <w:color w:val="auto"/>
        </w:rPr>
      </w:pPr>
      <w:r>
        <w:rPr>
          <w:rFonts w:ascii="Arial" w:cs="Arial" w:eastAsia="Arial" w:hAnsi="Arial"/>
          <w:sz w:val="17"/>
          <w:szCs w:val="17"/>
          <w:color w:val="auto"/>
        </w:rPr>
        <w:t>by independent legal counsel under division (B) or by the shareholders under division (C) of this Section 5.04]; and no failure for any reason to make any such determination, and no decision for any reason to deny any such determination, by the disinterested directors under division (A) or by independent legal counsel under division (B) or by shareholders under division (C) of this Section 5.04 shall be evidence in rebuttal of the presumption recited in Section 5.01. Any determination made by the disinterested directors under division (A) or by independent legal counsel under division (B) of this Section 5.04 to make indemnification in respect of any claim, issue or matter asserted in an action or suit threatened or brought by or in the right of the corporation shall be promptly communicated to the person who threatened or brought such action or suit, and within ten days after receipt of such notification such person shall have the right to petition the Court of Common Pleas of Union County, Ohio or the court in which such action or suit was brought, if any, to review the reasonableness of such determination.</w:t>
      </w:r>
    </w:p>
    <w:p>
      <w:pPr>
        <w:spacing w:after="0" w:line="152" w:lineRule="exact"/>
        <w:rPr>
          <w:sz w:val="20"/>
          <w:szCs w:val="20"/>
          <w:color w:val="auto"/>
        </w:rPr>
      </w:pPr>
    </w:p>
    <w:p>
      <w:pPr>
        <w:ind w:left="360" w:firstLine="225"/>
        <w:spacing w:after="0" w:line="257" w:lineRule="auto"/>
        <w:rPr>
          <w:sz w:val="20"/>
          <w:szCs w:val="20"/>
          <w:color w:val="auto"/>
        </w:rPr>
      </w:pPr>
      <w:r>
        <w:rPr>
          <w:rFonts w:ascii="Arial" w:cs="Arial" w:eastAsia="Arial" w:hAnsi="Arial"/>
          <w:sz w:val="18"/>
          <w:szCs w:val="18"/>
          <w:u w:val="single" w:color="auto"/>
          <w:color w:val="auto"/>
        </w:rPr>
        <w:t>Section 5.05. Advances for Expenses</w:t>
      </w:r>
      <w:r>
        <w:rPr>
          <w:rFonts w:ascii="Arial" w:cs="Arial" w:eastAsia="Arial" w:hAnsi="Arial"/>
          <w:sz w:val="18"/>
          <w:szCs w:val="18"/>
          <w:color w:val="auto"/>
        </w:rPr>
        <w:t>. Expenses (including, without limitation, attorneys’ fees, filing fees, court reporters’ fees and transcript costs) incurred in defending any action, suit or proceeding referred to in Section 5.01 shall be paid by the corporation in advance of the final disposition of such action, suit or proceeding to or on behalf of the officer or director promptly as such expenses are incurred by him, but only if such officer or director shall first agree, in writing, to repay all amounts so paid in respect of any claim, issue or other matter asserted in such action, suit or proceeding in defense of which he shall not have been successful on the merits or otherwise:</w:t>
      </w:r>
    </w:p>
    <w:p>
      <w:pPr>
        <w:spacing w:after="0" w:line="148" w:lineRule="exact"/>
        <w:rPr>
          <w:sz w:val="20"/>
          <w:szCs w:val="20"/>
          <w:color w:val="auto"/>
        </w:rPr>
      </w:pPr>
    </w:p>
    <w:p>
      <w:pPr>
        <w:ind w:left="360" w:right="480" w:firstLine="215"/>
        <w:spacing w:after="0" w:line="277"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it shall ultimately be determined as provided in Section 5.04 that he is not entitled to be indemnified by the corporation as provided under Section 5.01; or</w:t>
      </w:r>
    </w:p>
    <w:p>
      <w:pPr>
        <w:spacing w:after="0" w:line="129" w:lineRule="exact"/>
        <w:rPr>
          <w:rFonts w:ascii="Arial" w:cs="Arial" w:eastAsia="Arial" w:hAnsi="Arial"/>
          <w:sz w:val="18"/>
          <w:szCs w:val="18"/>
          <w:color w:val="auto"/>
        </w:rPr>
      </w:pPr>
    </w:p>
    <w:p>
      <w:pPr>
        <w:ind w:left="360" w:right="100" w:firstLine="215"/>
        <w:spacing w:after="0" w:line="257" w:lineRule="auto"/>
        <w:tabs>
          <w:tab w:leader="none" w:pos="87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in respect of any claim, issue or other matter asserted by or in the right of the corporation in such action or suit, he shall have been adjudged to be liable for acting with reckless disregard for the best interests of the corporation or misconduct (other than negligence) in the performance of his duty to the corporation, unless and only to the extent that the Court of Common Pleas of Union County, Ohio or the court in which such action or suit was brought shall determine upon application that, despite such adjudication of liability, and in view of all the circumstances, he is fairly and reasonably entitled to all or part of such indemnification.</w:t>
      </w:r>
    </w:p>
    <w:p>
      <w:pPr>
        <w:spacing w:after="0" w:line="161" w:lineRule="exact"/>
        <w:rPr>
          <w:sz w:val="20"/>
          <w:szCs w:val="20"/>
          <w:color w:val="auto"/>
        </w:rPr>
      </w:pPr>
    </w:p>
    <w:p>
      <w:pPr>
        <w:ind w:left="360" w:right="20" w:firstLine="225"/>
        <w:spacing w:after="0" w:line="257" w:lineRule="auto"/>
        <w:rPr>
          <w:sz w:val="20"/>
          <w:szCs w:val="20"/>
          <w:color w:val="auto"/>
        </w:rPr>
      </w:pPr>
      <w:r>
        <w:rPr>
          <w:rFonts w:ascii="Arial" w:cs="Arial" w:eastAsia="Arial" w:hAnsi="Arial"/>
          <w:sz w:val="18"/>
          <w:szCs w:val="18"/>
          <w:u w:val="single" w:color="auto"/>
          <w:color w:val="auto"/>
        </w:rPr>
        <w:t>Section 5.06. Article FIVE Not Exclusive</w:t>
      </w:r>
      <w:r>
        <w:rPr>
          <w:rFonts w:ascii="Arial" w:cs="Arial" w:eastAsia="Arial" w:hAnsi="Arial"/>
          <w:sz w:val="18"/>
          <w:szCs w:val="18"/>
          <w:color w:val="auto"/>
        </w:rPr>
        <w:t>. The indemnification provided by this Article FIVE shall not be exclusive of, and shall be in addition to, any other rights to which any person seeking indemnification may be entitled under the Articles or the Regulations or any agreement, vote of shareholders or disinterested directors, or otherwise, both as to action in his official capacity and as to action in another capacity while holding such office, and shall continue as to a person who has ceased to be an officer or director of the corporation and shall inure to the benefit of the heirs, executors, and administrators of such a person.</w:t>
      </w:r>
    </w:p>
    <w:p>
      <w:pPr>
        <w:spacing w:after="0" w:line="148" w:lineRule="exact"/>
        <w:rPr>
          <w:sz w:val="20"/>
          <w:szCs w:val="20"/>
          <w:color w:val="auto"/>
        </w:rPr>
      </w:pPr>
    </w:p>
    <w:p>
      <w:pPr>
        <w:jc w:val="both"/>
        <w:ind w:left="360" w:right="120" w:firstLine="225"/>
        <w:spacing w:after="0" w:line="302" w:lineRule="auto"/>
        <w:rPr>
          <w:sz w:val="20"/>
          <w:szCs w:val="20"/>
          <w:color w:val="auto"/>
        </w:rPr>
      </w:pPr>
      <w:r>
        <w:rPr>
          <w:rFonts w:ascii="Arial" w:cs="Arial" w:eastAsia="Arial" w:hAnsi="Arial"/>
          <w:sz w:val="16"/>
          <w:szCs w:val="16"/>
          <w:u w:val="single" w:color="auto"/>
          <w:color w:val="auto"/>
        </w:rPr>
        <w:t>Section 5.07. Insurance</w:t>
      </w:r>
      <w:r>
        <w:rPr>
          <w:rFonts w:ascii="Arial" w:cs="Arial" w:eastAsia="Arial" w:hAnsi="Arial"/>
          <w:sz w:val="16"/>
          <w:szCs w:val="16"/>
          <w:color w:val="auto"/>
        </w:rPr>
        <w:t>. The corporation may purchase and maintain insurance or furnish similar protection, including but not limited to, trust funds, letters of credit, or self-insurance, on behalf of any person who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any liability asserted against him and incurred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60" w:right="80"/>
        <w:spacing w:after="0" w:line="264" w:lineRule="auto"/>
        <w:rPr>
          <w:sz w:val="20"/>
          <w:szCs w:val="20"/>
          <w:color w:val="auto"/>
        </w:rPr>
      </w:pPr>
      <w:r>
        <w:rPr>
          <w:rFonts w:ascii="Arial" w:cs="Arial" w:eastAsia="Arial" w:hAnsi="Arial"/>
          <w:sz w:val="18"/>
          <w:szCs w:val="18"/>
          <w:color w:val="auto"/>
        </w:rPr>
        <w:t>by him in any such capacity, or arising out of his status as such, whether or not the corporation would have the obligation or the power to indemnify him against such liability under the provisions of this Article FIVE. Insurance may be purchased from or maintained with a person in which the corporation has a financial interest.</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Section 5.08. Certain Definitions</w:t>
      </w:r>
      <w:r>
        <w:rPr>
          <w:rFonts w:ascii="Arial" w:cs="Arial" w:eastAsia="Arial" w:hAnsi="Arial"/>
          <w:sz w:val="18"/>
          <w:szCs w:val="18"/>
          <w:color w:val="auto"/>
        </w:rPr>
        <w:t>. For purposes of this Article FIVE, and as examples and not by way of limitation:</w:t>
      </w:r>
    </w:p>
    <w:p>
      <w:pPr>
        <w:spacing w:after="0" w:line="185" w:lineRule="exact"/>
        <w:rPr>
          <w:sz w:val="20"/>
          <w:szCs w:val="20"/>
          <w:color w:val="auto"/>
        </w:rPr>
      </w:pPr>
    </w:p>
    <w:p>
      <w:pPr>
        <w:ind w:left="360" w:right="120" w:firstLine="215"/>
        <w:spacing w:after="0" w:line="297" w:lineRule="auto"/>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person claiming indemnification under this Article FIVE shall be deemed to have been successful on the merits or otherwise in defense of any action, suit or proceeding referred to in Section 5.01, or in defense of any claim, issue or other matter therein, if such action, suit or proceeding shall be terminated as to such person, with or without prejudice, without the entry of a judgment or order against him, without a conviction of him, without the imposition of a fine upon him and without his payment or agreement to pay any amount in settlement thereof (whether or not any such termination is based upon a judicial or other determination of the lack of merit of the claims made against him or otherwise results in a vindication of him); and</w:t>
      </w:r>
    </w:p>
    <w:p>
      <w:pPr>
        <w:spacing w:after="0" w:line="117" w:lineRule="exact"/>
        <w:rPr>
          <w:rFonts w:ascii="Arial" w:cs="Arial" w:eastAsia="Arial" w:hAnsi="Arial"/>
          <w:sz w:val="16"/>
          <w:szCs w:val="16"/>
          <w:color w:val="auto"/>
        </w:rPr>
      </w:pPr>
    </w:p>
    <w:p>
      <w:pPr>
        <w:ind w:left="360" w:firstLine="215"/>
        <w:spacing w:after="0" w:line="273" w:lineRule="auto"/>
        <w:tabs>
          <w:tab w:leader="none" w:pos="87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References to an “other enterprise” shall include employee benefit plans; references to a “fine”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best interests of the participants and beneficiaries of an employee benefit plan shall be deemed to have acted in a manner “not opposed to the best interests of the corporation” within the meaning of that term as used in this Article FIVE.</w:t>
      </w:r>
    </w:p>
    <w:p>
      <w:pPr>
        <w:spacing w:after="0" w:line="151" w:lineRule="exact"/>
        <w:rPr>
          <w:sz w:val="20"/>
          <w:szCs w:val="20"/>
          <w:color w:val="auto"/>
        </w:rPr>
      </w:pPr>
    </w:p>
    <w:p>
      <w:pPr>
        <w:ind w:left="360" w:right="240" w:firstLine="225"/>
        <w:spacing w:after="0" w:line="259" w:lineRule="auto"/>
        <w:rPr>
          <w:sz w:val="20"/>
          <w:szCs w:val="20"/>
          <w:color w:val="auto"/>
        </w:rPr>
      </w:pPr>
      <w:r>
        <w:rPr>
          <w:rFonts w:ascii="Arial" w:cs="Arial" w:eastAsia="Arial" w:hAnsi="Arial"/>
          <w:sz w:val="18"/>
          <w:szCs w:val="18"/>
          <w:u w:val="single" w:color="auto"/>
          <w:color w:val="auto"/>
        </w:rPr>
        <w:t>Section 5.09. Venue</w:t>
      </w:r>
      <w:r>
        <w:rPr>
          <w:rFonts w:ascii="Arial" w:cs="Arial" w:eastAsia="Arial" w:hAnsi="Arial"/>
          <w:sz w:val="18"/>
          <w:szCs w:val="18"/>
          <w:color w:val="auto"/>
        </w:rPr>
        <w:t>. Any action, suit or proceeding to determine a claim for indemnification under this Article FIVE may be maintained by the person claiming such indemnification, or by the corporation, in the Court of Common Pleas of Union County, Ohio. The corporation and (by claiming such indemnification) each such person consent to the exercise of jurisdiction over its or his person by the Court of Common Pleas of Union County, Ohio in any such action, suit or proceeding.</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Division (E) of Section 1701.13 of the Ohio Revised Code addresses indemnification by an Ohio corporation and provides as follows:</w:t>
      </w:r>
    </w:p>
    <w:p>
      <w:pPr>
        <w:spacing w:after="0" w:line="185" w:lineRule="exact"/>
        <w:rPr>
          <w:sz w:val="20"/>
          <w:szCs w:val="20"/>
          <w:color w:val="auto"/>
        </w:rPr>
      </w:pPr>
    </w:p>
    <w:p>
      <w:pPr>
        <w:ind w:left="360" w:right="80" w:firstLine="225"/>
        <w:spacing w:after="0" w:line="291" w:lineRule="auto"/>
        <w:rPr>
          <w:sz w:val="20"/>
          <w:szCs w:val="20"/>
          <w:color w:val="auto"/>
        </w:rPr>
      </w:pPr>
      <w:r>
        <w:rPr>
          <w:rFonts w:ascii="Arial" w:cs="Arial" w:eastAsia="Arial" w:hAnsi="Arial"/>
          <w:sz w:val="16"/>
          <w:szCs w:val="16"/>
          <w:color w:val="auto"/>
        </w:rPr>
        <w:t>(E)(1) A corporation may indemnify or agree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60" w:right="40"/>
        <w:spacing w:after="0" w:line="259" w:lineRule="auto"/>
        <w:rPr>
          <w:sz w:val="20"/>
          <w:szCs w:val="20"/>
          <w:color w:val="auto"/>
        </w:rPr>
      </w:pPr>
      <w:r>
        <w:rPr>
          <w:rFonts w:ascii="Arial" w:cs="Arial" w:eastAsia="Arial" w:hAnsi="Arial"/>
          <w:sz w:val="18"/>
          <w:szCs w:val="18"/>
          <w:color w:val="auto"/>
        </w:rPr>
        <w:t>action or proceeding, if he had no reasonable cause to believe his conduct was unlawful. The termination of any action, suit, or proceeding by judgment, order, settlement, or conviction, or upon a plea of nolo contendere or its equivalent, shall not, of itself, create a presumption that the person did not act in good faith and in a manner he reasonably believed to be in or not opposed to the best interests of the corporation, and, with respect to any criminal action or proceeding, he had reasonable cause to believe that his conduct was unlawful.</w:t>
      </w:r>
    </w:p>
    <w:p>
      <w:pPr>
        <w:spacing w:after="0" w:line="160" w:lineRule="exact"/>
        <w:rPr>
          <w:sz w:val="20"/>
          <w:szCs w:val="20"/>
          <w:color w:val="auto"/>
        </w:rPr>
      </w:pPr>
    </w:p>
    <w:p>
      <w:pPr>
        <w:ind w:left="360" w:firstLine="215"/>
        <w:spacing w:after="0" w:line="272" w:lineRule="auto"/>
        <w:tabs>
          <w:tab w:leader="none" w:pos="8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corporation may indemnify or agree to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except that no indemnification shall be made in respect of any of the following:</w:t>
      </w:r>
    </w:p>
    <w:p>
      <w:pPr>
        <w:spacing w:after="0" w:line="137" w:lineRule="exact"/>
        <w:rPr>
          <w:sz w:val="20"/>
          <w:szCs w:val="20"/>
          <w:color w:val="auto"/>
        </w:rPr>
      </w:pPr>
    </w:p>
    <w:p>
      <w:pPr>
        <w:ind w:left="360" w:right="360" w:firstLine="215"/>
        <w:spacing w:after="0" w:line="279" w:lineRule="auto"/>
        <w:tabs>
          <w:tab w:leader="none" w:pos="830" w:val="left"/>
        </w:tabs>
        <w:numPr>
          <w:ilvl w:val="0"/>
          <w:numId w:val="7"/>
        </w:numPr>
        <w:rPr>
          <w:rFonts w:ascii="Arial" w:cs="Arial" w:eastAsia="Arial" w:hAnsi="Arial"/>
          <w:sz w:val="17"/>
          <w:szCs w:val="17"/>
          <w:color w:val="auto"/>
        </w:rPr>
      </w:pPr>
      <w:r>
        <w:rPr>
          <w:rFonts w:ascii="Arial" w:cs="Arial" w:eastAsia="Arial" w:hAnsi="Arial"/>
          <w:sz w:val="17"/>
          <w:szCs w:val="17"/>
          <w:color w:val="auto"/>
        </w:rPr>
        <w:t>Any claim, issue, or matter as to which such person is adjudged to be liable for negligence or misconduct in the performance of his duty to the corporation unless, and only to the extent that, the court of common pleas or the court in which such action or suit was brought determines, upon application, that, despite the adjudication of liability, but in view of all the circumstances of the case, such person is fairly and reasonably entitled to indemnity for such expenses as the court of common pleas or such other court shall deem proper;</w:t>
      </w:r>
    </w:p>
    <w:p>
      <w:pPr>
        <w:spacing w:after="0" w:line="130" w:lineRule="exact"/>
        <w:rPr>
          <w:rFonts w:ascii="Arial" w:cs="Arial" w:eastAsia="Arial" w:hAnsi="Arial"/>
          <w:sz w:val="17"/>
          <w:szCs w:val="17"/>
          <w:color w:val="auto"/>
        </w:rPr>
      </w:pPr>
    </w:p>
    <w:p>
      <w:pPr>
        <w:ind w:left="840" w:hanging="265"/>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action or suit in which the only liability asserted against a director is pursuant to section 1701.95 of the Revised Code.</w:t>
      </w:r>
    </w:p>
    <w:p>
      <w:pPr>
        <w:spacing w:after="0" w:line="198" w:lineRule="exact"/>
        <w:rPr>
          <w:sz w:val="20"/>
          <w:szCs w:val="20"/>
          <w:color w:val="auto"/>
        </w:rPr>
      </w:pPr>
    </w:p>
    <w:p>
      <w:pPr>
        <w:ind w:left="360" w:right="300" w:firstLine="215"/>
        <w:spacing w:after="0" w:line="312" w:lineRule="auto"/>
        <w:tabs>
          <w:tab w:leader="none" w:pos="8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the extent that a director, trustee, officer, employee, member, manager, or agent has been successful on the merits or otherwise in defense of any action, suit, or proceeding referred to in division (E)(1) or (2) of this section, or in defense of any claim, issue, or matter therein, he shall be indemnified against expenses, including attorney’s fees, actually and reasonably incurred by him in connection with the action, suit, or proceeding.</w:t>
      </w:r>
    </w:p>
    <w:p>
      <w:pPr>
        <w:spacing w:after="0" w:line="106" w:lineRule="exact"/>
        <w:rPr>
          <w:rFonts w:ascii="Arial" w:cs="Arial" w:eastAsia="Arial" w:hAnsi="Arial"/>
          <w:sz w:val="16"/>
          <w:szCs w:val="16"/>
          <w:color w:val="auto"/>
        </w:rPr>
      </w:pPr>
    </w:p>
    <w:p>
      <w:pPr>
        <w:ind w:left="360" w:right="140" w:firstLine="215"/>
        <w:spacing w:after="0" w:line="259" w:lineRule="auto"/>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indemnification under division (E)(1) or (2) of this section, unless ordered by a court, shall be made by the corporation only as authorized in the specific case, upon a determination that indemnification of the director, trustee, officer, employee, member, manager, or agent is proper in the circumstances because he has met the applicable standard of conduct set forth in division (E)(l) or (2) of this section. Such determination shall be made as follows:</w:t>
      </w:r>
    </w:p>
    <w:p>
      <w:pPr>
        <w:spacing w:after="0" w:line="146" w:lineRule="exact"/>
        <w:rPr>
          <w:sz w:val="20"/>
          <w:szCs w:val="20"/>
          <w:color w:val="auto"/>
        </w:rPr>
      </w:pPr>
    </w:p>
    <w:p>
      <w:pPr>
        <w:ind w:left="360" w:right="140" w:firstLine="215"/>
        <w:spacing w:after="0" w:line="277" w:lineRule="auto"/>
        <w:tabs>
          <w:tab w:leader="none" w:pos="83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a majority vote of a quorum consisting of directors of the indemnifying corporation who were not and are not parties to or threatened with the action, suit, or proceeding referred to in division (E)(1) or (2) of this section;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60" w:right="40" w:firstLine="215"/>
        <w:spacing w:after="0" w:line="286" w:lineRule="auto"/>
        <w:tabs>
          <w:tab w:leader="none" w:pos="8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the quorum described in division (E)(4)(a) of this section is not obtainable or if a majority vote of a quorum of disinterested directors so directs, in a written opinion by independent legal counsel other than an attorney, or a firm having associated with it an attorney, who has been retained by or who has performed services for the corporation or any person to be indemnified within the past five years;</w:t>
      </w:r>
    </w:p>
    <w:p>
      <w:pPr>
        <w:spacing w:after="0" w:line="138" w:lineRule="exact"/>
        <w:rPr>
          <w:rFonts w:ascii="Arial" w:cs="Arial" w:eastAsia="Arial" w:hAnsi="Arial"/>
          <w:sz w:val="17"/>
          <w:szCs w:val="17"/>
          <w:color w:val="auto"/>
        </w:rPr>
      </w:pPr>
    </w:p>
    <w:p>
      <w:pPr>
        <w:ind w:left="820" w:hanging="245"/>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the shareholders;</w:t>
      </w:r>
    </w:p>
    <w:p>
      <w:pPr>
        <w:spacing w:after="0" w:line="184" w:lineRule="exact"/>
        <w:rPr>
          <w:rFonts w:ascii="Arial" w:cs="Arial" w:eastAsia="Arial" w:hAnsi="Arial"/>
          <w:sz w:val="18"/>
          <w:szCs w:val="18"/>
          <w:color w:val="auto"/>
        </w:rPr>
      </w:pPr>
    </w:p>
    <w:p>
      <w:pPr>
        <w:ind w:left="840" w:hanging="265"/>
        <w:spacing w:after="0"/>
        <w:tabs>
          <w:tab w:leader="none" w:pos="8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By the court of common pleas or the court in which the action, suit, or proceeding referred to in division (E)(1) or (2) of this section was brought.</w:t>
      </w:r>
    </w:p>
    <w:p>
      <w:pPr>
        <w:spacing w:after="0" w:line="208" w:lineRule="exact"/>
        <w:rPr>
          <w:sz w:val="20"/>
          <w:szCs w:val="20"/>
          <w:color w:val="auto"/>
        </w:rPr>
      </w:pPr>
    </w:p>
    <w:p>
      <w:pPr>
        <w:ind w:left="360" w:right="20" w:firstLine="440"/>
        <w:spacing w:after="0" w:line="291" w:lineRule="auto"/>
        <w:rPr>
          <w:sz w:val="20"/>
          <w:szCs w:val="20"/>
          <w:color w:val="auto"/>
        </w:rPr>
      </w:pPr>
      <w:r>
        <w:rPr>
          <w:rFonts w:ascii="Arial" w:cs="Arial" w:eastAsia="Arial" w:hAnsi="Arial"/>
          <w:sz w:val="16"/>
          <w:szCs w:val="16"/>
          <w:color w:val="auto"/>
        </w:rPr>
        <w:t>Any determination made by the disinterested directors under division (E)(4)(a) or by independent legal counsel under division (E)(4)(b) of this section shall be promptly communicated to the person who threatened or brought the action or suit by or in the right of the corporation under division (E)</w:t>
      </w:r>
    </w:p>
    <w:p>
      <w:pPr>
        <w:ind w:left="360" w:right="320" w:hanging="10"/>
        <w:spacing w:after="0" w:line="261" w:lineRule="auto"/>
        <w:tabs>
          <w:tab w:leader="none" w:pos="6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of this section, and, within ten days after receipt of such notification, such person shall have the right to petition the court of common pleas or the court in which such action or suit was brought to review the reasonableness of such determination.</w:t>
      </w:r>
    </w:p>
    <w:p>
      <w:pPr>
        <w:spacing w:after="0" w:line="157" w:lineRule="exact"/>
        <w:rPr>
          <w:sz w:val="20"/>
          <w:szCs w:val="20"/>
          <w:color w:val="auto"/>
        </w:rPr>
      </w:pPr>
    </w:p>
    <w:p>
      <w:pPr>
        <w:jc w:val="both"/>
        <w:ind w:left="360" w:right="100" w:firstLine="225"/>
        <w:spacing w:after="0" w:line="273" w:lineRule="auto"/>
        <w:rPr>
          <w:sz w:val="20"/>
          <w:szCs w:val="20"/>
          <w:color w:val="auto"/>
        </w:rPr>
      </w:pPr>
      <w:r>
        <w:rPr>
          <w:rFonts w:ascii="Arial" w:cs="Arial" w:eastAsia="Arial" w:hAnsi="Arial"/>
          <w:sz w:val="17"/>
          <w:szCs w:val="17"/>
          <w:color w:val="auto"/>
        </w:rPr>
        <w:t>(5)(a) Unless at the time of a director’s act or omission that is the subject of an action, suit, or proceeding referred to in division (E)(1) or (2) of this section, the articles or the regulations of a corporation state, by specific reference to this division, that the provisions of this division do not apply to the corporation and unless the only liability asserted against a director in an action, suit, or proceeding referred to in division (E)(1) or (2) of this section is pursuant to section 1701.95 of the Revised Code, expenses, including attorney’s fees, incurred by a director in defending the action, suit, or proceeding shall be paid by the corporation as they are incurred, in advance of the final disposition of the action, suit, or proceeding, upon receipt of an undertaking by or on behalf of the director in which he agrees to do both of the following:</w:t>
      </w:r>
    </w:p>
    <w:p>
      <w:pPr>
        <w:spacing w:after="0" w:line="138" w:lineRule="exact"/>
        <w:rPr>
          <w:sz w:val="20"/>
          <w:szCs w:val="20"/>
          <w:color w:val="auto"/>
        </w:rPr>
      </w:pPr>
    </w:p>
    <w:p>
      <w:pPr>
        <w:ind w:left="360" w:right="60" w:firstLine="215"/>
        <w:spacing w:after="0" w:line="264"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Repay such amount if it is proved by clear and convincing evidence in a court of competent jurisdiction that his action or failure to act involved an act or omission undertaken with deliberate intent to cause injury to the corporation or undertaken with reckless disregard for the best interests of the corporation;</w:t>
      </w:r>
    </w:p>
    <w:p>
      <w:pPr>
        <w:spacing w:after="0" w:line="140" w:lineRule="exact"/>
        <w:rPr>
          <w:rFonts w:ascii="Arial" w:cs="Arial" w:eastAsia="Arial" w:hAnsi="Arial"/>
          <w:sz w:val="18"/>
          <w:szCs w:val="18"/>
          <w:color w:val="auto"/>
        </w:rPr>
      </w:pPr>
    </w:p>
    <w:p>
      <w:pPr>
        <w:ind w:left="840" w:hanging="265"/>
        <w:spacing w:after="0"/>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Reasonably cooperate with the corporation concerning the action, suit, or proceeding.</w:t>
      </w:r>
    </w:p>
    <w:p>
      <w:pPr>
        <w:spacing w:after="0" w:line="198" w:lineRule="exact"/>
        <w:rPr>
          <w:sz w:val="20"/>
          <w:szCs w:val="20"/>
          <w:color w:val="auto"/>
        </w:rPr>
      </w:pPr>
    </w:p>
    <w:p>
      <w:pPr>
        <w:ind w:left="360" w:right="100" w:firstLine="215"/>
        <w:spacing w:after="0" w:line="257" w:lineRule="auto"/>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Expenses, including attorney’s fees, incurred by a director, trustee, officer, employee, member, manager, or agent in defending any action, suit, or proceeding referred to in division (E)(1) or (2) of this section, may be paid by the corporation as they are incurred, in advance of the final disposition of the action, suit, or proceeding, as authorized by the directors in the specific case, upon receipt of an undertaking by or on behalf of the director, trustee, officer, employee, member, manager, or agent to repay such amount, if it ultimately is determined that he is not entitled to be indemnified by the corporation.</w:t>
      </w:r>
    </w:p>
    <w:p>
      <w:pPr>
        <w:spacing w:after="0" w:line="148" w:lineRule="exact"/>
        <w:rPr>
          <w:sz w:val="20"/>
          <w:szCs w:val="20"/>
          <w:color w:val="auto"/>
        </w:rPr>
      </w:pPr>
    </w:p>
    <w:p>
      <w:pPr>
        <w:ind w:left="360" w:firstLine="215"/>
        <w:spacing w:after="0" w:line="264" w:lineRule="auto"/>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indemnification authorized by this section shall not be exclusive of, and shall be in addition to, any other rights granted to those seeking indemnification under the articles, the regulations, any agreement, a vote of shareholders or disinterested directors, or otherwise, both as to action in their official capacities and as to action in</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right="340"/>
        <w:spacing w:after="0" w:line="308" w:lineRule="auto"/>
        <w:rPr>
          <w:sz w:val="20"/>
          <w:szCs w:val="20"/>
          <w:color w:val="auto"/>
        </w:rPr>
      </w:pPr>
      <w:r>
        <w:rPr>
          <w:rFonts w:ascii="Arial" w:cs="Arial" w:eastAsia="Arial" w:hAnsi="Arial"/>
          <w:sz w:val="17"/>
          <w:szCs w:val="17"/>
          <w:color w:val="auto"/>
        </w:rPr>
        <w:t>another capacity while holding their offices or positions, and shall continue as to a person who has ceased to be a director, trustee, officer, employee, member, manager, or agent and shall inure to the benefit of the heirs, executors, and administrators of such a person.</w:t>
      </w:r>
    </w:p>
    <w:p>
      <w:pPr>
        <w:spacing w:after="0" w:line="120" w:lineRule="exact"/>
        <w:rPr>
          <w:sz w:val="20"/>
          <w:szCs w:val="20"/>
          <w:color w:val="auto"/>
        </w:rPr>
      </w:pPr>
    </w:p>
    <w:p>
      <w:pPr>
        <w:ind w:left="360" w:firstLine="215"/>
        <w:spacing w:after="0" w:line="293" w:lineRule="auto"/>
        <w:tabs>
          <w:tab w:leader="none" w:pos="8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corporation may purchase and maintain insurance or furnish similar protection, including, but not limited to, trust funds, letters of credit, or self-insurance, on behalf of or for any person who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any liability asserted against him and incurred by him in any such capacity, or arising out of his status as such, whether or not the corporation would have the power to indemnify him against such liability under this section. Insurance may be purchased from or maintained with a person in which the corporation has a financial interest.</w:t>
      </w:r>
    </w:p>
    <w:p>
      <w:pPr>
        <w:spacing w:after="0" w:line="124" w:lineRule="exact"/>
        <w:rPr>
          <w:rFonts w:ascii="Arial" w:cs="Arial" w:eastAsia="Arial" w:hAnsi="Arial"/>
          <w:sz w:val="16"/>
          <w:szCs w:val="16"/>
          <w:color w:val="auto"/>
        </w:rPr>
      </w:pPr>
    </w:p>
    <w:p>
      <w:pPr>
        <w:ind w:left="360" w:right="60" w:firstLine="215"/>
        <w:spacing w:after="0" w:line="312" w:lineRule="auto"/>
        <w:tabs>
          <w:tab w:leader="none" w:pos="8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authority of a corporation to indemnify persons pursuant to division (E)(1) or (2) of this section does not limit the payment of expenses as they are incurred, indemnification, insurance, or other protection that may be provided pursuant to divisions (E)(5), (6), and (7) of this section. Divisions (E)(1) and (2) of this section do not create any obligation to repay or return payments made by the corporation pursuant to division (E)(5), (6), or (7).</w:t>
      </w:r>
    </w:p>
    <w:p>
      <w:pPr>
        <w:spacing w:after="0" w:line="106" w:lineRule="exact"/>
        <w:rPr>
          <w:rFonts w:ascii="Arial" w:cs="Arial" w:eastAsia="Arial" w:hAnsi="Arial"/>
          <w:sz w:val="16"/>
          <w:szCs w:val="16"/>
          <w:color w:val="auto"/>
        </w:rPr>
      </w:pPr>
    </w:p>
    <w:p>
      <w:pPr>
        <w:ind w:left="360" w:firstLine="215"/>
        <w:spacing w:after="0" w:line="297" w:lineRule="auto"/>
        <w:tabs>
          <w:tab w:leader="none" w:pos="8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As used in division (E) of this section, “corporation” includes all constituent entities in a consolidation or merger and the new or surviving corporation, so that any person who is or was a director, officer, employee, trustee, member, manager, or agent of such a constituent entity, or is or was serving at the request of such constituent entity as a director, trustee, officer, employee, member, manager, or agent of another corporation, domestic or foreign, nonprofit or for profit, a limited liability company, or a partnership, joint venture, trust, or other enterprise, shall stand in the same position under this section with respect to the new or surviving corporation as he would if he had served the new or surviving corporation in the same capacity.</w:t>
      </w:r>
    </w:p>
    <w:p>
      <w:pPr>
        <w:spacing w:after="0" w:line="131"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The Registrant has purchased insurance coverage under a policy which insures directors and officers against certain liabilities which might be incurred by them in such capacity.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Exemption from Registration Claimed</w:t>
      </w:r>
      <w:r>
        <w:rPr>
          <w:rFonts w:ascii="Arial" w:cs="Arial" w:eastAsia="Arial" w:hAnsi="Arial"/>
          <w:sz w:val="18"/>
          <w:szCs w:val="18"/>
          <w:color w:val="auto"/>
        </w:rPr>
        <w:t>.</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Exhibits</w:t>
      </w:r>
      <w:r>
        <w:rPr>
          <w:rFonts w:ascii="Arial" w:cs="Arial" w:eastAsia="Arial" w:hAnsi="Arial"/>
          <w:sz w:val="18"/>
          <w:szCs w:val="18"/>
          <w:color w:val="auto"/>
        </w:rPr>
        <w:t>.</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the Index to Exhibits attached hereto and beginning at page 15.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Undertakings</w:t>
      </w:r>
      <w:r>
        <w:rPr>
          <w:rFonts w:ascii="Arial" w:cs="Arial" w:eastAsia="Arial" w:hAnsi="Arial"/>
          <w:sz w:val="18"/>
          <w:szCs w:val="18"/>
          <w:color w:val="auto"/>
        </w:rPr>
        <w:t>.</w:t>
      </w:r>
    </w:p>
    <w:p>
      <w:pPr>
        <w:spacing w:after="0" w:line="225" w:lineRule="exact"/>
        <w:rPr>
          <w:sz w:val="20"/>
          <w:szCs w:val="20"/>
          <w:color w:val="auto"/>
        </w:rPr>
      </w:pPr>
    </w:p>
    <w:p>
      <w:pPr>
        <w:ind w:left="280" w:hanging="272"/>
        <w:spacing w:after="0"/>
        <w:tabs>
          <w:tab w:leader="none" w:pos="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5560" w:right="1700" w:hanging="5336"/>
        <w:spacing w:after="0" w:line="528" w:lineRule="auto"/>
        <w:tabs>
          <w:tab w:leader="none" w:pos="666" w:val="left"/>
        </w:tabs>
        <w:numPr>
          <w:ilvl w:val="1"/>
          <w:numId w:val="1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1360" w:hanging="447"/>
        <w:spacing w:after="0"/>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left="1360" w:hanging="447"/>
        <w:spacing w:after="0" w:line="272" w:lineRule="auto"/>
        <w:tabs>
          <w:tab w:leader="none" w:pos="13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77" w:lineRule="exact"/>
        <w:rPr>
          <w:rFonts w:ascii="Arial" w:cs="Arial" w:eastAsia="Arial" w:hAnsi="Arial"/>
          <w:sz w:val="17"/>
          <w:szCs w:val="17"/>
          <w:color w:val="auto"/>
        </w:rPr>
      </w:pPr>
    </w:p>
    <w:p>
      <w:pPr>
        <w:ind w:left="1360" w:right="220" w:hanging="447"/>
        <w:spacing w:after="0" w:line="277" w:lineRule="auto"/>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1020" w:right="180"/>
        <w:spacing w:after="0" w:line="286" w:lineRule="auto"/>
        <w:rPr>
          <w:sz w:val="20"/>
          <w:szCs w:val="20"/>
          <w:color w:val="auto"/>
        </w:rPr>
      </w:pPr>
      <w:r>
        <w:rPr>
          <w:rFonts w:ascii="Arial" w:cs="Arial" w:eastAsia="Arial" w:hAnsi="Arial"/>
          <w:sz w:val="17"/>
          <w:szCs w:val="17"/>
          <w:color w:val="auto"/>
        </w:rPr>
        <w:t>provided, however, that paragraphs A(1)(i) and A(1)(ii) do not apply if the information required to be included in a post-effective amendment by those paragraphs is contained in periodic reports filed with or furnished to the Commission by the Registrant pursuant to Section 13 or Section 15(d) of the Securities Exchange Act of 1934 that are incorporated by reference in the Registration Statement.</w:t>
      </w:r>
    </w:p>
    <w:p>
      <w:pPr>
        <w:spacing w:after="0" w:line="166" w:lineRule="exact"/>
        <w:rPr>
          <w:sz w:val="20"/>
          <w:szCs w:val="20"/>
          <w:color w:val="auto"/>
        </w:rPr>
      </w:pPr>
    </w:p>
    <w:p>
      <w:pPr>
        <w:ind w:left="1020" w:right="40" w:hanging="445"/>
        <w:spacing w:after="0" w:line="264" w:lineRule="auto"/>
        <w:tabs>
          <w:tab w:leader="none" w:pos="10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left="1020" w:right="700" w:hanging="445"/>
        <w:spacing w:after="0" w:line="277" w:lineRule="auto"/>
        <w:tabs>
          <w:tab w:leader="none" w:pos="10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260" w:right="240" w:hanging="252"/>
        <w:spacing w:after="0" w:line="259" w:lineRule="auto"/>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6" w:lineRule="exact"/>
        <w:rPr>
          <w:rFonts w:ascii="Arial" w:cs="Arial" w:eastAsia="Arial" w:hAnsi="Arial"/>
          <w:sz w:val="18"/>
          <w:szCs w:val="18"/>
          <w:color w:val="auto"/>
        </w:rPr>
      </w:pPr>
    </w:p>
    <w:p>
      <w:pPr>
        <w:ind w:left="260" w:right="20" w:hanging="252"/>
        <w:spacing w:after="0" w:line="255" w:lineRule="auto"/>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provisions described in Item 6 of this Part II,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appropriate jurisdiction the question whether such indemnification by it is against public policy as expressed in the Act and will be governed by the final adjudication of such issue.</w:t>
      </w:r>
    </w:p>
    <w:p>
      <w:pPr>
        <w:spacing w:after="0" w:line="14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[Remainder of page intentionally left blank; signatures on following page.]</w:t>
      </w:r>
    </w:p>
    <w:p>
      <w:pPr>
        <w:spacing w:after="0" w:line="18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419" w:right="6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198" w:lineRule="exact"/>
        <w:rPr>
          <w:sz w:val="20"/>
          <w:szCs w:val="20"/>
          <w:color w:val="auto"/>
        </w:rPr>
      </w:pPr>
    </w:p>
    <w:p>
      <w:pPr>
        <w:ind w:right="360" w:firstLine="225"/>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Post-Effective Amendment No. 1 to Registration Statement to be signed on its behalf by the undersigned, thereunto duly authorized, in the City of Marysville, State of Ohio, on the 9th day of May, 2005.</w:t>
      </w:r>
    </w:p>
    <w:p>
      <w:pPr>
        <w:spacing w:after="0" w:line="18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THE SCOTTS MIRACLE-GRO COMPANY</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James Hagedorn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James Hagedorn, President,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Officer and Chairman of the Board</w:t>
      </w:r>
    </w:p>
    <w:p>
      <w:pPr>
        <w:spacing w:after="0" w:line="386" w:lineRule="exact"/>
        <w:rPr>
          <w:sz w:val="20"/>
          <w:szCs w:val="20"/>
          <w:color w:val="auto"/>
        </w:rPr>
      </w:pPr>
    </w:p>
    <w:p>
      <w:pPr>
        <w:ind w:right="660" w:firstLine="225"/>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No. 1 to Registration Statement has been signed by the following persons in the capacities indicated on May 9, 2005.</w:t>
      </w:r>
    </w:p>
    <w:p>
      <w:pPr>
        <w:spacing w:after="0" w:line="342" w:lineRule="exact"/>
        <w:rPr>
          <w:sz w:val="20"/>
          <w:szCs w:val="20"/>
          <w:color w:val="auto"/>
        </w:rPr>
      </w:pPr>
    </w:p>
    <w:p>
      <w:pPr>
        <w:spacing w:after="0"/>
        <w:tabs>
          <w:tab w:leader="none" w:pos="8700" w:val="left"/>
        </w:tabs>
        <w:rPr>
          <w:sz w:val="20"/>
          <w:szCs w:val="20"/>
          <w:color w:val="auto"/>
        </w:rPr>
      </w:pPr>
      <w:r>
        <w:rPr>
          <w:rFonts w:ascii="Arial" w:cs="Arial" w:eastAsia="Arial" w:hAnsi="Arial"/>
          <w:sz w:val="14"/>
          <w:szCs w:val="14"/>
          <w:color w:val="auto"/>
        </w:rPr>
        <w:t>Signature</w:t>
      </w:r>
      <w:r>
        <w:rPr>
          <w:sz w:val="20"/>
          <w:szCs w:val="20"/>
          <w:color w:val="auto"/>
        </w:rPr>
        <w:tab/>
      </w: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/s/ *Mark R. Baker</w:t>
            </w:r>
          </w:p>
        </w:tc>
        <w:tc>
          <w:tcPr>
            <w:tcW w:w="1660" w:type="dxa"/>
            <w:vAlign w:val="bottom"/>
          </w:tcPr>
          <w:p>
            <w:pPr>
              <w:spacing w:after="0"/>
              <w:rPr>
                <w:sz w:val="20"/>
                <w:szCs w:val="20"/>
                <w:color w:val="auto"/>
              </w:rPr>
            </w:pPr>
          </w:p>
        </w:tc>
        <w:tc>
          <w:tcPr>
            <w:tcW w:w="5700" w:type="dxa"/>
            <w:vAlign w:val="bottom"/>
          </w:tcPr>
          <w:p>
            <w:pPr>
              <w:ind w:left="5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5"/>
        </w:trPr>
        <w:tc>
          <w:tcPr>
            <w:tcW w:w="406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5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4060" w:type="dxa"/>
            <w:vAlign w:val="bottom"/>
          </w:tcPr>
          <w:p>
            <w:pPr>
              <w:spacing w:after="0"/>
              <w:rPr>
                <w:sz w:val="20"/>
                <w:szCs w:val="20"/>
                <w:color w:val="auto"/>
              </w:rPr>
            </w:pPr>
            <w:r>
              <w:rPr>
                <w:rFonts w:ascii="Arial" w:cs="Arial" w:eastAsia="Arial" w:hAnsi="Arial"/>
                <w:sz w:val="18"/>
                <w:szCs w:val="18"/>
                <w:color w:val="auto"/>
              </w:rPr>
              <w:t>Mark R. Baker</w:t>
            </w:r>
          </w:p>
        </w:tc>
        <w:tc>
          <w:tcPr>
            <w:tcW w:w="166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60" w:type="dxa"/>
            <w:vAlign w:val="bottom"/>
          </w:tcPr>
          <w:p>
            <w:pPr>
              <w:spacing w:after="0"/>
              <w:rPr>
                <w:sz w:val="20"/>
                <w:szCs w:val="20"/>
                <w:color w:val="auto"/>
              </w:rPr>
            </w:pPr>
            <w:r>
              <w:rPr>
                <w:rFonts w:ascii="Arial" w:cs="Arial" w:eastAsia="Arial" w:hAnsi="Arial"/>
                <w:sz w:val="18"/>
                <w:szCs w:val="18"/>
                <w:color w:val="auto"/>
              </w:rPr>
              <w:t>/s/ *Lynn J. Beasley</w:t>
            </w:r>
          </w:p>
        </w:tc>
        <w:tc>
          <w:tcPr>
            <w:tcW w:w="1660" w:type="dxa"/>
            <w:vAlign w:val="bottom"/>
          </w:tcPr>
          <w:p>
            <w:pPr>
              <w:spacing w:after="0"/>
              <w:rPr>
                <w:sz w:val="24"/>
                <w:szCs w:val="24"/>
                <w:color w:val="auto"/>
              </w:rPr>
            </w:pPr>
          </w:p>
        </w:tc>
        <w:tc>
          <w:tcPr>
            <w:tcW w:w="5700" w:type="dxa"/>
            <w:vAlign w:val="bottom"/>
          </w:tcPr>
          <w:p>
            <w:pPr>
              <w:ind w:left="5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5"/>
        </w:trPr>
        <w:tc>
          <w:tcPr>
            <w:tcW w:w="406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5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4060" w:type="dxa"/>
            <w:vAlign w:val="bottom"/>
          </w:tcPr>
          <w:p>
            <w:pPr>
              <w:spacing w:after="0"/>
              <w:rPr>
                <w:sz w:val="20"/>
                <w:szCs w:val="20"/>
                <w:color w:val="auto"/>
              </w:rPr>
            </w:pPr>
            <w:r>
              <w:rPr>
                <w:rFonts w:ascii="Arial" w:cs="Arial" w:eastAsia="Arial" w:hAnsi="Arial"/>
                <w:sz w:val="18"/>
                <w:szCs w:val="18"/>
                <w:color w:val="auto"/>
              </w:rPr>
              <w:t>Lynn J. Beasley</w:t>
            </w:r>
          </w:p>
        </w:tc>
        <w:tc>
          <w:tcPr>
            <w:tcW w:w="166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60" w:type="dxa"/>
            <w:vAlign w:val="bottom"/>
          </w:tcPr>
          <w:p>
            <w:pPr>
              <w:spacing w:after="0"/>
              <w:rPr>
                <w:sz w:val="20"/>
                <w:szCs w:val="20"/>
                <w:color w:val="auto"/>
              </w:rPr>
            </w:pPr>
            <w:r>
              <w:rPr>
                <w:rFonts w:ascii="Arial" w:cs="Arial" w:eastAsia="Arial" w:hAnsi="Arial"/>
                <w:sz w:val="18"/>
                <w:szCs w:val="18"/>
                <w:color w:val="auto"/>
              </w:rPr>
              <w:t>/s/ *Gordon F. Brunner</w:t>
            </w:r>
          </w:p>
        </w:tc>
        <w:tc>
          <w:tcPr>
            <w:tcW w:w="1660" w:type="dxa"/>
            <w:vAlign w:val="bottom"/>
          </w:tcPr>
          <w:p>
            <w:pPr>
              <w:spacing w:after="0"/>
              <w:rPr>
                <w:sz w:val="24"/>
                <w:szCs w:val="24"/>
                <w:color w:val="auto"/>
              </w:rPr>
            </w:pPr>
          </w:p>
        </w:tc>
        <w:tc>
          <w:tcPr>
            <w:tcW w:w="5700" w:type="dxa"/>
            <w:vAlign w:val="bottom"/>
          </w:tcPr>
          <w:p>
            <w:pPr>
              <w:ind w:left="5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5"/>
        </w:trPr>
        <w:tc>
          <w:tcPr>
            <w:tcW w:w="406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5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4060" w:type="dxa"/>
            <w:vAlign w:val="bottom"/>
          </w:tcPr>
          <w:p>
            <w:pPr>
              <w:spacing w:after="0"/>
              <w:rPr>
                <w:sz w:val="20"/>
                <w:szCs w:val="20"/>
                <w:color w:val="auto"/>
              </w:rPr>
            </w:pPr>
            <w:r>
              <w:rPr>
                <w:rFonts w:ascii="Arial" w:cs="Arial" w:eastAsia="Arial" w:hAnsi="Arial"/>
                <w:sz w:val="18"/>
                <w:szCs w:val="18"/>
                <w:color w:val="auto"/>
              </w:rPr>
              <w:t>Gordon F. Brunner</w:t>
            </w:r>
          </w:p>
        </w:tc>
        <w:tc>
          <w:tcPr>
            <w:tcW w:w="166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60" w:type="dxa"/>
            <w:vAlign w:val="bottom"/>
          </w:tcPr>
          <w:p>
            <w:pPr>
              <w:spacing w:after="0"/>
              <w:rPr>
                <w:sz w:val="20"/>
                <w:szCs w:val="20"/>
                <w:color w:val="auto"/>
              </w:rPr>
            </w:pPr>
            <w:r>
              <w:rPr>
                <w:rFonts w:ascii="Arial" w:cs="Arial" w:eastAsia="Arial" w:hAnsi="Arial"/>
                <w:sz w:val="18"/>
                <w:szCs w:val="18"/>
                <w:color w:val="auto"/>
              </w:rPr>
              <w:t>/s/ *Arnold W. Donald</w:t>
            </w:r>
          </w:p>
        </w:tc>
        <w:tc>
          <w:tcPr>
            <w:tcW w:w="1660" w:type="dxa"/>
            <w:vAlign w:val="bottom"/>
          </w:tcPr>
          <w:p>
            <w:pPr>
              <w:spacing w:after="0"/>
              <w:rPr>
                <w:sz w:val="24"/>
                <w:szCs w:val="24"/>
                <w:color w:val="auto"/>
              </w:rPr>
            </w:pPr>
          </w:p>
        </w:tc>
        <w:tc>
          <w:tcPr>
            <w:tcW w:w="5700" w:type="dxa"/>
            <w:vAlign w:val="bottom"/>
          </w:tcPr>
          <w:p>
            <w:pPr>
              <w:ind w:left="5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5"/>
        </w:trPr>
        <w:tc>
          <w:tcPr>
            <w:tcW w:w="406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5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4060" w:type="dxa"/>
            <w:vAlign w:val="bottom"/>
          </w:tcPr>
          <w:p>
            <w:pPr>
              <w:spacing w:after="0"/>
              <w:rPr>
                <w:sz w:val="20"/>
                <w:szCs w:val="20"/>
                <w:color w:val="auto"/>
              </w:rPr>
            </w:pPr>
            <w:r>
              <w:rPr>
                <w:rFonts w:ascii="Arial" w:cs="Arial" w:eastAsia="Arial" w:hAnsi="Arial"/>
                <w:sz w:val="18"/>
                <w:szCs w:val="18"/>
                <w:color w:val="auto"/>
              </w:rPr>
              <w:t>Arnold W. Donald</w:t>
            </w:r>
          </w:p>
        </w:tc>
        <w:tc>
          <w:tcPr>
            <w:tcW w:w="166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60" w:type="dxa"/>
            <w:vAlign w:val="bottom"/>
          </w:tcPr>
          <w:p>
            <w:pPr>
              <w:spacing w:after="0"/>
              <w:rPr>
                <w:sz w:val="20"/>
                <w:szCs w:val="20"/>
                <w:color w:val="auto"/>
              </w:rPr>
            </w:pPr>
            <w:r>
              <w:rPr>
                <w:rFonts w:ascii="Arial" w:cs="Arial" w:eastAsia="Arial" w:hAnsi="Arial"/>
                <w:sz w:val="18"/>
                <w:szCs w:val="18"/>
                <w:color w:val="auto"/>
              </w:rPr>
              <w:t>/s/ *Joseph P. Flannery</w:t>
            </w:r>
          </w:p>
        </w:tc>
        <w:tc>
          <w:tcPr>
            <w:tcW w:w="1660" w:type="dxa"/>
            <w:vAlign w:val="bottom"/>
          </w:tcPr>
          <w:p>
            <w:pPr>
              <w:spacing w:after="0"/>
              <w:rPr>
                <w:sz w:val="24"/>
                <w:szCs w:val="24"/>
                <w:color w:val="auto"/>
              </w:rPr>
            </w:pPr>
          </w:p>
        </w:tc>
        <w:tc>
          <w:tcPr>
            <w:tcW w:w="5700" w:type="dxa"/>
            <w:vAlign w:val="bottom"/>
          </w:tcPr>
          <w:p>
            <w:pPr>
              <w:ind w:left="5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5"/>
        </w:trPr>
        <w:tc>
          <w:tcPr>
            <w:tcW w:w="406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5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4060" w:type="dxa"/>
            <w:vAlign w:val="bottom"/>
          </w:tcPr>
          <w:p>
            <w:pPr>
              <w:spacing w:after="0"/>
              <w:rPr>
                <w:sz w:val="20"/>
                <w:szCs w:val="20"/>
                <w:color w:val="auto"/>
              </w:rPr>
            </w:pPr>
            <w:r>
              <w:rPr>
                <w:rFonts w:ascii="Arial" w:cs="Arial" w:eastAsia="Arial" w:hAnsi="Arial"/>
                <w:sz w:val="18"/>
                <w:szCs w:val="18"/>
                <w:color w:val="auto"/>
              </w:rPr>
              <w:t>Joseph P. Flannery</w:t>
            </w:r>
          </w:p>
        </w:tc>
        <w:tc>
          <w:tcPr>
            <w:tcW w:w="166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060" w:type="dxa"/>
            <w:vAlign w:val="bottom"/>
          </w:tcPr>
          <w:p>
            <w:pPr>
              <w:spacing w:after="0"/>
              <w:rPr>
                <w:sz w:val="20"/>
                <w:szCs w:val="20"/>
                <w:color w:val="auto"/>
              </w:rPr>
            </w:pPr>
            <w:r>
              <w:rPr>
                <w:rFonts w:ascii="Arial" w:cs="Arial" w:eastAsia="Arial" w:hAnsi="Arial"/>
                <w:sz w:val="18"/>
                <w:szCs w:val="18"/>
                <w:color w:val="auto"/>
              </w:rPr>
              <w:t>/s/ James Hagedorn</w:t>
            </w:r>
          </w:p>
        </w:tc>
        <w:tc>
          <w:tcPr>
            <w:tcW w:w="1660" w:type="dxa"/>
            <w:vAlign w:val="bottom"/>
          </w:tcPr>
          <w:p>
            <w:pPr>
              <w:spacing w:after="0"/>
              <w:rPr>
                <w:sz w:val="24"/>
                <w:szCs w:val="24"/>
                <w:color w:val="auto"/>
              </w:rPr>
            </w:pPr>
          </w:p>
        </w:tc>
        <w:tc>
          <w:tcPr>
            <w:tcW w:w="5700" w:type="dxa"/>
            <w:vAlign w:val="bottom"/>
          </w:tcPr>
          <w:p>
            <w:pPr>
              <w:ind w:left="560"/>
              <w:spacing w:after="0"/>
              <w:rPr>
                <w:sz w:val="20"/>
                <w:szCs w:val="20"/>
                <w:color w:val="auto"/>
              </w:rPr>
            </w:pPr>
            <w:r>
              <w:rPr>
                <w:rFonts w:ascii="Arial" w:cs="Arial" w:eastAsia="Arial" w:hAnsi="Arial"/>
                <w:sz w:val="18"/>
                <w:szCs w:val="18"/>
                <w:color w:val="auto"/>
              </w:rPr>
              <w:t>President, Chief Executive Officer and Chairman of the Board</w:t>
            </w:r>
          </w:p>
        </w:tc>
        <w:tc>
          <w:tcPr>
            <w:tcW w:w="0" w:type="dxa"/>
            <w:vAlign w:val="bottom"/>
          </w:tcPr>
          <w:p>
            <w:pPr>
              <w:spacing w:after="0"/>
              <w:rPr>
                <w:sz w:val="1"/>
                <w:szCs w:val="1"/>
                <w:color w:val="auto"/>
              </w:rPr>
            </w:pPr>
          </w:p>
        </w:tc>
      </w:tr>
      <w:tr>
        <w:trPr>
          <w:trHeight w:val="109"/>
        </w:trPr>
        <w:tc>
          <w:tcPr>
            <w:tcW w:w="406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5700" w:type="dxa"/>
            <w:vAlign w:val="bottom"/>
            <w:vMerge w:val="restart"/>
          </w:tcPr>
          <w:p>
            <w:pPr>
              <w:ind w:left="560"/>
              <w:spacing w:after="0"/>
              <w:rPr>
                <w:sz w:val="20"/>
                <w:szCs w:val="20"/>
                <w:color w:val="auto"/>
              </w:rPr>
            </w:pPr>
            <w:r>
              <w:rPr>
                <w:rFonts w:ascii="Arial" w:cs="Arial" w:eastAsia="Arial" w:hAnsi="Arial"/>
                <w:sz w:val="18"/>
                <w:szCs w:val="18"/>
                <w:color w:val="auto"/>
              </w:rPr>
              <w:t>(Principal Executive Officer) and Director</w:t>
            </w:r>
          </w:p>
        </w:tc>
        <w:tc>
          <w:tcPr>
            <w:tcW w:w="0" w:type="dxa"/>
            <w:vAlign w:val="bottom"/>
          </w:tcPr>
          <w:p>
            <w:pPr>
              <w:spacing w:after="0"/>
              <w:rPr>
                <w:sz w:val="1"/>
                <w:szCs w:val="1"/>
                <w:color w:val="auto"/>
              </w:rPr>
            </w:pPr>
          </w:p>
        </w:tc>
      </w:tr>
      <w:tr>
        <w:trPr>
          <w:trHeight w:val="102"/>
        </w:trPr>
        <w:tc>
          <w:tcPr>
            <w:tcW w:w="4060" w:type="dxa"/>
            <w:vAlign w:val="bottom"/>
            <w:vMerge w:val="restart"/>
          </w:tcPr>
          <w:p>
            <w:pPr>
              <w:spacing w:after="0"/>
              <w:rPr>
                <w:sz w:val="20"/>
                <w:szCs w:val="20"/>
                <w:color w:val="auto"/>
              </w:rPr>
            </w:pPr>
            <w:r>
              <w:rPr>
                <w:rFonts w:ascii="Arial" w:cs="Arial" w:eastAsia="Arial" w:hAnsi="Arial"/>
                <w:sz w:val="18"/>
                <w:szCs w:val="18"/>
                <w:color w:val="auto"/>
              </w:rPr>
              <w:t>James Hagedorn</w:t>
            </w:r>
          </w:p>
        </w:tc>
        <w:tc>
          <w:tcPr>
            <w:tcW w:w="1660" w:type="dxa"/>
            <w:vAlign w:val="bottom"/>
          </w:tcPr>
          <w:p>
            <w:pPr>
              <w:spacing w:after="0"/>
              <w:rPr>
                <w:sz w:val="8"/>
                <w:szCs w:val="8"/>
                <w:color w:val="auto"/>
              </w:rPr>
            </w:pPr>
          </w:p>
        </w:tc>
        <w:tc>
          <w:tcPr>
            <w:tcW w:w="5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60" w:type="dxa"/>
            <w:vAlign w:val="bottom"/>
            <w:vMerge w:val="continue"/>
          </w:tcPr>
          <w:p>
            <w:pPr>
              <w:spacing w:after="0"/>
              <w:rPr>
                <w:sz w:val="17"/>
                <w:szCs w:val="17"/>
                <w:color w:val="auto"/>
              </w:rPr>
            </w:pPr>
          </w:p>
        </w:tc>
        <w:tc>
          <w:tcPr>
            <w:tcW w:w="166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4060" w:type="dxa"/>
            <w:vAlign w:val="bottom"/>
          </w:tcPr>
          <w:p>
            <w:pPr>
              <w:spacing w:after="0"/>
              <w:rPr>
                <w:sz w:val="20"/>
                <w:szCs w:val="20"/>
                <w:color w:val="auto"/>
              </w:rPr>
            </w:pPr>
            <w:r>
              <w:rPr>
                <w:rFonts w:ascii="Arial" w:cs="Arial" w:eastAsia="Arial" w:hAnsi="Arial"/>
                <w:sz w:val="18"/>
                <w:szCs w:val="18"/>
                <w:color w:val="auto"/>
              </w:rPr>
              <w:t>/s/ *Katherine Hagedorn Littlefield</w:t>
            </w:r>
          </w:p>
        </w:tc>
        <w:tc>
          <w:tcPr>
            <w:tcW w:w="1660" w:type="dxa"/>
            <w:vAlign w:val="bottom"/>
          </w:tcPr>
          <w:p>
            <w:pPr>
              <w:spacing w:after="0"/>
              <w:rPr>
                <w:sz w:val="24"/>
                <w:szCs w:val="24"/>
                <w:color w:val="auto"/>
              </w:rPr>
            </w:pPr>
          </w:p>
        </w:tc>
        <w:tc>
          <w:tcPr>
            <w:tcW w:w="5700" w:type="dxa"/>
            <w:vAlign w:val="bottom"/>
          </w:tcPr>
          <w:p>
            <w:pPr>
              <w:ind w:left="5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5"/>
        </w:trPr>
        <w:tc>
          <w:tcPr>
            <w:tcW w:w="406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5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4060" w:type="dxa"/>
            <w:vAlign w:val="bottom"/>
          </w:tcPr>
          <w:p>
            <w:pPr>
              <w:spacing w:after="0"/>
              <w:rPr>
                <w:sz w:val="20"/>
                <w:szCs w:val="20"/>
                <w:color w:val="auto"/>
              </w:rPr>
            </w:pPr>
            <w:r>
              <w:rPr>
                <w:rFonts w:ascii="Arial" w:cs="Arial" w:eastAsia="Arial" w:hAnsi="Arial"/>
                <w:sz w:val="18"/>
                <w:szCs w:val="18"/>
                <w:color w:val="auto"/>
              </w:rPr>
              <w:t>Katherine Hagedorn Littlefield</w:t>
            </w:r>
          </w:p>
        </w:tc>
        <w:tc>
          <w:tcPr>
            <w:tcW w:w="166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060" w:type="dxa"/>
            <w:vAlign w:val="bottom"/>
          </w:tcPr>
          <w:p>
            <w:pPr>
              <w:spacing w:after="0"/>
              <w:rPr>
                <w:sz w:val="20"/>
                <w:szCs w:val="20"/>
                <w:color w:val="auto"/>
              </w:rPr>
            </w:pPr>
            <w:r>
              <w:rPr>
                <w:rFonts w:ascii="Arial" w:cs="Arial" w:eastAsia="Arial" w:hAnsi="Arial"/>
                <w:sz w:val="18"/>
                <w:szCs w:val="18"/>
                <w:color w:val="auto"/>
              </w:rPr>
              <w:t>/s/ Christopher L. Nagel</w:t>
            </w:r>
          </w:p>
        </w:tc>
        <w:tc>
          <w:tcPr>
            <w:tcW w:w="1660" w:type="dxa"/>
            <w:vAlign w:val="bottom"/>
          </w:tcPr>
          <w:p>
            <w:pPr>
              <w:spacing w:after="0"/>
              <w:rPr>
                <w:sz w:val="24"/>
                <w:szCs w:val="24"/>
                <w:color w:val="auto"/>
              </w:rPr>
            </w:pPr>
          </w:p>
        </w:tc>
        <w:tc>
          <w:tcPr>
            <w:tcW w:w="5700" w:type="dxa"/>
            <w:vAlign w:val="bottom"/>
          </w:tcPr>
          <w:p>
            <w:pPr>
              <w:ind w:left="560"/>
              <w:spacing w:after="0"/>
              <w:rPr>
                <w:sz w:val="20"/>
                <w:szCs w:val="20"/>
                <w:color w:val="auto"/>
              </w:rPr>
            </w:pPr>
            <w:r>
              <w:rPr>
                <w:rFonts w:ascii="Arial" w:cs="Arial" w:eastAsia="Arial" w:hAnsi="Arial"/>
                <w:sz w:val="18"/>
                <w:szCs w:val="18"/>
                <w:color w:val="auto"/>
              </w:rPr>
              <w:t>Executive Vice President and Chief Financial Officer (Principal</w:t>
            </w:r>
          </w:p>
        </w:tc>
        <w:tc>
          <w:tcPr>
            <w:tcW w:w="0" w:type="dxa"/>
            <w:vAlign w:val="bottom"/>
          </w:tcPr>
          <w:p>
            <w:pPr>
              <w:spacing w:after="0"/>
              <w:rPr>
                <w:sz w:val="1"/>
                <w:szCs w:val="1"/>
                <w:color w:val="auto"/>
              </w:rPr>
            </w:pPr>
          </w:p>
        </w:tc>
      </w:tr>
      <w:tr>
        <w:trPr>
          <w:trHeight w:val="109"/>
        </w:trPr>
        <w:tc>
          <w:tcPr>
            <w:tcW w:w="406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5700" w:type="dxa"/>
            <w:vAlign w:val="bottom"/>
            <w:vMerge w:val="restart"/>
          </w:tcPr>
          <w:p>
            <w:pPr>
              <w:ind w:left="560"/>
              <w:spacing w:after="0"/>
              <w:rPr>
                <w:sz w:val="20"/>
                <w:szCs w:val="20"/>
                <w:color w:val="auto"/>
              </w:rPr>
            </w:pPr>
            <w:r>
              <w:rPr>
                <w:rFonts w:ascii="Arial" w:cs="Arial" w:eastAsia="Arial" w:hAnsi="Arial"/>
                <w:sz w:val="18"/>
                <w:szCs w:val="18"/>
                <w:color w:val="auto"/>
              </w:rPr>
              <w:t>Officer and Principal Accounting Officer)</w:t>
            </w:r>
          </w:p>
        </w:tc>
        <w:tc>
          <w:tcPr>
            <w:tcW w:w="0" w:type="dxa"/>
            <w:vAlign w:val="bottom"/>
          </w:tcPr>
          <w:p>
            <w:pPr>
              <w:spacing w:after="0"/>
              <w:rPr>
                <w:sz w:val="1"/>
                <w:szCs w:val="1"/>
                <w:color w:val="auto"/>
              </w:rPr>
            </w:pPr>
          </w:p>
        </w:tc>
      </w:tr>
      <w:tr>
        <w:trPr>
          <w:trHeight w:val="102"/>
        </w:trPr>
        <w:tc>
          <w:tcPr>
            <w:tcW w:w="4060" w:type="dxa"/>
            <w:vAlign w:val="bottom"/>
            <w:vMerge w:val="restart"/>
          </w:tcPr>
          <w:p>
            <w:pPr>
              <w:spacing w:after="0"/>
              <w:rPr>
                <w:sz w:val="20"/>
                <w:szCs w:val="20"/>
                <w:color w:val="auto"/>
              </w:rPr>
            </w:pPr>
            <w:r>
              <w:rPr>
                <w:rFonts w:ascii="Arial" w:cs="Arial" w:eastAsia="Arial" w:hAnsi="Arial"/>
                <w:sz w:val="18"/>
                <w:szCs w:val="18"/>
                <w:color w:val="auto"/>
              </w:rPr>
              <w:t>Christopher L. Nagel</w:t>
            </w:r>
          </w:p>
        </w:tc>
        <w:tc>
          <w:tcPr>
            <w:tcW w:w="1660" w:type="dxa"/>
            <w:vAlign w:val="bottom"/>
          </w:tcPr>
          <w:p>
            <w:pPr>
              <w:spacing w:after="0"/>
              <w:rPr>
                <w:sz w:val="8"/>
                <w:szCs w:val="8"/>
                <w:color w:val="auto"/>
              </w:rPr>
            </w:pPr>
          </w:p>
        </w:tc>
        <w:tc>
          <w:tcPr>
            <w:tcW w:w="5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60" w:type="dxa"/>
            <w:vAlign w:val="bottom"/>
            <w:vMerge w:val="continue"/>
          </w:tcPr>
          <w:p>
            <w:pPr>
              <w:spacing w:after="0"/>
              <w:rPr>
                <w:sz w:val="17"/>
                <w:szCs w:val="17"/>
                <w:color w:val="auto"/>
              </w:rPr>
            </w:pPr>
          </w:p>
        </w:tc>
        <w:tc>
          <w:tcPr>
            <w:tcW w:w="166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4060" w:type="dxa"/>
            <w:vAlign w:val="bottom"/>
          </w:tcPr>
          <w:p>
            <w:pPr>
              <w:spacing w:after="0"/>
              <w:rPr>
                <w:sz w:val="24"/>
                <w:szCs w:val="24"/>
                <w:color w:val="auto"/>
              </w:rPr>
            </w:pPr>
          </w:p>
        </w:tc>
        <w:tc>
          <w:tcPr>
            <w:tcW w:w="7360" w:type="dxa"/>
            <w:vAlign w:val="bottom"/>
            <w:gridSpan w:val="2"/>
          </w:tcPr>
          <w:p>
            <w:pPr>
              <w:jc w:val="right"/>
              <w:ind w:right="547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6"/>
        </w:trPr>
        <w:tc>
          <w:tcPr>
            <w:tcW w:w="406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57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p>
      <w:pPr>
        <w:spacing w:after="0"/>
        <w:tabs>
          <w:tab w:leader="none" w:pos="8700" w:val="left"/>
        </w:tabs>
        <w:rPr>
          <w:sz w:val="20"/>
          <w:szCs w:val="20"/>
          <w:color w:val="auto"/>
        </w:rPr>
      </w:pPr>
      <w:r>
        <w:rPr>
          <w:rFonts w:ascii="Arial" w:cs="Arial" w:eastAsia="Arial" w:hAnsi="Arial"/>
          <w:sz w:val="14"/>
          <w:szCs w:val="14"/>
          <w:color w:val="auto"/>
        </w:rPr>
        <w:t>Signature</w:t>
      </w:r>
      <w:r>
        <w:rPr>
          <w:sz w:val="20"/>
          <w:szCs w:val="20"/>
          <w:color w:val="auto"/>
        </w:rPr>
        <w:tab/>
      </w: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/s/ *Patrick J. Norton</w:t>
            </w:r>
          </w:p>
        </w:tc>
        <w:tc>
          <w:tcPr>
            <w:tcW w:w="1160" w:type="dxa"/>
            <w:vAlign w:val="bottom"/>
          </w:tcPr>
          <w:p>
            <w:pPr>
              <w:ind w:left="560"/>
              <w:spacing w:after="0"/>
              <w:rPr>
                <w:sz w:val="20"/>
                <w:szCs w:val="20"/>
                <w:color w:val="auto"/>
              </w:rPr>
            </w:pPr>
            <w:r>
              <w:rPr>
                <w:rFonts w:ascii="Arial" w:cs="Arial" w:eastAsia="Arial" w:hAnsi="Arial"/>
                <w:sz w:val="18"/>
                <w:szCs w:val="18"/>
                <w:color w:val="auto"/>
                <w:w w:val="91"/>
              </w:rPr>
              <w:t>Director</w:t>
            </w:r>
          </w:p>
        </w:tc>
      </w:tr>
      <w:tr>
        <w:trPr>
          <w:trHeight w:val="95"/>
        </w:trPr>
        <w:tc>
          <w:tcPr>
            <w:tcW w:w="5720" w:type="dxa"/>
            <w:vAlign w:val="bottom"/>
            <w:tcBorders>
              <w:bottom w:val="single" w:sz="8" w:color="auto"/>
            </w:tcBorders>
          </w:tcPr>
          <w:p>
            <w:pPr>
              <w:spacing w:after="0"/>
              <w:rPr>
                <w:sz w:val="8"/>
                <w:szCs w:val="8"/>
                <w:color w:val="auto"/>
              </w:rPr>
            </w:pPr>
          </w:p>
        </w:tc>
        <w:tc>
          <w:tcPr>
            <w:tcW w:w="1160" w:type="dxa"/>
            <w:vAlign w:val="bottom"/>
          </w:tcPr>
          <w:p>
            <w:pPr>
              <w:spacing w:after="0"/>
              <w:rPr>
                <w:sz w:val="8"/>
                <w:szCs w:val="8"/>
                <w:color w:val="auto"/>
              </w:rPr>
            </w:pPr>
          </w:p>
        </w:tc>
      </w:tr>
      <w:tr>
        <w:trPr>
          <w:trHeight w:val="291"/>
        </w:trPr>
        <w:tc>
          <w:tcPr>
            <w:tcW w:w="5720" w:type="dxa"/>
            <w:vAlign w:val="bottom"/>
          </w:tcPr>
          <w:p>
            <w:pPr>
              <w:spacing w:after="0"/>
              <w:rPr>
                <w:sz w:val="20"/>
                <w:szCs w:val="20"/>
                <w:color w:val="auto"/>
              </w:rPr>
            </w:pPr>
            <w:r>
              <w:rPr>
                <w:rFonts w:ascii="Arial" w:cs="Arial" w:eastAsia="Arial" w:hAnsi="Arial"/>
                <w:sz w:val="18"/>
                <w:szCs w:val="18"/>
                <w:color w:val="auto"/>
              </w:rPr>
              <w:t>Patrick J. Norton</w:t>
            </w:r>
          </w:p>
        </w:tc>
        <w:tc>
          <w:tcPr>
            <w:tcW w:w="1160" w:type="dxa"/>
            <w:vAlign w:val="bottom"/>
          </w:tcPr>
          <w:p>
            <w:pPr>
              <w:spacing w:after="0"/>
              <w:rPr>
                <w:sz w:val="24"/>
                <w:szCs w:val="24"/>
                <w:color w:val="auto"/>
              </w:rPr>
            </w:pPr>
          </w:p>
        </w:tc>
      </w:tr>
      <w:tr>
        <w:trPr>
          <w:trHeight w:val="432"/>
        </w:trPr>
        <w:tc>
          <w:tcPr>
            <w:tcW w:w="5720" w:type="dxa"/>
            <w:vAlign w:val="bottom"/>
          </w:tcPr>
          <w:p>
            <w:pPr>
              <w:spacing w:after="0"/>
              <w:rPr>
                <w:sz w:val="20"/>
                <w:szCs w:val="20"/>
                <w:color w:val="auto"/>
              </w:rPr>
            </w:pPr>
            <w:r>
              <w:rPr>
                <w:rFonts w:ascii="Arial" w:cs="Arial" w:eastAsia="Arial" w:hAnsi="Arial"/>
                <w:sz w:val="18"/>
                <w:szCs w:val="18"/>
                <w:color w:val="auto"/>
              </w:rPr>
              <w:t>/s/ *Stephanie M. Shern</w:t>
            </w:r>
          </w:p>
        </w:tc>
        <w:tc>
          <w:tcPr>
            <w:tcW w:w="1160" w:type="dxa"/>
            <w:vAlign w:val="bottom"/>
          </w:tcPr>
          <w:p>
            <w:pPr>
              <w:ind w:left="560"/>
              <w:spacing w:after="0"/>
              <w:rPr>
                <w:sz w:val="20"/>
                <w:szCs w:val="20"/>
                <w:color w:val="auto"/>
              </w:rPr>
            </w:pPr>
            <w:r>
              <w:rPr>
                <w:rFonts w:ascii="Arial" w:cs="Arial" w:eastAsia="Arial" w:hAnsi="Arial"/>
                <w:sz w:val="18"/>
                <w:szCs w:val="18"/>
                <w:color w:val="auto"/>
                <w:w w:val="91"/>
              </w:rPr>
              <w:t>Director</w:t>
            </w:r>
          </w:p>
        </w:tc>
      </w:tr>
      <w:tr>
        <w:trPr>
          <w:trHeight w:val="95"/>
        </w:trPr>
        <w:tc>
          <w:tcPr>
            <w:tcW w:w="5720" w:type="dxa"/>
            <w:vAlign w:val="bottom"/>
            <w:tcBorders>
              <w:bottom w:val="single" w:sz="8" w:color="auto"/>
            </w:tcBorders>
          </w:tcPr>
          <w:p>
            <w:pPr>
              <w:spacing w:after="0"/>
              <w:rPr>
                <w:sz w:val="8"/>
                <w:szCs w:val="8"/>
                <w:color w:val="auto"/>
              </w:rPr>
            </w:pPr>
          </w:p>
        </w:tc>
        <w:tc>
          <w:tcPr>
            <w:tcW w:w="1160" w:type="dxa"/>
            <w:vAlign w:val="bottom"/>
          </w:tcPr>
          <w:p>
            <w:pPr>
              <w:spacing w:after="0"/>
              <w:rPr>
                <w:sz w:val="8"/>
                <w:szCs w:val="8"/>
                <w:color w:val="auto"/>
              </w:rPr>
            </w:pPr>
          </w:p>
        </w:tc>
      </w:tr>
      <w:tr>
        <w:trPr>
          <w:trHeight w:val="291"/>
        </w:trPr>
        <w:tc>
          <w:tcPr>
            <w:tcW w:w="5720" w:type="dxa"/>
            <w:vAlign w:val="bottom"/>
          </w:tcPr>
          <w:p>
            <w:pPr>
              <w:spacing w:after="0"/>
              <w:rPr>
                <w:sz w:val="20"/>
                <w:szCs w:val="20"/>
                <w:color w:val="auto"/>
              </w:rPr>
            </w:pPr>
            <w:r>
              <w:rPr>
                <w:rFonts w:ascii="Arial" w:cs="Arial" w:eastAsia="Arial" w:hAnsi="Arial"/>
                <w:sz w:val="18"/>
                <w:szCs w:val="18"/>
                <w:color w:val="auto"/>
              </w:rPr>
              <w:t>Stephanie M. Shern</w:t>
            </w:r>
          </w:p>
        </w:tc>
        <w:tc>
          <w:tcPr>
            <w:tcW w:w="1160" w:type="dxa"/>
            <w:vAlign w:val="bottom"/>
          </w:tcPr>
          <w:p>
            <w:pPr>
              <w:spacing w:after="0"/>
              <w:rPr>
                <w:sz w:val="24"/>
                <w:szCs w:val="24"/>
                <w:color w:val="auto"/>
              </w:rPr>
            </w:pPr>
          </w:p>
        </w:tc>
      </w:tr>
      <w:tr>
        <w:trPr>
          <w:trHeight w:val="432"/>
        </w:trPr>
        <w:tc>
          <w:tcPr>
            <w:tcW w:w="5720" w:type="dxa"/>
            <w:vAlign w:val="bottom"/>
          </w:tcPr>
          <w:p>
            <w:pPr>
              <w:spacing w:after="0"/>
              <w:rPr>
                <w:sz w:val="20"/>
                <w:szCs w:val="20"/>
                <w:color w:val="auto"/>
              </w:rPr>
            </w:pPr>
            <w:r>
              <w:rPr>
                <w:rFonts w:ascii="Arial" w:cs="Arial" w:eastAsia="Arial" w:hAnsi="Arial"/>
                <w:sz w:val="18"/>
                <w:szCs w:val="18"/>
                <w:color w:val="auto"/>
              </w:rPr>
              <w:t>/s/ *John M. Sullivan</w:t>
            </w:r>
          </w:p>
        </w:tc>
        <w:tc>
          <w:tcPr>
            <w:tcW w:w="1160" w:type="dxa"/>
            <w:vAlign w:val="bottom"/>
          </w:tcPr>
          <w:p>
            <w:pPr>
              <w:ind w:left="560"/>
              <w:spacing w:after="0"/>
              <w:rPr>
                <w:sz w:val="20"/>
                <w:szCs w:val="20"/>
                <w:color w:val="auto"/>
              </w:rPr>
            </w:pPr>
            <w:r>
              <w:rPr>
                <w:rFonts w:ascii="Arial" w:cs="Arial" w:eastAsia="Arial" w:hAnsi="Arial"/>
                <w:sz w:val="18"/>
                <w:szCs w:val="18"/>
                <w:color w:val="auto"/>
                <w:w w:val="91"/>
              </w:rPr>
              <w:t>Director</w:t>
            </w:r>
          </w:p>
        </w:tc>
      </w:tr>
      <w:tr>
        <w:trPr>
          <w:trHeight w:val="95"/>
        </w:trPr>
        <w:tc>
          <w:tcPr>
            <w:tcW w:w="5720" w:type="dxa"/>
            <w:vAlign w:val="bottom"/>
            <w:tcBorders>
              <w:bottom w:val="single" w:sz="8" w:color="auto"/>
            </w:tcBorders>
          </w:tcPr>
          <w:p>
            <w:pPr>
              <w:spacing w:after="0"/>
              <w:rPr>
                <w:sz w:val="8"/>
                <w:szCs w:val="8"/>
                <w:color w:val="auto"/>
              </w:rPr>
            </w:pPr>
          </w:p>
        </w:tc>
        <w:tc>
          <w:tcPr>
            <w:tcW w:w="1160" w:type="dxa"/>
            <w:vAlign w:val="bottom"/>
          </w:tcPr>
          <w:p>
            <w:pPr>
              <w:spacing w:after="0"/>
              <w:rPr>
                <w:sz w:val="8"/>
                <w:szCs w:val="8"/>
                <w:color w:val="auto"/>
              </w:rPr>
            </w:pPr>
          </w:p>
        </w:tc>
      </w:tr>
      <w:tr>
        <w:trPr>
          <w:trHeight w:val="291"/>
        </w:trPr>
        <w:tc>
          <w:tcPr>
            <w:tcW w:w="5720" w:type="dxa"/>
            <w:vAlign w:val="bottom"/>
          </w:tcPr>
          <w:p>
            <w:pPr>
              <w:spacing w:after="0"/>
              <w:rPr>
                <w:sz w:val="20"/>
                <w:szCs w:val="20"/>
                <w:color w:val="auto"/>
              </w:rPr>
            </w:pPr>
            <w:r>
              <w:rPr>
                <w:rFonts w:ascii="Arial" w:cs="Arial" w:eastAsia="Arial" w:hAnsi="Arial"/>
                <w:sz w:val="18"/>
                <w:szCs w:val="18"/>
                <w:color w:val="auto"/>
              </w:rPr>
              <w:t>John M. Sullivan</w:t>
            </w:r>
          </w:p>
        </w:tc>
        <w:tc>
          <w:tcPr>
            <w:tcW w:w="1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3208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03" w:lineRule="exact"/>
        <w:rPr>
          <w:sz w:val="20"/>
          <w:szCs w:val="20"/>
          <w:color w:val="auto"/>
        </w:rPr>
      </w:pPr>
    </w:p>
    <w:p>
      <w:pPr>
        <w:ind w:left="460" w:hanging="452"/>
        <w:spacing w:after="0" w:line="342"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By James Hagedorn pursuant to Powers of Attorney executed by the directors and executive officers identified above, which Powers of Attorney have been filed with the Securities and Exchange Commission as exhibits to this Post-Effective Amendment No. 1 to Registration Statement on Form S-8.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36277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James Hagedorn, Attorney-in-Fact</w:t>
      </w:r>
    </w:p>
    <w:p>
      <w:pPr>
        <w:spacing w:after="0" w:line="1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INDEX TO EXHIBITS</w:t>
            </w:r>
          </w:p>
        </w:tc>
      </w:tr>
      <w:tr>
        <w:trPr>
          <w:trHeight w:val="574"/>
        </w:trPr>
        <w:tc>
          <w:tcPr>
            <w:tcW w:w="1380" w:type="dxa"/>
            <w:vAlign w:val="bottom"/>
            <w:gridSpan w:val="2"/>
          </w:tcPr>
          <w:p>
            <w:pPr>
              <w:jc w:val="right"/>
              <w:ind w:right="610"/>
              <w:spacing w:after="0"/>
              <w:rPr>
                <w:sz w:val="20"/>
                <w:szCs w:val="20"/>
                <w:color w:val="auto"/>
              </w:rPr>
            </w:pPr>
            <w:r>
              <w:rPr>
                <w:rFonts w:ascii="Arial" w:cs="Arial" w:eastAsia="Arial" w:hAnsi="Arial"/>
                <w:sz w:val="14"/>
                <w:szCs w:val="14"/>
                <w:color w:val="auto"/>
                <w:w w:val="97"/>
              </w:rPr>
              <w:t>Exhibit No.</w:t>
            </w:r>
          </w:p>
        </w:tc>
        <w:tc>
          <w:tcPr>
            <w:tcW w:w="240" w:type="dxa"/>
            <w:vAlign w:val="bottom"/>
          </w:tcPr>
          <w:p>
            <w:pPr>
              <w:spacing w:after="0"/>
              <w:rPr>
                <w:sz w:val="24"/>
                <w:szCs w:val="24"/>
                <w:color w:val="auto"/>
              </w:rPr>
            </w:pPr>
          </w:p>
        </w:tc>
        <w:tc>
          <w:tcPr>
            <w:tcW w:w="3240" w:type="dxa"/>
            <w:vAlign w:val="bottom"/>
          </w:tcPr>
          <w:p>
            <w:pPr>
              <w:ind w:left="2180"/>
              <w:spacing w:after="0"/>
              <w:rPr>
                <w:sz w:val="20"/>
                <w:szCs w:val="20"/>
                <w:color w:val="auto"/>
              </w:rPr>
            </w:pPr>
            <w:r>
              <w:rPr>
                <w:rFonts w:ascii="Arial" w:cs="Arial" w:eastAsia="Arial" w:hAnsi="Arial"/>
                <w:sz w:val="14"/>
                <w:szCs w:val="14"/>
                <w:color w:val="auto"/>
              </w:rPr>
              <w:t>Description</w:t>
            </w:r>
          </w:p>
        </w:tc>
        <w:tc>
          <w:tcPr>
            <w:tcW w:w="17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1360" w:type="dxa"/>
            <w:vAlign w:val="bottom"/>
            <w:tcBorders>
              <w:top w:val="single" w:sz="8" w:color="auto"/>
            </w:tcBorders>
          </w:tcPr>
          <w:p>
            <w:pPr>
              <w:jc w:val="right"/>
              <w:ind w:right="490"/>
              <w:spacing w:after="0" w:line="195" w:lineRule="exact"/>
              <w:rPr>
                <w:sz w:val="20"/>
                <w:szCs w:val="20"/>
                <w:color w:val="auto"/>
              </w:rPr>
            </w:pPr>
            <w:r>
              <w:rPr>
                <w:rFonts w:ascii="Arial" w:cs="Arial" w:eastAsia="Arial" w:hAnsi="Arial"/>
                <w:sz w:val="18"/>
                <w:szCs w:val="18"/>
                <w:color w:val="auto"/>
              </w:rPr>
              <w:t>4.1</w:t>
            </w:r>
          </w:p>
        </w:tc>
        <w:tc>
          <w:tcPr>
            <w:tcW w:w="240" w:type="dxa"/>
            <w:vAlign w:val="bottom"/>
          </w:tcPr>
          <w:p>
            <w:pPr>
              <w:spacing w:after="0"/>
              <w:rPr>
                <w:sz w:val="16"/>
                <w:szCs w:val="16"/>
                <w:color w:val="auto"/>
              </w:rPr>
            </w:pPr>
          </w:p>
        </w:tc>
        <w:tc>
          <w:tcPr>
            <w:tcW w:w="502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w w:val="94"/>
              </w:rPr>
              <w:t>Initial Articles of Incorporation of The Scotts Miracle-Gro Company</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w w:val="99"/>
              </w:rPr>
              <w:t>as filed with the Ohio Secretary of State on November 22, 2004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700" w:type="dxa"/>
            <w:vAlign w:val="bottom"/>
          </w:tcPr>
          <w:p>
            <w:pPr>
              <w:jc w:val="center"/>
              <w:ind w:right="310"/>
              <w:spacing w:after="0"/>
              <w:rPr>
                <w:sz w:val="20"/>
                <w:szCs w:val="20"/>
                <w:color w:val="auto"/>
              </w:rPr>
            </w:pPr>
            <w:r>
              <w:rPr>
                <w:rFonts w:ascii="Arial" w:cs="Arial" w:eastAsia="Arial" w:hAnsi="Arial"/>
                <w:sz w:val="18"/>
                <w:szCs w:val="18"/>
                <w:color w:val="auto"/>
                <w:w w:val="87"/>
              </w:rPr>
              <w:t>4.2</w:t>
            </w:r>
          </w:p>
        </w:tc>
        <w:tc>
          <w:tcPr>
            <w:tcW w:w="5260" w:type="dxa"/>
            <w:vAlign w:val="bottom"/>
          </w:tcPr>
          <w:p>
            <w:pPr>
              <w:ind w:left="380"/>
              <w:spacing w:after="0"/>
              <w:rPr>
                <w:sz w:val="20"/>
                <w:szCs w:val="20"/>
                <w:color w:val="auto"/>
              </w:rPr>
            </w:pPr>
            <w:r>
              <w:rPr>
                <w:rFonts w:ascii="Arial" w:cs="Arial" w:eastAsia="Arial" w:hAnsi="Arial"/>
                <w:sz w:val="18"/>
                <w:szCs w:val="18"/>
                <w:color w:val="auto"/>
              </w:rPr>
              <w:t>Certificate of Amendment by Shareholders to Articles of</w:t>
            </w:r>
          </w:p>
        </w:tc>
      </w:tr>
      <w:tr>
        <w:trPr>
          <w:trHeight w:val="216"/>
        </w:trPr>
        <w:tc>
          <w:tcPr>
            <w:tcW w:w="700" w:type="dxa"/>
            <w:vAlign w:val="bottom"/>
          </w:tcPr>
          <w:p>
            <w:pPr>
              <w:spacing w:after="0"/>
              <w:rPr>
                <w:sz w:val="18"/>
                <w:szCs w:val="18"/>
                <w:color w:val="auto"/>
              </w:rPr>
            </w:pPr>
          </w:p>
        </w:tc>
        <w:tc>
          <w:tcPr>
            <w:tcW w:w="5260" w:type="dxa"/>
            <w:vAlign w:val="bottom"/>
          </w:tcPr>
          <w:p>
            <w:pPr>
              <w:ind w:left="380"/>
              <w:spacing w:after="0"/>
              <w:rPr>
                <w:sz w:val="20"/>
                <w:szCs w:val="20"/>
                <w:color w:val="auto"/>
              </w:rPr>
            </w:pPr>
            <w:r>
              <w:rPr>
                <w:rFonts w:ascii="Arial" w:cs="Arial" w:eastAsia="Arial" w:hAnsi="Arial"/>
                <w:sz w:val="18"/>
                <w:szCs w:val="18"/>
                <w:color w:val="auto"/>
                <w:w w:val="92"/>
              </w:rPr>
              <w:t>Incorporation of The Scotts Miracle-Gro Company as filed with the</w:t>
            </w:r>
          </w:p>
        </w:tc>
      </w:tr>
      <w:tr>
        <w:trPr>
          <w:trHeight w:val="230"/>
        </w:trPr>
        <w:tc>
          <w:tcPr>
            <w:tcW w:w="700" w:type="dxa"/>
            <w:vAlign w:val="bottom"/>
          </w:tcPr>
          <w:p>
            <w:pPr>
              <w:spacing w:after="0"/>
              <w:rPr>
                <w:sz w:val="20"/>
                <w:szCs w:val="20"/>
                <w:color w:val="auto"/>
              </w:rPr>
            </w:pPr>
          </w:p>
        </w:tc>
        <w:tc>
          <w:tcPr>
            <w:tcW w:w="5260" w:type="dxa"/>
            <w:vAlign w:val="bottom"/>
          </w:tcPr>
          <w:p>
            <w:pPr>
              <w:ind w:left="380"/>
              <w:spacing w:after="0"/>
              <w:rPr>
                <w:sz w:val="20"/>
                <w:szCs w:val="20"/>
                <w:color w:val="auto"/>
              </w:rPr>
            </w:pPr>
            <w:r>
              <w:rPr>
                <w:rFonts w:ascii="Arial" w:cs="Arial" w:eastAsia="Arial" w:hAnsi="Arial"/>
                <w:sz w:val="18"/>
                <w:szCs w:val="18"/>
                <w:color w:val="auto"/>
              </w:rPr>
              <w:t>Ohio Secretary of State on March 18, 2005</w:t>
            </w:r>
          </w:p>
        </w:tc>
      </w:tr>
      <w:tr>
        <w:trPr>
          <w:trHeight w:val="432"/>
        </w:trPr>
        <w:tc>
          <w:tcPr>
            <w:tcW w:w="700" w:type="dxa"/>
            <w:vAlign w:val="bottom"/>
          </w:tcPr>
          <w:p>
            <w:pPr>
              <w:jc w:val="center"/>
              <w:ind w:right="310"/>
              <w:spacing w:after="0"/>
              <w:rPr>
                <w:sz w:val="20"/>
                <w:szCs w:val="20"/>
                <w:color w:val="auto"/>
              </w:rPr>
            </w:pPr>
            <w:r>
              <w:rPr>
                <w:rFonts w:ascii="Arial" w:cs="Arial" w:eastAsia="Arial" w:hAnsi="Arial"/>
                <w:sz w:val="18"/>
                <w:szCs w:val="18"/>
                <w:color w:val="auto"/>
                <w:w w:val="87"/>
              </w:rPr>
              <w:t>4.3</w:t>
            </w:r>
          </w:p>
        </w:tc>
        <w:tc>
          <w:tcPr>
            <w:tcW w:w="5260" w:type="dxa"/>
            <w:vAlign w:val="bottom"/>
          </w:tcPr>
          <w:p>
            <w:pPr>
              <w:ind w:left="380"/>
              <w:spacing w:after="0"/>
              <w:rPr>
                <w:sz w:val="20"/>
                <w:szCs w:val="20"/>
                <w:color w:val="auto"/>
              </w:rPr>
            </w:pPr>
            <w:r>
              <w:rPr>
                <w:rFonts w:ascii="Arial" w:cs="Arial" w:eastAsia="Arial" w:hAnsi="Arial"/>
                <w:sz w:val="18"/>
                <w:szCs w:val="18"/>
                <w:color w:val="auto"/>
              </w:rPr>
              <w:t>Code of Regulations of The Scotts Miracle-Gro Company</w:t>
            </w:r>
          </w:p>
        </w:tc>
      </w:tr>
      <w:tr>
        <w:trPr>
          <w:trHeight w:val="648"/>
        </w:trPr>
        <w:tc>
          <w:tcPr>
            <w:tcW w:w="700" w:type="dxa"/>
            <w:vAlign w:val="bottom"/>
          </w:tcPr>
          <w:p>
            <w:pPr>
              <w:jc w:val="center"/>
              <w:ind w:right="310"/>
              <w:spacing w:after="0"/>
              <w:rPr>
                <w:sz w:val="20"/>
                <w:szCs w:val="20"/>
                <w:color w:val="auto"/>
              </w:rPr>
            </w:pPr>
            <w:r>
              <w:rPr>
                <w:rFonts w:ascii="Arial" w:cs="Arial" w:eastAsia="Arial" w:hAnsi="Arial"/>
                <w:sz w:val="18"/>
                <w:szCs w:val="18"/>
                <w:color w:val="auto"/>
                <w:w w:val="87"/>
              </w:rPr>
              <w:t>5.1</w:t>
            </w:r>
          </w:p>
        </w:tc>
        <w:tc>
          <w:tcPr>
            <w:tcW w:w="5260" w:type="dxa"/>
            <w:vAlign w:val="bottom"/>
          </w:tcPr>
          <w:p>
            <w:pPr>
              <w:ind w:left="380"/>
              <w:spacing w:after="0"/>
              <w:rPr>
                <w:sz w:val="20"/>
                <w:szCs w:val="20"/>
                <w:color w:val="auto"/>
              </w:rPr>
            </w:pPr>
            <w:r>
              <w:rPr>
                <w:rFonts w:ascii="Arial" w:cs="Arial" w:eastAsia="Arial" w:hAnsi="Arial"/>
                <w:sz w:val="18"/>
                <w:szCs w:val="18"/>
                <w:color w:val="auto"/>
                <w:w w:val="90"/>
              </w:rPr>
              <w:t>Opinion of Vorys, Sater, Seymour and Pease LLP regarding legality</w:t>
            </w:r>
          </w:p>
        </w:tc>
      </w:tr>
      <w:tr>
        <w:trPr>
          <w:trHeight w:val="418"/>
        </w:trPr>
        <w:tc>
          <w:tcPr>
            <w:tcW w:w="700" w:type="dxa"/>
            <w:vAlign w:val="bottom"/>
          </w:tcPr>
          <w:p>
            <w:pPr>
              <w:jc w:val="center"/>
              <w:ind w:right="290"/>
              <w:spacing w:after="0"/>
              <w:rPr>
                <w:sz w:val="20"/>
                <w:szCs w:val="20"/>
                <w:color w:val="auto"/>
              </w:rPr>
            </w:pPr>
            <w:r>
              <w:rPr>
                <w:rFonts w:ascii="Arial" w:cs="Arial" w:eastAsia="Arial" w:hAnsi="Arial"/>
                <w:sz w:val="18"/>
                <w:szCs w:val="18"/>
                <w:color w:val="auto"/>
                <w:w w:val="91"/>
              </w:rPr>
              <w:t>10.1</w:t>
            </w:r>
          </w:p>
        </w:tc>
        <w:tc>
          <w:tcPr>
            <w:tcW w:w="5260" w:type="dxa"/>
            <w:vAlign w:val="bottom"/>
          </w:tcPr>
          <w:p>
            <w:pPr>
              <w:ind w:left="380"/>
              <w:spacing w:after="0"/>
              <w:rPr>
                <w:sz w:val="20"/>
                <w:szCs w:val="20"/>
                <w:color w:val="auto"/>
              </w:rPr>
            </w:pPr>
            <w:r>
              <w:rPr>
                <w:rFonts w:ascii="Arial" w:cs="Arial" w:eastAsia="Arial" w:hAnsi="Arial"/>
                <w:sz w:val="18"/>
                <w:szCs w:val="18"/>
                <w:color w:val="auto"/>
                <w:w w:val="90"/>
              </w:rPr>
              <w:t>Amendment to The Scotts Company 1996 Stock Option Plan (2005</w:t>
            </w:r>
          </w:p>
        </w:tc>
      </w:tr>
      <w:tr>
        <w:trPr>
          <w:trHeight w:val="230"/>
        </w:trPr>
        <w:tc>
          <w:tcPr>
            <w:tcW w:w="700" w:type="dxa"/>
            <w:vAlign w:val="bottom"/>
          </w:tcPr>
          <w:p>
            <w:pPr>
              <w:spacing w:after="0"/>
              <w:rPr>
                <w:sz w:val="20"/>
                <w:szCs w:val="20"/>
                <w:color w:val="auto"/>
              </w:rPr>
            </w:pPr>
          </w:p>
        </w:tc>
        <w:tc>
          <w:tcPr>
            <w:tcW w:w="5260" w:type="dxa"/>
            <w:vAlign w:val="bottom"/>
          </w:tcPr>
          <w:p>
            <w:pPr>
              <w:ind w:left="380"/>
              <w:spacing w:after="0"/>
              <w:rPr>
                <w:sz w:val="20"/>
                <w:szCs w:val="20"/>
                <w:color w:val="auto"/>
              </w:rPr>
            </w:pPr>
            <w:r>
              <w:rPr>
                <w:rFonts w:ascii="Arial" w:cs="Arial" w:eastAsia="Arial" w:hAnsi="Arial"/>
                <w:sz w:val="18"/>
                <w:szCs w:val="18"/>
                <w:color w:val="auto"/>
              </w:rPr>
              <w:t>Amendment)</w:t>
            </w:r>
          </w:p>
        </w:tc>
      </w:tr>
      <w:tr>
        <w:trPr>
          <w:trHeight w:val="418"/>
        </w:trPr>
        <w:tc>
          <w:tcPr>
            <w:tcW w:w="700" w:type="dxa"/>
            <w:vAlign w:val="bottom"/>
          </w:tcPr>
          <w:p>
            <w:pPr>
              <w:jc w:val="center"/>
              <w:ind w:right="290"/>
              <w:spacing w:after="0"/>
              <w:rPr>
                <w:sz w:val="20"/>
                <w:szCs w:val="20"/>
                <w:color w:val="auto"/>
              </w:rPr>
            </w:pPr>
            <w:r>
              <w:rPr>
                <w:rFonts w:ascii="Arial" w:cs="Arial" w:eastAsia="Arial" w:hAnsi="Arial"/>
                <w:sz w:val="18"/>
                <w:szCs w:val="18"/>
                <w:color w:val="auto"/>
                <w:w w:val="91"/>
              </w:rPr>
              <w:t>23.1</w:t>
            </w:r>
          </w:p>
        </w:tc>
        <w:tc>
          <w:tcPr>
            <w:tcW w:w="5260" w:type="dxa"/>
            <w:vAlign w:val="bottom"/>
          </w:tcPr>
          <w:p>
            <w:pPr>
              <w:ind w:left="380"/>
              <w:spacing w:after="0"/>
              <w:rPr>
                <w:sz w:val="20"/>
                <w:szCs w:val="20"/>
                <w:color w:val="auto"/>
              </w:rPr>
            </w:pPr>
            <w:r>
              <w:rPr>
                <w:rFonts w:ascii="Arial" w:cs="Arial" w:eastAsia="Arial" w:hAnsi="Arial"/>
                <w:sz w:val="18"/>
                <w:szCs w:val="18"/>
                <w:color w:val="auto"/>
                <w:w w:val="92"/>
              </w:rPr>
              <w:t>Consent of PricewaterhouseCoopers LLP, independent registered</w:t>
            </w:r>
          </w:p>
        </w:tc>
      </w:tr>
      <w:tr>
        <w:trPr>
          <w:trHeight w:val="230"/>
        </w:trPr>
        <w:tc>
          <w:tcPr>
            <w:tcW w:w="700" w:type="dxa"/>
            <w:vAlign w:val="bottom"/>
          </w:tcPr>
          <w:p>
            <w:pPr>
              <w:spacing w:after="0"/>
              <w:rPr>
                <w:sz w:val="20"/>
                <w:szCs w:val="20"/>
                <w:color w:val="auto"/>
              </w:rPr>
            </w:pPr>
          </w:p>
        </w:tc>
        <w:tc>
          <w:tcPr>
            <w:tcW w:w="5260" w:type="dxa"/>
            <w:vAlign w:val="bottom"/>
          </w:tcPr>
          <w:p>
            <w:pPr>
              <w:ind w:left="380"/>
              <w:spacing w:after="0"/>
              <w:rPr>
                <w:sz w:val="20"/>
                <w:szCs w:val="20"/>
                <w:color w:val="auto"/>
              </w:rPr>
            </w:pPr>
            <w:r>
              <w:rPr>
                <w:rFonts w:ascii="Arial" w:cs="Arial" w:eastAsia="Arial" w:hAnsi="Arial"/>
                <w:sz w:val="18"/>
                <w:szCs w:val="18"/>
                <w:color w:val="auto"/>
              </w:rPr>
              <w:t>public accounting firm</w:t>
            </w:r>
          </w:p>
        </w:tc>
      </w:tr>
      <w:tr>
        <w:trPr>
          <w:trHeight w:val="432"/>
        </w:trPr>
        <w:tc>
          <w:tcPr>
            <w:tcW w:w="700" w:type="dxa"/>
            <w:vAlign w:val="bottom"/>
          </w:tcPr>
          <w:p>
            <w:pPr>
              <w:jc w:val="center"/>
              <w:ind w:right="290"/>
              <w:spacing w:after="0"/>
              <w:rPr>
                <w:sz w:val="20"/>
                <w:szCs w:val="20"/>
                <w:color w:val="auto"/>
              </w:rPr>
            </w:pPr>
            <w:r>
              <w:rPr>
                <w:rFonts w:ascii="Arial" w:cs="Arial" w:eastAsia="Arial" w:hAnsi="Arial"/>
                <w:sz w:val="18"/>
                <w:szCs w:val="18"/>
                <w:color w:val="auto"/>
                <w:w w:val="91"/>
              </w:rPr>
              <w:t>23.2</w:t>
            </w:r>
          </w:p>
        </w:tc>
        <w:tc>
          <w:tcPr>
            <w:tcW w:w="5260" w:type="dxa"/>
            <w:vAlign w:val="bottom"/>
          </w:tcPr>
          <w:p>
            <w:pPr>
              <w:ind w:left="380"/>
              <w:spacing w:after="0"/>
              <w:rPr>
                <w:sz w:val="20"/>
                <w:szCs w:val="20"/>
                <w:color w:val="auto"/>
              </w:rPr>
            </w:pPr>
            <w:r>
              <w:rPr>
                <w:rFonts w:ascii="Arial" w:cs="Arial" w:eastAsia="Arial" w:hAnsi="Arial"/>
                <w:sz w:val="18"/>
                <w:szCs w:val="18"/>
                <w:color w:val="auto"/>
              </w:rPr>
              <w:t>Consent of Vorys, Sater, Seymour and Pease LLP</w:t>
            </w:r>
          </w:p>
        </w:tc>
      </w:tr>
      <w:tr>
        <w:trPr>
          <w:trHeight w:val="418"/>
        </w:trPr>
        <w:tc>
          <w:tcPr>
            <w:tcW w:w="700" w:type="dxa"/>
            <w:vAlign w:val="bottom"/>
          </w:tcPr>
          <w:p>
            <w:pPr>
              <w:jc w:val="center"/>
              <w:ind w:right="290"/>
              <w:spacing w:after="0"/>
              <w:rPr>
                <w:sz w:val="20"/>
                <w:szCs w:val="20"/>
                <w:color w:val="auto"/>
              </w:rPr>
            </w:pPr>
            <w:r>
              <w:rPr>
                <w:rFonts w:ascii="Arial" w:cs="Arial" w:eastAsia="Arial" w:hAnsi="Arial"/>
                <w:sz w:val="18"/>
                <w:szCs w:val="18"/>
                <w:color w:val="auto"/>
                <w:w w:val="91"/>
              </w:rPr>
              <w:t>24.1</w:t>
            </w:r>
          </w:p>
        </w:tc>
        <w:tc>
          <w:tcPr>
            <w:tcW w:w="5260" w:type="dxa"/>
            <w:vAlign w:val="bottom"/>
          </w:tcPr>
          <w:p>
            <w:pPr>
              <w:ind w:left="380"/>
              <w:spacing w:after="0"/>
              <w:rPr>
                <w:sz w:val="20"/>
                <w:szCs w:val="20"/>
                <w:color w:val="auto"/>
              </w:rPr>
            </w:pPr>
            <w:r>
              <w:rPr>
                <w:rFonts w:ascii="Arial" w:cs="Arial" w:eastAsia="Arial" w:hAnsi="Arial"/>
                <w:sz w:val="18"/>
                <w:szCs w:val="18"/>
                <w:color w:val="auto"/>
                <w:w w:val="99"/>
              </w:rPr>
              <w:t>Powers of Attorney of Executive Officers and Directors of The</w:t>
            </w:r>
          </w:p>
        </w:tc>
      </w:tr>
      <w:tr>
        <w:trPr>
          <w:trHeight w:val="230"/>
        </w:trPr>
        <w:tc>
          <w:tcPr>
            <w:tcW w:w="700" w:type="dxa"/>
            <w:vAlign w:val="bottom"/>
          </w:tcPr>
          <w:p>
            <w:pPr>
              <w:spacing w:after="0"/>
              <w:rPr>
                <w:sz w:val="20"/>
                <w:szCs w:val="20"/>
                <w:color w:val="auto"/>
              </w:rPr>
            </w:pPr>
          </w:p>
        </w:tc>
        <w:tc>
          <w:tcPr>
            <w:tcW w:w="5260" w:type="dxa"/>
            <w:vAlign w:val="bottom"/>
          </w:tcPr>
          <w:p>
            <w:pPr>
              <w:ind w:left="380"/>
              <w:spacing w:after="0"/>
              <w:rPr>
                <w:sz w:val="20"/>
                <w:szCs w:val="20"/>
                <w:color w:val="auto"/>
              </w:rPr>
            </w:pPr>
            <w:r>
              <w:rPr>
                <w:rFonts w:ascii="Arial" w:cs="Arial" w:eastAsia="Arial" w:hAnsi="Arial"/>
                <w:sz w:val="18"/>
                <w:szCs w:val="18"/>
                <w:color w:val="auto"/>
              </w:rPr>
              <w:t>Scotts Miracle-Gro Company</w:t>
            </w:r>
          </w:p>
        </w:tc>
      </w:tr>
      <w:tr>
        <w:trPr>
          <w:trHeight w:val="392"/>
        </w:trPr>
        <w:tc>
          <w:tcPr>
            <w:tcW w:w="700" w:type="dxa"/>
            <w:vAlign w:val="bottom"/>
          </w:tcPr>
          <w:p>
            <w:pPr>
              <w:spacing w:after="0"/>
              <w:rPr>
                <w:sz w:val="24"/>
                <w:szCs w:val="24"/>
                <w:color w:val="auto"/>
              </w:rPr>
            </w:pPr>
          </w:p>
        </w:tc>
        <w:tc>
          <w:tcPr>
            <w:tcW w:w="5260" w:type="dxa"/>
            <w:vAlign w:val="bottom"/>
          </w:tcPr>
          <w:p>
            <w:pPr>
              <w:ind w:left="4320"/>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3810</wp:posOffset>
            </wp:positionV>
            <wp:extent cx="28987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Incorporated herein by reference to Exhibit 3.1 to the Current Report on Form 8-K of The Scotts Miracle-Gro Company dated and filed with the Securities and Exchange Commission on March 24, 2005 (File No. 1-13292) (the “March 24, 2005 Form 8-K”)</w:t>
      </w:r>
    </w:p>
    <w:p>
      <w:pPr>
        <w:spacing w:after="0" w:line="194"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Incorporated herein by reference to Exhibit 3.2 to the March 24, 2005 Form 8-K (File No. 1-13292)</w:t>
      </w:r>
    </w:p>
    <w:p>
      <w:pPr>
        <w:spacing w:after="0" w:line="363"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Incorporated herein by reference to Exhibit 3.3 to the March 24, 2005 Form 8-K (File No. 1-13292)</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Filed as part of Exhibit 5.1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2">
            <w:col w:w="6640" w:space="220"/>
            <w:col w:w="4460"/>
          </w:cols>
          <w:pgMar w:left="240" w:top="419"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5.1</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(614) 464-6400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9, 2005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14111 Scottslawn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Marysville, Ohio 43041</w:t>
      </w:r>
    </w:p>
    <w:p>
      <w:pPr>
        <w:spacing w:after="0" w:line="18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1996 Stock Option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85" w:lineRule="exact"/>
        <w:rPr>
          <w:sz w:val="20"/>
          <w:szCs w:val="20"/>
          <w:color w:val="auto"/>
        </w:rPr>
      </w:pPr>
    </w:p>
    <w:p>
      <w:pPr>
        <w:ind w:firstLine="222"/>
        <w:spacing w:after="0" w:line="273" w:lineRule="auto"/>
        <w:rPr>
          <w:sz w:val="20"/>
          <w:szCs w:val="20"/>
          <w:color w:val="auto"/>
        </w:rPr>
      </w:pPr>
      <w:r>
        <w:rPr>
          <w:rFonts w:ascii="Arial" w:cs="Arial" w:eastAsia="Arial" w:hAnsi="Arial"/>
          <w:sz w:val="17"/>
          <w:szCs w:val="17"/>
          <w:color w:val="auto"/>
        </w:rPr>
        <w:t>We have acted as counsel to The Scotts Miracle-Gro Company, an Ohio corporation (the “Company”), in connection with the preparation of Post-Effective Amendment No. 1 (“Post-Effective Amendment No. 1”) to Registration Statements on Form S-8 (Registration Nos. 333-06061; 333-27561 and 333-76697) (the “Registration Statements”), which Post-Effective Amendment No. 1 was filed by the Company with the Securities and Exchange Commission on the date hereof pursuant to Rule 414 promulgated under the provisions of the Securities Act of 1933, as amended (the “Act”), with respect to the Company’s adoption of The Scotts Miracle-Gro Company 1996 Stock Option Plan (formerly known as The Scotts Company 1996 Stock Option Plan), as amended (the “Plan”), in the Company’s capacity as the successor issuer to The Scotts Company, an Ohio corporation (“Scotts”).</w:t>
      </w:r>
    </w:p>
    <w:p>
      <w:pPr>
        <w:spacing w:after="0" w:line="151"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color w:val="auto"/>
        </w:rPr>
        <w:t>In connection with rendering this opinion, we have examined an original or copy of, and have relied upon the accuracy of, without independent verification or investigation: (a) Post-Effective Amendment No. 1; (b) the Registration Statements; (c) the Agreement and Plan of Merger, dated as of December 13, 2004, by and among Scotts, The Scotts Company LLC (“Scotts LLC”) and the Company; (d) the Plan; (e) the Company’s Articles of Incorporation, as amended (the “Articles”); (f) the Company’s Code of Regulations (the “Regulations”); (g) certain corporate records of each of the Company and Scotts, including resolutions adopted by the directors and by the shareholders of each of the Company and Scotts; and (h) certain limited liability records of Scotts LLC, including resolutions adopted by the manager of Scotts LLC. We have also relied upon such representations of the Company, Scotts and Scotts LLC and officers of the Company, Scotts and Scotts LLC and examined such authorities of law as we have deemed relevant as a basis for this opinion.</w:t>
      </w:r>
    </w:p>
    <w:p>
      <w:pPr>
        <w:spacing w:after="0" w:line="127"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In our examination of the aforesaid documents, we have assumed, without independent investigation, the genuineness of all signatures, the legal capacity of all individuals who have executed any of the aforesaid documents, the authenticity of all documents submitted to us as originals, the conformity with originals of all documents submitted to us as copies (and the authenticity of the originals of such copies), and the accuracy and completeness of all public records reviewed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9,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84" w:lineRule="exact"/>
        <w:rPr>
          <w:sz w:val="20"/>
          <w:szCs w:val="20"/>
          <w:color w:val="auto"/>
        </w:rPr>
      </w:pPr>
    </w:p>
    <w:p>
      <w:pPr>
        <w:ind w:right="400" w:firstLine="222"/>
        <w:spacing w:after="0" w:line="264" w:lineRule="auto"/>
        <w:rPr>
          <w:sz w:val="20"/>
          <w:szCs w:val="20"/>
          <w:color w:val="auto"/>
        </w:rPr>
      </w:pPr>
      <w:r>
        <w:rPr>
          <w:rFonts w:ascii="Arial" w:cs="Arial" w:eastAsia="Arial" w:hAnsi="Arial"/>
          <w:sz w:val="18"/>
          <w:szCs w:val="18"/>
          <w:color w:val="auto"/>
        </w:rPr>
        <w:t>We have relied solely upon the examinations and inquiries recited herein, and, except for the examinations and inquiries recited herein, we have not undertaken any independent investigation to determine the existence or absence of any facts, and no inference as to our knowledge concerning such facts should be drawn.</w:t>
      </w:r>
    </w:p>
    <w:p>
      <w:pPr>
        <w:spacing w:after="0" w:line="141" w:lineRule="exact"/>
        <w:rPr>
          <w:sz w:val="20"/>
          <w:szCs w:val="20"/>
          <w:color w:val="auto"/>
        </w:rPr>
      </w:pPr>
    </w:p>
    <w:p>
      <w:pPr>
        <w:ind w:right="100" w:firstLine="215"/>
        <w:spacing w:after="0" w:line="342" w:lineRule="auto"/>
        <w:rPr>
          <w:sz w:val="20"/>
          <w:szCs w:val="20"/>
          <w:color w:val="auto"/>
        </w:rPr>
      </w:pPr>
      <w:r>
        <w:rPr>
          <w:rFonts w:ascii="Arial" w:cs="Arial" w:eastAsia="Arial" w:hAnsi="Arial"/>
          <w:sz w:val="16"/>
          <w:szCs w:val="16"/>
          <w:color w:val="auto"/>
        </w:rPr>
        <w:t>As used herein, the phrase “validly issued” means that particular action has been authorized by all necessary corporate action of the Company and that the Company has the corporate authority to take such action under Chapter 1701 of the Ohio Revised Code and the Company’s Articles and Regulations.</w:t>
      </w:r>
    </w:p>
    <w:p>
      <w:pPr>
        <w:spacing w:after="0" w:line="83"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Based upon and subject to the foregoing and the further qualifications and limitations set forth below, as of the date hereof, we are of the opinion that the common shares, without par value, of the Company (the “Common Shares”) available for issuance under the Plan, when issued, delivered and paid for in accordance with the terms and conditions of the Plan and the applicable award agreements with participants in the Plan, will be validly issued, fully paid and non-assessable, assuming compliance with applicable securities laws.</w:t>
      </w:r>
    </w:p>
    <w:p>
      <w:pPr>
        <w:spacing w:after="0" w:line="160" w:lineRule="exact"/>
        <w:rPr>
          <w:sz w:val="20"/>
          <w:szCs w:val="20"/>
          <w:color w:val="auto"/>
        </w:rPr>
      </w:pPr>
    </w:p>
    <w:p>
      <w:pPr>
        <w:jc w:val="both"/>
        <w:ind w:right="300" w:firstLine="222"/>
        <w:spacing w:after="0" w:line="342" w:lineRule="auto"/>
        <w:rPr>
          <w:sz w:val="20"/>
          <w:szCs w:val="20"/>
          <w:color w:val="auto"/>
        </w:rPr>
      </w:pPr>
      <w:r>
        <w:rPr>
          <w:rFonts w:ascii="Arial" w:cs="Arial" w:eastAsia="Arial" w:hAnsi="Arial"/>
          <w:sz w:val="16"/>
          <w:szCs w:val="16"/>
          <w:color w:val="auto"/>
        </w:rPr>
        <w:t>We are members of the Bar of the State of Ohio and do not purport to be experts in the laws of any jurisdiction other than the laws of the State of Ohio, including the applicable provisions of the Ohio Constitution and the reported judicial decisions interpreting those laws, and the United States of America.</w:t>
      </w:r>
    </w:p>
    <w:p>
      <w:pPr>
        <w:spacing w:after="0" w:line="83"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This opinion is based upon the laws and legal interpretations in effect, and the facts and circumstances existing, on the date hereof, and we assume no obligation to revise or supplement this opinion should any such law or legal interpretation be changed by legislative action, judicial interpretation or otherwise or should there be any change in such facts or circumstances.</w:t>
      </w:r>
    </w:p>
    <w:p>
      <w:pPr>
        <w:spacing w:after="0" w:line="141"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This opinion is furnished by us solely for the benefit of the Company in connection with the offering of Common Shares pursuant to the Plan and the filing of Post-Effective Amendment No. 1 and any further amendments to the Registration Statements. This opinion may not be relied upon by any other person or assigned, quoted or otherwise used without our specific written consent.</w:t>
      </w:r>
    </w:p>
    <w:p>
      <w:pPr>
        <w:spacing w:after="0" w:line="154"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Notwithstanding the foregoing, we consent to the filing of this opinion as an exhibit to Post-Effective Amendment No. 1 and to the reference to us therein. By giving such consent, we do not thereby admit that we come within the category of persons whose consent is required under Section 7 of the Act or the rules and regulations promulgated under the Act.</w:t>
      </w:r>
    </w:p>
    <w:p>
      <w:pPr>
        <w:spacing w:after="0" w:line="18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VORYS, SATER, SEYMOUR AND PEASE LLP</w:t>
      </w:r>
    </w:p>
    <w:p>
      <w:pPr>
        <w:sectPr>
          <w:pgSz w:w="11900" w:h="16838" w:orient="portrait"/>
          <w:cols w:equalWidth="0" w:num="1">
            <w:col w:w="11420"/>
          </w:cols>
          <w:pgMar w:left="240" w:top="935"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10.1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COMPANY 1996 STOCK OPTION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2005 AMENDMENT</w:t>
      </w:r>
    </w:p>
    <w:p>
      <w:pPr>
        <w:spacing w:after="0" w:line="185" w:lineRule="exact"/>
        <w:rPr>
          <w:sz w:val="20"/>
          <w:szCs w:val="20"/>
          <w:color w:val="auto"/>
        </w:rPr>
      </w:pPr>
    </w:p>
    <w:p>
      <w:pPr>
        <w:ind w:right="180" w:firstLine="225"/>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shareholders of The Scotts Company (“Scotts”) previously approved the adoption of The Scotts Company 1996 Stock Option Plan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and</w:t>
      </w:r>
    </w:p>
    <w:p>
      <w:pPr>
        <w:spacing w:after="0" w:line="121" w:lineRule="exact"/>
        <w:rPr>
          <w:sz w:val="20"/>
          <w:szCs w:val="20"/>
          <w:color w:val="auto"/>
        </w:rPr>
      </w:pPr>
    </w:p>
    <w:p>
      <w:pPr>
        <w:ind w:right="160" w:firstLine="225"/>
        <w:spacing w:after="0" w:line="26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on March 18, 2005 (the “Effective Time”), Scotts consummated the restructuring of Scotts’ corporate structure into a holding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structure by merging Scotts into a wholly-owned second-tier Ohio limited liability company subsidiary, The Scotts Company LLC (“Scotts LLC”), pursuant to the Agreement and Plan of Merger, dated as of December 13, 2004 (the “Merger Agreement”), by and among Scotts, Scotts LLC and The Scotts Miracle-Gro Company (the “Company”); and</w:t>
      </w:r>
    </w:p>
    <w:p>
      <w:pPr>
        <w:spacing w:after="0" w:line="153" w:lineRule="exact"/>
        <w:rPr>
          <w:sz w:val="20"/>
          <w:szCs w:val="20"/>
          <w:color w:val="auto"/>
        </w:rPr>
      </w:pPr>
    </w:p>
    <w:p>
      <w:pPr>
        <w:ind w:right="400" w:firstLine="225"/>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pursuant to the Merger Agreement, the Company assumed, as of the Effective Time, the Plan and all obligations and liabilities of Scotts</w:t>
      </w:r>
      <w:r>
        <w:rPr>
          <w:rFonts w:ascii="Arial" w:cs="Arial" w:eastAsia="Arial" w:hAnsi="Arial"/>
          <w:sz w:val="18"/>
          <w:szCs w:val="18"/>
          <w:b w:val="1"/>
          <w:bCs w:val="1"/>
          <w:color w:val="auto"/>
        </w:rPr>
        <w:t xml:space="preserve"> </w:t>
      </w:r>
      <w:r>
        <w:rPr>
          <w:rFonts w:ascii="Arial" w:cs="Arial" w:eastAsia="Arial" w:hAnsi="Arial"/>
          <w:sz w:val="18"/>
          <w:szCs w:val="18"/>
          <w:color w:val="auto"/>
        </w:rPr>
        <w:t>thereunder; and</w:t>
      </w:r>
    </w:p>
    <w:p>
      <w:pPr>
        <w:spacing w:after="0" w:line="121" w:lineRule="exact"/>
        <w:rPr>
          <w:sz w:val="20"/>
          <w:szCs w:val="20"/>
          <w:color w:val="auto"/>
        </w:rPr>
      </w:pPr>
    </w:p>
    <w:p>
      <w:pPr>
        <w:jc w:val="both"/>
        <w:ind w:right="180" w:firstLine="225"/>
        <w:spacing w:after="0" w:line="26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Section 9 of the Plan provides that the Company’s Board of Directors (the “Board”) may amend the Plan at any time without shareholder</w:t>
      </w:r>
      <w:r>
        <w:rPr>
          <w:rFonts w:ascii="Arial" w:cs="Arial" w:eastAsia="Arial" w:hAnsi="Arial"/>
          <w:sz w:val="18"/>
          <w:szCs w:val="18"/>
          <w:b w:val="1"/>
          <w:bCs w:val="1"/>
          <w:color w:val="auto"/>
        </w:rPr>
        <w:t xml:space="preserve"> </w:t>
      </w:r>
      <w:r>
        <w:rPr>
          <w:rFonts w:ascii="Arial" w:cs="Arial" w:eastAsia="Arial" w:hAnsi="Arial"/>
          <w:sz w:val="18"/>
          <w:szCs w:val="18"/>
          <w:color w:val="auto"/>
        </w:rPr>
        <w:t>approval except to the extent that shareholder approval is required to satisfy applicable requirements imposed by Rule 16b-3 under the Securities Exchange Act of 1934, as amended; applicable requirements of the Internal Revenue Code of 1986, as amended; or any securities exchange, market or other quotation system on or through which the Company’s securities are listed or traded; and</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has resolved to amend the Plan to reflect the Company’s assumption of the Plan;</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the Plan is amended effective as of the Effective Time as follows:</w:t>
      </w:r>
    </w:p>
    <w:p>
      <w:pPr>
        <w:spacing w:after="0" w:line="189" w:lineRule="exact"/>
        <w:rPr>
          <w:sz w:val="20"/>
          <w:szCs w:val="20"/>
          <w:color w:val="auto"/>
        </w:rPr>
      </w:pPr>
    </w:p>
    <w:p>
      <w:pPr>
        <w:ind w:left="400" w:hanging="167"/>
        <w:spacing w:after="0"/>
        <w:tabs>
          <w:tab w:leader="none" w:pos="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title of the Plan is amended to be “The Scotts Miracle-Gro Company 1996 Stock Option Plan.”</w:t>
      </w:r>
    </w:p>
    <w:p>
      <w:pPr>
        <w:spacing w:after="0" w:line="184" w:lineRule="exact"/>
        <w:rPr>
          <w:rFonts w:ascii="Arial" w:cs="Arial" w:eastAsia="Arial" w:hAnsi="Arial"/>
          <w:sz w:val="18"/>
          <w:szCs w:val="18"/>
          <w:color w:val="auto"/>
        </w:rPr>
      </w:pPr>
    </w:p>
    <w:p>
      <w:pPr>
        <w:ind w:right="380" w:firstLine="233"/>
        <w:spacing w:after="0" w:line="277" w:lineRule="auto"/>
        <w:tabs>
          <w:tab w:leader="none" w:pos="405"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Section 2.1(k) of the Plan is amended and restated, in its entirety, to read as follows: “Company” means The Scotts Miracle-Gro Company, an Ohio corporation, and any successor thereto.</w:t>
      </w:r>
    </w:p>
    <w:p>
      <w:pPr>
        <w:spacing w:after="0" w:line="143" w:lineRule="exact"/>
        <w:rPr>
          <w:rFonts w:ascii="Arial" w:cs="Arial" w:eastAsia="Arial" w:hAnsi="Arial"/>
          <w:sz w:val="18"/>
          <w:szCs w:val="18"/>
          <w:color w:val="auto"/>
        </w:rPr>
      </w:pPr>
    </w:p>
    <w:p>
      <w:pPr>
        <w:ind w:right="40" w:firstLine="233"/>
        <w:spacing w:after="0" w:line="277" w:lineRule="auto"/>
        <w:tabs>
          <w:tab w:leader="none" w:pos="405"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Section 2.1(s) of the Plan is amended and restated to read, in its entirety, as follows: “Plan” means The Scotts Miracle-Gro Company 1996 Stock Option Plan, as in effect from time to time.</w:t>
      </w:r>
    </w:p>
    <w:p>
      <w:pPr>
        <w:spacing w:after="0" w:line="126" w:lineRule="exact"/>
        <w:rPr>
          <w:sz w:val="20"/>
          <w:szCs w:val="20"/>
          <w:color w:val="auto"/>
        </w:rPr>
      </w:pPr>
    </w:p>
    <w:p>
      <w:pPr>
        <w:ind w:right="420" w:firstLine="225"/>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Company has caused this Amendment to be executed as of the 6th day of May, 2005, to be effective as of March 18,</w:t>
      </w:r>
      <w:r>
        <w:rPr>
          <w:rFonts w:ascii="Arial" w:cs="Arial" w:eastAsia="Arial" w:hAnsi="Arial"/>
          <w:sz w:val="18"/>
          <w:szCs w:val="18"/>
          <w:b w:val="1"/>
          <w:bCs w:val="1"/>
          <w:color w:val="auto"/>
        </w:rPr>
        <w:t xml:space="preserve"> </w:t>
      </w:r>
      <w:r>
        <w:rPr>
          <w:rFonts w:ascii="Arial" w:cs="Arial" w:eastAsia="Arial" w:hAnsi="Arial"/>
          <w:sz w:val="18"/>
          <w:szCs w:val="18"/>
          <w:color w:val="auto"/>
        </w:rPr>
        <w:t>2005.</w:t>
      </w:r>
    </w:p>
    <w:p>
      <w:pPr>
        <w:spacing w:after="0" w:line="162"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THE SCOTTS MIRACLE-GRO COMPANY</w:t>
      </w:r>
    </w:p>
    <w:p>
      <w:pPr>
        <w:spacing w:after="0" w:line="22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By: /s/ Christopher L. Nagel</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Print Name: Christopher L. Nagel</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Title: EVP and Chief Financial Officer</w:t>
      </w:r>
    </w:p>
    <w:p>
      <w:pPr>
        <w:sectPr>
          <w:pgSz w:w="11900" w:h="16838" w:orient="portrait"/>
          <w:cols w:equalWidth="0" w:num="1">
            <w:col w:w="11420"/>
          </w:cols>
          <w:pgMar w:left="240" w:top="931"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23.1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hereby consent to the incorporation by reference in this Registration Statement on Form S-8 of our report dated November 22, 2004 relating to the financial statements, which appears in The Scotts Company’s Annual Report on Form 10-K for the fiscal year ended September 30, 2004. We also consent to the incorporation by reference of our report dated November 22, 2004 related to the financial statement schedule, which appears in such Annual Report on Form 10-K.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Columbus, Ohio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5, 2005</w:t>
      </w:r>
    </w:p>
    <w:p>
      <w:pPr>
        <w:sectPr>
          <w:pgSz w:w="11900" w:h="16838" w:orient="portrait"/>
          <w:cols w:equalWidth="0" w:num="1">
            <w:col w:w="11420"/>
          </w:cols>
          <w:pgMar w:left="240" w:top="931" w:right="239" w:bottom="1440" w:gutter="0" w:footer="0" w:header="0"/>
        </w:sectPr>
      </w:pPr>
    </w:p>
    <w:bookmarkStart w:id="21" w:name="page22"/>
    <w:bookmarkEnd w:id="21"/>
    <w:p>
      <w:pPr>
        <w:jc w:val="center"/>
        <w:ind w:right="-20"/>
        <w:spacing w:after="0"/>
        <w:rPr>
          <w:sz w:val="20"/>
          <w:szCs w:val="20"/>
          <w:color w:val="auto"/>
        </w:rPr>
      </w:pPr>
      <w:r>
        <w:rPr>
          <w:rFonts w:ascii="Arial" w:cs="Arial" w:eastAsia="Arial" w:hAnsi="Arial"/>
          <w:sz w:val="18"/>
          <w:szCs w:val="18"/>
          <w:u w:val="single" w:color="auto"/>
          <w:color w:val="auto"/>
        </w:rPr>
        <w:t>EXHIBIT 24.1</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POWERS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413385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35" w:right="1440"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98"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 xml:space="preserve">Post-Effective Amendment No. 1 to Registration Statements on Form S-8 </w:t>
      </w:r>
      <w:r>
        <w:rPr>
          <w:rFonts w:ascii="Arial" w:cs="Arial" w:eastAsia="Arial" w:hAnsi="Arial"/>
          <w:sz w:val="17"/>
          <w:szCs w:val="17"/>
          <w:color w:val="auto"/>
        </w:rPr>
        <w:t>(Registration Nos. 333-06061, 333-27561 and 333-76697) for the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certain of its common shares for offering and sale pursuant to </w:t>
      </w:r>
      <w:r>
        <w:rPr>
          <w:rFonts w:ascii="Arial" w:cs="Arial" w:eastAsia="Arial" w:hAnsi="Arial"/>
          <w:sz w:val="17"/>
          <w:szCs w:val="17"/>
          <w:b w:val="1"/>
          <w:bCs w:val="1"/>
          <w:color w:val="auto"/>
        </w:rPr>
        <w:t>The Scotts Miracle-Gro Company 1996 Stock Option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James Hagedorn</w:t>
      </w:r>
      <w:r>
        <w:rPr>
          <w:rFonts w:ascii="Arial" w:cs="Arial" w:eastAsia="Arial" w:hAnsi="Arial"/>
          <w:sz w:val="17"/>
          <w:szCs w:val="17"/>
          <w:color w:val="auto"/>
        </w:rPr>
        <w:t xml:space="preserve">, </w:t>
      </w:r>
      <w:r>
        <w:rPr>
          <w:rFonts w:ascii="Arial" w:cs="Arial" w:eastAsia="Arial" w:hAnsi="Arial"/>
          <w:sz w:val="17"/>
          <w:szCs w:val="17"/>
          <w:b w:val="1"/>
          <w:bCs w:val="1"/>
          <w:color w:val="auto"/>
        </w:rPr>
        <w:t>David M. Aronowitz</w:t>
      </w:r>
      <w:r>
        <w:rPr>
          <w:rFonts w:ascii="Arial" w:cs="Arial" w:eastAsia="Arial" w:hAnsi="Arial"/>
          <w:sz w:val="17"/>
          <w:szCs w:val="17"/>
          <w:color w:val="auto"/>
        </w:rPr>
        <w:t xml:space="preserve"> and </w:t>
      </w:r>
      <w:r>
        <w:rPr>
          <w:rFonts w:ascii="Arial" w:cs="Arial" w:eastAsia="Arial" w:hAnsi="Arial"/>
          <w:sz w:val="17"/>
          <w:szCs w:val="17"/>
          <w:b w:val="1"/>
          <w:bCs w:val="1"/>
          <w:color w:val="auto"/>
        </w:rPr>
        <w:t>Christopher L. Nagel</w:t>
      </w:r>
      <w:r>
        <w:rPr>
          <w:rFonts w:ascii="Arial" w:cs="Arial" w:eastAsia="Arial" w:hAnsi="Arial"/>
          <w:sz w:val="17"/>
          <w:szCs w:val="17"/>
          <w:color w:val="auto"/>
        </w:rPr>
        <w:t>,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4th day of May,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Mark R. Baker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Mark R.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85"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 xml:space="preserve">Post-Effective Amendment No. 1 to Registration Statements on Form S-8 </w:t>
      </w:r>
      <w:r>
        <w:rPr>
          <w:rFonts w:ascii="Arial" w:cs="Arial" w:eastAsia="Arial" w:hAnsi="Arial"/>
          <w:sz w:val="17"/>
          <w:szCs w:val="17"/>
          <w:color w:val="auto"/>
        </w:rPr>
        <w:t>(Registration Nos. 333-06061, 333-27561 and 333-76697) for the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certain of its common shares for offering and sale pursuant to </w:t>
      </w:r>
      <w:r>
        <w:rPr>
          <w:rFonts w:ascii="Arial" w:cs="Arial" w:eastAsia="Arial" w:hAnsi="Arial"/>
          <w:sz w:val="17"/>
          <w:szCs w:val="17"/>
          <w:b w:val="1"/>
          <w:bCs w:val="1"/>
          <w:color w:val="auto"/>
        </w:rPr>
        <w:t>The Scotts Miracle-Gro Company 1996 Stock Option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James Hagedorn</w:t>
      </w:r>
      <w:r>
        <w:rPr>
          <w:rFonts w:ascii="Arial" w:cs="Arial" w:eastAsia="Arial" w:hAnsi="Arial"/>
          <w:sz w:val="17"/>
          <w:szCs w:val="17"/>
          <w:color w:val="auto"/>
        </w:rPr>
        <w:t xml:space="preserve">, </w:t>
      </w:r>
      <w:r>
        <w:rPr>
          <w:rFonts w:ascii="Arial" w:cs="Arial" w:eastAsia="Arial" w:hAnsi="Arial"/>
          <w:sz w:val="17"/>
          <w:szCs w:val="17"/>
          <w:b w:val="1"/>
          <w:bCs w:val="1"/>
          <w:color w:val="auto"/>
        </w:rPr>
        <w:t>David M. Aronowitz</w:t>
      </w:r>
      <w:r>
        <w:rPr>
          <w:rFonts w:ascii="Arial" w:cs="Arial" w:eastAsia="Arial" w:hAnsi="Arial"/>
          <w:sz w:val="17"/>
          <w:szCs w:val="17"/>
          <w:color w:val="auto"/>
        </w:rPr>
        <w:t xml:space="preserve"> and </w:t>
      </w:r>
      <w:r>
        <w:rPr>
          <w:rFonts w:ascii="Arial" w:cs="Arial" w:eastAsia="Arial" w:hAnsi="Arial"/>
          <w:sz w:val="17"/>
          <w:szCs w:val="17"/>
          <w:b w:val="1"/>
          <w:bCs w:val="1"/>
          <w:color w:val="auto"/>
        </w:rPr>
        <w:t>Christopher L. Nagel</w:t>
      </w:r>
      <w:r>
        <w:rPr>
          <w:rFonts w:ascii="Arial" w:cs="Arial" w:eastAsia="Arial" w:hAnsi="Arial"/>
          <w:sz w:val="17"/>
          <w:szCs w:val="17"/>
          <w:color w:val="auto"/>
        </w:rPr>
        <w:t>, and each of them, as her true and lawful attorneys-in-fact and agents with full power of substitution and resubstitution, for her and in her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she might or could do in person, hereby ratifying and confirming all things that each of said attorneys-in-fact and agents, or his or their substitute or substitutes, may lawfully do or cause to be done by virtue hereof.</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her hand this 4th day of May,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Lynn J. Beasley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Lynn J. Beasley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37" w:right="25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85"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 xml:space="preserve">Post-Effective Amendment No. 1 to Registration Statements on Form S-8 </w:t>
      </w:r>
      <w:r>
        <w:rPr>
          <w:rFonts w:ascii="Arial" w:cs="Arial" w:eastAsia="Arial" w:hAnsi="Arial"/>
          <w:sz w:val="17"/>
          <w:szCs w:val="17"/>
          <w:color w:val="auto"/>
        </w:rPr>
        <w:t>(Registration Nos. 333-06061, 333-27561 and 333-76697) for the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certain of its common shares for offering and sale pursuant to </w:t>
      </w:r>
      <w:r>
        <w:rPr>
          <w:rFonts w:ascii="Arial" w:cs="Arial" w:eastAsia="Arial" w:hAnsi="Arial"/>
          <w:sz w:val="17"/>
          <w:szCs w:val="17"/>
          <w:b w:val="1"/>
          <w:bCs w:val="1"/>
          <w:color w:val="auto"/>
        </w:rPr>
        <w:t>The Scotts Miracle-Gro Company 1996 Stock Option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James Hagedorn</w:t>
      </w:r>
      <w:r>
        <w:rPr>
          <w:rFonts w:ascii="Arial" w:cs="Arial" w:eastAsia="Arial" w:hAnsi="Arial"/>
          <w:sz w:val="17"/>
          <w:szCs w:val="17"/>
          <w:color w:val="auto"/>
        </w:rPr>
        <w:t xml:space="preserve">, </w:t>
      </w:r>
      <w:r>
        <w:rPr>
          <w:rFonts w:ascii="Arial" w:cs="Arial" w:eastAsia="Arial" w:hAnsi="Arial"/>
          <w:sz w:val="17"/>
          <w:szCs w:val="17"/>
          <w:b w:val="1"/>
          <w:bCs w:val="1"/>
          <w:color w:val="auto"/>
        </w:rPr>
        <w:t>David M. Aronowitz</w:t>
      </w:r>
      <w:r>
        <w:rPr>
          <w:rFonts w:ascii="Arial" w:cs="Arial" w:eastAsia="Arial" w:hAnsi="Arial"/>
          <w:sz w:val="17"/>
          <w:szCs w:val="17"/>
          <w:color w:val="auto"/>
        </w:rPr>
        <w:t xml:space="preserve"> and </w:t>
      </w:r>
      <w:r>
        <w:rPr>
          <w:rFonts w:ascii="Arial" w:cs="Arial" w:eastAsia="Arial" w:hAnsi="Arial"/>
          <w:sz w:val="17"/>
          <w:szCs w:val="17"/>
          <w:b w:val="1"/>
          <w:bCs w:val="1"/>
          <w:color w:val="auto"/>
        </w:rPr>
        <w:t>Christopher L. Nagel</w:t>
      </w:r>
      <w:r>
        <w:rPr>
          <w:rFonts w:ascii="Arial" w:cs="Arial" w:eastAsia="Arial" w:hAnsi="Arial"/>
          <w:sz w:val="17"/>
          <w:szCs w:val="17"/>
          <w:color w:val="auto"/>
        </w:rPr>
        <w:t>,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4th day of May,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Gordon F. Brunner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Gordon F. Brunner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85"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 xml:space="preserve">Post-Effective Amendment No. 1 to Registration Statements on Form S-8 </w:t>
      </w:r>
      <w:r>
        <w:rPr>
          <w:rFonts w:ascii="Arial" w:cs="Arial" w:eastAsia="Arial" w:hAnsi="Arial"/>
          <w:sz w:val="17"/>
          <w:szCs w:val="17"/>
          <w:color w:val="auto"/>
        </w:rPr>
        <w:t>(Registration Nos. 333-06061, 333-27561 and 333-76697) for the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certain of its common shares for offering and sale pursuant to </w:t>
      </w:r>
      <w:r>
        <w:rPr>
          <w:rFonts w:ascii="Arial" w:cs="Arial" w:eastAsia="Arial" w:hAnsi="Arial"/>
          <w:sz w:val="17"/>
          <w:szCs w:val="17"/>
          <w:b w:val="1"/>
          <w:bCs w:val="1"/>
          <w:color w:val="auto"/>
        </w:rPr>
        <w:t>The Scotts Miracle-Gro Company 1996 Stock Option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James Hagedorn</w:t>
      </w:r>
      <w:r>
        <w:rPr>
          <w:rFonts w:ascii="Arial" w:cs="Arial" w:eastAsia="Arial" w:hAnsi="Arial"/>
          <w:sz w:val="17"/>
          <w:szCs w:val="17"/>
          <w:color w:val="auto"/>
        </w:rPr>
        <w:t xml:space="preserve">, </w:t>
      </w:r>
      <w:r>
        <w:rPr>
          <w:rFonts w:ascii="Arial" w:cs="Arial" w:eastAsia="Arial" w:hAnsi="Arial"/>
          <w:sz w:val="17"/>
          <w:szCs w:val="17"/>
          <w:b w:val="1"/>
          <w:bCs w:val="1"/>
          <w:color w:val="auto"/>
        </w:rPr>
        <w:t>David M. Aronowitz</w:t>
      </w:r>
      <w:r>
        <w:rPr>
          <w:rFonts w:ascii="Arial" w:cs="Arial" w:eastAsia="Arial" w:hAnsi="Arial"/>
          <w:sz w:val="17"/>
          <w:szCs w:val="17"/>
          <w:color w:val="auto"/>
        </w:rPr>
        <w:t xml:space="preserve"> and </w:t>
      </w:r>
      <w:r>
        <w:rPr>
          <w:rFonts w:ascii="Arial" w:cs="Arial" w:eastAsia="Arial" w:hAnsi="Arial"/>
          <w:sz w:val="17"/>
          <w:szCs w:val="17"/>
          <w:b w:val="1"/>
          <w:bCs w:val="1"/>
          <w:color w:val="auto"/>
        </w:rPr>
        <w:t>Christopher L. Nagel</w:t>
      </w:r>
      <w:r>
        <w:rPr>
          <w:rFonts w:ascii="Arial" w:cs="Arial" w:eastAsia="Arial" w:hAnsi="Arial"/>
          <w:sz w:val="17"/>
          <w:szCs w:val="17"/>
          <w:color w:val="auto"/>
        </w:rPr>
        <w:t>,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4th day of May,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Arnold W. Donald</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Arnold W. 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85"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 xml:space="preserve">Post-Effective Amendment No. 1 to Registration Statements on Form S-8 </w:t>
      </w:r>
      <w:r>
        <w:rPr>
          <w:rFonts w:ascii="Arial" w:cs="Arial" w:eastAsia="Arial" w:hAnsi="Arial"/>
          <w:sz w:val="17"/>
          <w:szCs w:val="17"/>
          <w:color w:val="auto"/>
        </w:rPr>
        <w:t>(Registration Nos. 333-06061, 333-27561 and 333-76697) for the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certain of its common shares for offering and sale pursuant to </w:t>
      </w:r>
      <w:r>
        <w:rPr>
          <w:rFonts w:ascii="Arial" w:cs="Arial" w:eastAsia="Arial" w:hAnsi="Arial"/>
          <w:sz w:val="17"/>
          <w:szCs w:val="17"/>
          <w:b w:val="1"/>
          <w:bCs w:val="1"/>
          <w:color w:val="auto"/>
        </w:rPr>
        <w:t>The Scotts Miracle-Gro Company 1996 Stock Option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James Hagedorn</w:t>
      </w:r>
      <w:r>
        <w:rPr>
          <w:rFonts w:ascii="Arial" w:cs="Arial" w:eastAsia="Arial" w:hAnsi="Arial"/>
          <w:sz w:val="17"/>
          <w:szCs w:val="17"/>
          <w:color w:val="auto"/>
        </w:rPr>
        <w:t xml:space="preserve">, </w:t>
      </w:r>
      <w:r>
        <w:rPr>
          <w:rFonts w:ascii="Arial" w:cs="Arial" w:eastAsia="Arial" w:hAnsi="Arial"/>
          <w:sz w:val="17"/>
          <w:szCs w:val="17"/>
          <w:b w:val="1"/>
          <w:bCs w:val="1"/>
          <w:color w:val="auto"/>
        </w:rPr>
        <w:t>David M. Aronowitz</w:t>
      </w:r>
      <w:r>
        <w:rPr>
          <w:rFonts w:ascii="Arial" w:cs="Arial" w:eastAsia="Arial" w:hAnsi="Arial"/>
          <w:sz w:val="17"/>
          <w:szCs w:val="17"/>
          <w:color w:val="auto"/>
        </w:rPr>
        <w:t xml:space="preserve"> and </w:t>
      </w:r>
      <w:r>
        <w:rPr>
          <w:rFonts w:ascii="Arial" w:cs="Arial" w:eastAsia="Arial" w:hAnsi="Arial"/>
          <w:sz w:val="17"/>
          <w:szCs w:val="17"/>
          <w:b w:val="1"/>
          <w:bCs w:val="1"/>
          <w:color w:val="auto"/>
        </w:rPr>
        <w:t>Christopher L. Nagel</w:t>
      </w:r>
      <w:r>
        <w:rPr>
          <w:rFonts w:ascii="Arial" w:cs="Arial" w:eastAsia="Arial" w:hAnsi="Arial"/>
          <w:sz w:val="17"/>
          <w:szCs w:val="17"/>
          <w:color w:val="auto"/>
        </w:rPr>
        <w:t>,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4th day of May,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Joseph P. Flannery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Joseph P. Flannery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85"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officer and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corporation, 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Post-Effective Amendment No. 1 to Registration Statements on Form S-8</w:t>
      </w:r>
      <w:r>
        <w:rPr>
          <w:rFonts w:ascii="Arial" w:cs="Arial" w:eastAsia="Arial" w:hAnsi="Arial"/>
          <w:sz w:val="17"/>
          <w:szCs w:val="17"/>
          <w:color w:val="auto"/>
        </w:rPr>
        <w:t xml:space="preserve"> (Registration Nos. 333-06061, 333-27561 and 333-76697) for the registration of certain of its common shares for offering and sale pursuant to </w:t>
      </w:r>
      <w:r>
        <w:rPr>
          <w:rFonts w:ascii="Arial" w:cs="Arial" w:eastAsia="Arial" w:hAnsi="Arial"/>
          <w:sz w:val="17"/>
          <w:szCs w:val="17"/>
          <w:b w:val="1"/>
          <w:bCs w:val="1"/>
          <w:color w:val="auto"/>
        </w:rPr>
        <w:t>The Scotts Miracle-Gro Company 1996 Stock Option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David M. Aronowitz</w:t>
      </w:r>
      <w:r>
        <w:rPr>
          <w:rFonts w:ascii="Arial" w:cs="Arial" w:eastAsia="Arial" w:hAnsi="Arial"/>
          <w:sz w:val="17"/>
          <w:szCs w:val="17"/>
          <w:color w:val="auto"/>
        </w:rPr>
        <w:t xml:space="preserve"> and </w:t>
      </w:r>
      <w:r>
        <w:rPr>
          <w:rFonts w:ascii="Arial" w:cs="Arial" w:eastAsia="Arial" w:hAnsi="Arial"/>
          <w:sz w:val="17"/>
          <w:szCs w:val="17"/>
          <w:b w:val="1"/>
          <w:bCs w:val="1"/>
          <w:color w:val="auto"/>
        </w:rPr>
        <w:t>Christopher L. Nagel</w:t>
      </w:r>
      <w:r>
        <w:rPr>
          <w:rFonts w:ascii="Arial" w:cs="Arial" w:eastAsia="Arial" w:hAnsi="Arial"/>
          <w:sz w:val="17"/>
          <w:szCs w:val="17"/>
          <w:color w:val="auto"/>
        </w:rPr>
        <w:t>,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said attorneys-in-fact and agents, or his or their substitute or substitutes, may lawfully do or cause to be done by virtue hereof.</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4th day of May,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James Hagedorn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98"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 xml:space="preserve">Post-Effective Amendment No. 1 to Registration Statements on Form S-8 </w:t>
      </w:r>
      <w:r>
        <w:rPr>
          <w:rFonts w:ascii="Arial" w:cs="Arial" w:eastAsia="Arial" w:hAnsi="Arial"/>
          <w:sz w:val="17"/>
          <w:szCs w:val="17"/>
          <w:color w:val="auto"/>
        </w:rPr>
        <w:t>(Registration Nos. 333-06061, 333-27561 and 333-76697) for the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certain of its common shares for offering and sale pursuant to </w:t>
      </w:r>
      <w:r>
        <w:rPr>
          <w:rFonts w:ascii="Arial" w:cs="Arial" w:eastAsia="Arial" w:hAnsi="Arial"/>
          <w:sz w:val="17"/>
          <w:szCs w:val="17"/>
          <w:b w:val="1"/>
          <w:bCs w:val="1"/>
          <w:color w:val="auto"/>
        </w:rPr>
        <w:t>The Scotts Miracle-Gro Company 1996 Stock Option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James Hagedorn</w:t>
      </w:r>
      <w:r>
        <w:rPr>
          <w:rFonts w:ascii="Arial" w:cs="Arial" w:eastAsia="Arial" w:hAnsi="Arial"/>
          <w:sz w:val="17"/>
          <w:szCs w:val="17"/>
          <w:color w:val="auto"/>
        </w:rPr>
        <w:t xml:space="preserve">, </w:t>
      </w:r>
      <w:r>
        <w:rPr>
          <w:rFonts w:ascii="Arial" w:cs="Arial" w:eastAsia="Arial" w:hAnsi="Arial"/>
          <w:sz w:val="17"/>
          <w:szCs w:val="17"/>
          <w:b w:val="1"/>
          <w:bCs w:val="1"/>
          <w:color w:val="auto"/>
        </w:rPr>
        <w:t>David M. Aronowitz</w:t>
      </w:r>
      <w:r>
        <w:rPr>
          <w:rFonts w:ascii="Arial" w:cs="Arial" w:eastAsia="Arial" w:hAnsi="Arial"/>
          <w:sz w:val="17"/>
          <w:szCs w:val="17"/>
          <w:color w:val="auto"/>
        </w:rPr>
        <w:t xml:space="preserve"> and </w:t>
      </w:r>
      <w:r>
        <w:rPr>
          <w:rFonts w:ascii="Arial" w:cs="Arial" w:eastAsia="Arial" w:hAnsi="Arial"/>
          <w:sz w:val="17"/>
          <w:szCs w:val="17"/>
          <w:b w:val="1"/>
          <w:bCs w:val="1"/>
          <w:color w:val="auto"/>
        </w:rPr>
        <w:t>Christopher L. Nagel</w:t>
      </w:r>
      <w:r>
        <w:rPr>
          <w:rFonts w:ascii="Arial" w:cs="Arial" w:eastAsia="Arial" w:hAnsi="Arial"/>
          <w:sz w:val="17"/>
          <w:szCs w:val="17"/>
          <w:color w:val="auto"/>
        </w:rPr>
        <w:t>, and each of them, as her true and lawful attorneys-in-fact and agents with full power of substitution and resubstitution, for her and in her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she might or could do in person, hereby ratifying and confirming all things that each of said attorneys-in-fact and agents, or his or their substitute or substitutes, may lawfully do or cause to be done by virtue hereof.</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her hand this 4th day of May,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Katherine Hagedorn Littlefield</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Katherine Hagedorn Littlefield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85"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officer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 xml:space="preserve">Post-Effective Amendment No. 1 to Registration Statements on Form S-8 </w:t>
      </w:r>
      <w:r>
        <w:rPr>
          <w:rFonts w:ascii="Arial" w:cs="Arial" w:eastAsia="Arial" w:hAnsi="Arial"/>
          <w:sz w:val="17"/>
          <w:szCs w:val="17"/>
          <w:color w:val="auto"/>
        </w:rPr>
        <w:t>(Registration Nos. 333-06061, 333-27561 and 333-76697) for the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certain of its common shares for offering and sale pursuant to </w:t>
      </w:r>
      <w:r>
        <w:rPr>
          <w:rFonts w:ascii="Arial" w:cs="Arial" w:eastAsia="Arial" w:hAnsi="Arial"/>
          <w:sz w:val="17"/>
          <w:szCs w:val="17"/>
          <w:b w:val="1"/>
          <w:bCs w:val="1"/>
          <w:color w:val="auto"/>
        </w:rPr>
        <w:t>The Scotts Miracle-Gro Company 1996 Stock Option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James Hagedorn</w:t>
      </w:r>
      <w:r>
        <w:rPr>
          <w:rFonts w:ascii="Arial" w:cs="Arial" w:eastAsia="Arial" w:hAnsi="Arial"/>
          <w:sz w:val="17"/>
          <w:szCs w:val="17"/>
          <w:color w:val="auto"/>
        </w:rPr>
        <w:t xml:space="preserve"> and </w:t>
      </w:r>
      <w:r>
        <w:rPr>
          <w:rFonts w:ascii="Arial" w:cs="Arial" w:eastAsia="Arial" w:hAnsi="Arial"/>
          <w:sz w:val="17"/>
          <w:szCs w:val="17"/>
          <w:b w:val="1"/>
          <w:bCs w:val="1"/>
          <w:color w:val="auto"/>
        </w:rPr>
        <w:t>David M. Aronowitz</w:t>
      </w:r>
      <w:r>
        <w:rPr>
          <w:rFonts w:ascii="Arial" w:cs="Arial" w:eastAsia="Arial" w:hAnsi="Arial"/>
          <w:sz w:val="17"/>
          <w:szCs w:val="17"/>
          <w:color w:val="auto"/>
        </w:rPr>
        <w:t>,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6th day of May,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Christopher L. Nagel</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Christopher L.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85"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 xml:space="preserve">Post-Effective Amendment No. 1 to Registration Statements on Form S-8 </w:t>
      </w:r>
      <w:r>
        <w:rPr>
          <w:rFonts w:ascii="Arial" w:cs="Arial" w:eastAsia="Arial" w:hAnsi="Arial"/>
          <w:sz w:val="17"/>
          <w:szCs w:val="17"/>
          <w:color w:val="auto"/>
        </w:rPr>
        <w:t>(Registration Nos. 333-06061, 333-27561 and 333-76697) for the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certain of its common shares for offering and sale pursuant to </w:t>
      </w:r>
      <w:r>
        <w:rPr>
          <w:rFonts w:ascii="Arial" w:cs="Arial" w:eastAsia="Arial" w:hAnsi="Arial"/>
          <w:sz w:val="17"/>
          <w:szCs w:val="17"/>
          <w:b w:val="1"/>
          <w:bCs w:val="1"/>
          <w:color w:val="auto"/>
        </w:rPr>
        <w:t>The Scotts Miracle-Gro Company 1996 Stock Option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James Hagedorn</w:t>
      </w:r>
      <w:r>
        <w:rPr>
          <w:rFonts w:ascii="Arial" w:cs="Arial" w:eastAsia="Arial" w:hAnsi="Arial"/>
          <w:sz w:val="17"/>
          <w:szCs w:val="17"/>
          <w:color w:val="auto"/>
        </w:rPr>
        <w:t xml:space="preserve">, </w:t>
      </w:r>
      <w:r>
        <w:rPr>
          <w:rFonts w:ascii="Arial" w:cs="Arial" w:eastAsia="Arial" w:hAnsi="Arial"/>
          <w:sz w:val="17"/>
          <w:szCs w:val="17"/>
          <w:b w:val="1"/>
          <w:bCs w:val="1"/>
          <w:color w:val="auto"/>
        </w:rPr>
        <w:t>David M. Aronowitz</w:t>
      </w:r>
      <w:r>
        <w:rPr>
          <w:rFonts w:ascii="Arial" w:cs="Arial" w:eastAsia="Arial" w:hAnsi="Arial"/>
          <w:sz w:val="17"/>
          <w:szCs w:val="17"/>
          <w:color w:val="auto"/>
        </w:rPr>
        <w:t xml:space="preserve"> and </w:t>
      </w:r>
      <w:r>
        <w:rPr>
          <w:rFonts w:ascii="Arial" w:cs="Arial" w:eastAsia="Arial" w:hAnsi="Arial"/>
          <w:sz w:val="17"/>
          <w:szCs w:val="17"/>
          <w:b w:val="1"/>
          <w:bCs w:val="1"/>
          <w:color w:val="auto"/>
        </w:rPr>
        <w:t>Christopher L. Nagel</w:t>
      </w:r>
      <w:r>
        <w:rPr>
          <w:rFonts w:ascii="Arial" w:cs="Arial" w:eastAsia="Arial" w:hAnsi="Arial"/>
          <w:sz w:val="17"/>
          <w:szCs w:val="17"/>
          <w:color w:val="auto"/>
        </w:rPr>
        <w:t>,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4th day of May,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Patrick J. Norton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Patrick J. Norton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85"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 xml:space="preserve">Post-Effective Amendment No. 1 to Registration Statements on Form S-8 </w:t>
      </w:r>
      <w:r>
        <w:rPr>
          <w:rFonts w:ascii="Arial" w:cs="Arial" w:eastAsia="Arial" w:hAnsi="Arial"/>
          <w:sz w:val="17"/>
          <w:szCs w:val="17"/>
          <w:color w:val="auto"/>
        </w:rPr>
        <w:t>(Registration Nos. 333-06061, 333-27561 and 333-76697) for the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certain of its common shares for offering and sale pursuant to </w:t>
      </w:r>
      <w:r>
        <w:rPr>
          <w:rFonts w:ascii="Arial" w:cs="Arial" w:eastAsia="Arial" w:hAnsi="Arial"/>
          <w:sz w:val="17"/>
          <w:szCs w:val="17"/>
          <w:b w:val="1"/>
          <w:bCs w:val="1"/>
          <w:color w:val="auto"/>
        </w:rPr>
        <w:t>The Scotts Miracle-Gro Company 1996 Stock Option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James Hagedorn</w:t>
      </w:r>
      <w:r>
        <w:rPr>
          <w:rFonts w:ascii="Arial" w:cs="Arial" w:eastAsia="Arial" w:hAnsi="Arial"/>
          <w:sz w:val="17"/>
          <w:szCs w:val="17"/>
          <w:color w:val="auto"/>
        </w:rPr>
        <w:t xml:space="preserve">, </w:t>
      </w:r>
      <w:r>
        <w:rPr>
          <w:rFonts w:ascii="Arial" w:cs="Arial" w:eastAsia="Arial" w:hAnsi="Arial"/>
          <w:sz w:val="17"/>
          <w:szCs w:val="17"/>
          <w:b w:val="1"/>
          <w:bCs w:val="1"/>
          <w:color w:val="auto"/>
        </w:rPr>
        <w:t>David M. Aronowitz</w:t>
      </w:r>
      <w:r>
        <w:rPr>
          <w:rFonts w:ascii="Arial" w:cs="Arial" w:eastAsia="Arial" w:hAnsi="Arial"/>
          <w:sz w:val="17"/>
          <w:szCs w:val="17"/>
          <w:color w:val="auto"/>
        </w:rPr>
        <w:t xml:space="preserve"> and </w:t>
      </w:r>
      <w:r>
        <w:rPr>
          <w:rFonts w:ascii="Arial" w:cs="Arial" w:eastAsia="Arial" w:hAnsi="Arial"/>
          <w:sz w:val="17"/>
          <w:szCs w:val="17"/>
          <w:b w:val="1"/>
          <w:bCs w:val="1"/>
          <w:color w:val="auto"/>
        </w:rPr>
        <w:t>Christopher L. Nagel</w:t>
      </w:r>
      <w:r>
        <w:rPr>
          <w:rFonts w:ascii="Arial" w:cs="Arial" w:eastAsia="Arial" w:hAnsi="Arial"/>
          <w:sz w:val="17"/>
          <w:szCs w:val="17"/>
          <w:color w:val="auto"/>
        </w:rPr>
        <w:t>, and each of them, as her true and lawful attorneys-in-fact and agents with full power of substitution and resubstitution, for her and in her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she might or could do in person, hereby ratifying and confirming all things that each of said attorneys-in-fact and agents, or his or their substitute or substitutes, may lawfully do or cause to be done by virtue hereof.</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her hand this 4th day of May,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Stephanie M. Shern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Stephanie M. Shern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37" w:right="25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85"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 xml:space="preserve">Post-Effective Amendment No. 1 to Registration Statements on Form S-8 </w:t>
      </w:r>
      <w:r>
        <w:rPr>
          <w:rFonts w:ascii="Arial" w:cs="Arial" w:eastAsia="Arial" w:hAnsi="Arial"/>
          <w:sz w:val="17"/>
          <w:szCs w:val="17"/>
          <w:color w:val="auto"/>
        </w:rPr>
        <w:t>(Registration Nos. 333-06061, 333-27561 and 333-76697) for the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certain of its common shares for offering and sale pursuant to </w:t>
      </w:r>
      <w:r>
        <w:rPr>
          <w:rFonts w:ascii="Arial" w:cs="Arial" w:eastAsia="Arial" w:hAnsi="Arial"/>
          <w:sz w:val="17"/>
          <w:szCs w:val="17"/>
          <w:b w:val="1"/>
          <w:bCs w:val="1"/>
          <w:color w:val="auto"/>
        </w:rPr>
        <w:t>The Scotts Miracle-Gro Company 1996 Stock Option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James Hagedorn</w:t>
      </w:r>
      <w:r>
        <w:rPr>
          <w:rFonts w:ascii="Arial" w:cs="Arial" w:eastAsia="Arial" w:hAnsi="Arial"/>
          <w:sz w:val="17"/>
          <w:szCs w:val="17"/>
          <w:color w:val="auto"/>
        </w:rPr>
        <w:t xml:space="preserve">, </w:t>
      </w:r>
      <w:r>
        <w:rPr>
          <w:rFonts w:ascii="Arial" w:cs="Arial" w:eastAsia="Arial" w:hAnsi="Arial"/>
          <w:sz w:val="17"/>
          <w:szCs w:val="17"/>
          <w:b w:val="1"/>
          <w:bCs w:val="1"/>
          <w:color w:val="auto"/>
        </w:rPr>
        <w:t>David M. Aronowitz</w:t>
      </w:r>
      <w:r>
        <w:rPr>
          <w:rFonts w:ascii="Arial" w:cs="Arial" w:eastAsia="Arial" w:hAnsi="Arial"/>
          <w:sz w:val="17"/>
          <w:szCs w:val="17"/>
          <w:color w:val="auto"/>
        </w:rPr>
        <w:t xml:space="preserve"> and </w:t>
      </w:r>
      <w:r>
        <w:rPr>
          <w:rFonts w:ascii="Arial" w:cs="Arial" w:eastAsia="Arial" w:hAnsi="Arial"/>
          <w:sz w:val="17"/>
          <w:szCs w:val="17"/>
          <w:b w:val="1"/>
          <w:bCs w:val="1"/>
          <w:color w:val="auto"/>
        </w:rPr>
        <w:t>Christopher L. Nagel</w:t>
      </w:r>
      <w:r>
        <w:rPr>
          <w:rFonts w:ascii="Arial" w:cs="Arial" w:eastAsia="Arial" w:hAnsi="Arial"/>
          <w:sz w:val="17"/>
          <w:szCs w:val="17"/>
          <w:color w:val="auto"/>
        </w:rPr>
        <w:t>,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4th day of May,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John M. Sullivan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John M.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sectPr>
      <w:pgSz w:w="11900" w:h="16838" w:orient="portrait"/>
      <w:cols w:equalWidth="0" w:num="1">
        <w:col w:w="11420"/>
      </w:cols>
      <w:pgMar w:left="240" w:top="1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upperLetter"/>
      <w:start w:val="1"/>
    </w:lvl>
  </w:abstractNum>
  <w:abstractNum w:abstractNumId="3">
    <w:nsid w:val="140E0F76"/>
    <w:multiLevelType w:val="hybridMultilevel"/>
    <w:lvl w:ilvl="0">
      <w:lvlJc w:val="left"/>
      <w:lvlText w:val="(%1)"/>
      <w:numFmt w:val="upperLetter"/>
      <w:start w:val="1"/>
    </w:lvl>
  </w:abstractNum>
  <w:abstractNum w:abstractNumId="4">
    <w:nsid w:val="3352255A"/>
    <w:multiLevelType w:val="hybridMultilevel"/>
    <w:lvl w:ilvl="0">
      <w:lvlJc w:val="left"/>
      <w:lvlText w:val="(%1)"/>
      <w:numFmt w:val="upperLetter"/>
      <w:start w:val="1"/>
    </w:lvl>
  </w:abstractNum>
  <w:abstractNum w:abstractNumId="5">
    <w:nsid w:val="109CF92E"/>
    <w:multiLevelType w:val="hybridMultilevel"/>
    <w:lvl w:ilvl="0">
      <w:lvlJc w:val="left"/>
      <w:lvlText w:val="(%1)"/>
      <w:numFmt w:val="decimal"/>
      <w:start w:val="2"/>
    </w:lvl>
  </w:abstractNum>
  <w:abstractNum w:abstractNumId="6">
    <w:nsid w:val="DED7263"/>
    <w:multiLevelType w:val="hybridMultilevel"/>
    <w:lvl w:ilvl="0">
      <w:lvlJc w:val="left"/>
      <w:lvlText w:val="(%1)"/>
      <w:numFmt w:val="lowerLetter"/>
      <w:start w:val="1"/>
    </w:lvl>
  </w:abstractNum>
  <w:abstractNum w:abstractNumId="7">
    <w:nsid w:val="7FDCC233"/>
    <w:multiLevelType w:val="hybridMultilevel"/>
    <w:lvl w:ilvl="0">
      <w:lvlJc w:val="left"/>
      <w:lvlText w:val="(%1)"/>
      <w:numFmt w:val="decimal"/>
      <w:start w:val="3"/>
    </w:lvl>
  </w:abstractNum>
  <w:abstractNum w:abstractNumId="8">
    <w:nsid w:val="1BEFD79F"/>
    <w:multiLevelType w:val="hybridMultilevel"/>
    <w:lvl w:ilvl="0">
      <w:lvlJc w:val="left"/>
      <w:lvlText w:val="(%1)"/>
      <w:numFmt w:val="lowerLetter"/>
      <w:start w:val="1"/>
    </w:lvl>
  </w:abstractNum>
  <w:abstractNum w:abstractNumId="9">
    <w:nsid w:val="41A7C4C9"/>
    <w:multiLevelType w:val="hybridMultilevel"/>
    <w:lvl w:ilvl="0">
      <w:lvlJc w:val="left"/>
      <w:lvlText w:val="(%1)"/>
      <w:numFmt w:val="lowerLetter"/>
      <w:start w:val="2"/>
    </w:lvl>
  </w:abstractNum>
  <w:abstractNum w:abstractNumId="10">
    <w:nsid w:val="6B68079A"/>
    <w:multiLevelType w:val="hybridMultilevel"/>
    <w:lvl w:ilvl="0">
      <w:lvlJc w:val="left"/>
      <w:lvlText w:val="(%1)"/>
      <w:numFmt w:val="decimal"/>
      <w:start w:val="2"/>
    </w:lvl>
  </w:abstractNum>
  <w:abstractNum w:abstractNumId="11">
    <w:nsid w:val="4E6AFB66"/>
    <w:multiLevelType w:val="hybridMultilevel"/>
    <w:lvl w:ilvl="0">
      <w:lvlJc w:val="left"/>
      <w:lvlText w:val="(%1)"/>
      <w:numFmt w:val="lowerRoman"/>
      <w:start w:val="1"/>
    </w:lvl>
  </w:abstractNum>
  <w:abstractNum w:abstractNumId="12">
    <w:nsid w:val="25E45D32"/>
    <w:multiLevelType w:val="hybridMultilevel"/>
    <w:lvl w:ilvl="0">
      <w:lvlJc w:val="left"/>
      <w:lvlText w:val="(%1)"/>
      <w:numFmt w:val="lowerLetter"/>
      <w:start w:val="2"/>
    </w:lvl>
  </w:abstractNum>
  <w:abstractNum w:abstractNumId="13">
    <w:nsid w:val="519B500D"/>
    <w:multiLevelType w:val="hybridMultilevel"/>
    <w:lvl w:ilvl="0">
      <w:lvlJc w:val="left"/>
      <w:lvlText w:val="(%1)"/>
      <w:numFmt w:val="decimal"/>
      <w:start w:val="6"/>
    </w:lvl>
  </w:abstractNum>
  <w:abstractNum w:abstractNumId="14">
    <w:nsid w:val="431BD7B7"/>
    <w:multiLevelType w:val="hybridMultilevel"/>
    <w:lvl w:ilvl="0">
      <w:lvlJc w:val="left"/>
      <w:lvlText w:val="(%1)"/>
      <w:numFmt w:val="decimal"/>
      <w:start w:val="7"/>
    </w:lvl>
  </w:abstractNum>
  <w:abstractNum w:abstractNumId="15">
    <w:nsid w:val="3F2DBA31"/>
    <w:multiLevelType w:val="hybridMultilevel"/>
    <w:lvl w:ilvl="0">
      <w:lvlJc w:val="left"/>
      <w:lvlText w:val="%1."/>
      <w:numFmt w:val="upperLetter"/>
      <w:start w:val="1"/>
    </w:lvl>
    <w:lvl w:ilvl="1">
      <w:lvlJc w:val="left"/>
      <w:lvlText w:val="(%2)"/>
      <w:numFmt w:val="lowerLetter"/>
      <w:start w:val="12"/>
    </w:lvl>
  </w:abstractNum>
  <w:abstractNum w:abstractNumId="16">
    <w:nsid w:val="7C83E458"/>
    <w:multiLevelType w:val="hybridMultilevel"/>
    <w:lvl w:ilvl="0">
      <w:lvlJc w:val="left"/>
      <w:lvlText w:val="(%1)"/>
      <w:numFmt w:val="lowerRoman"/>
      <w:start w:val="1"/>
    </w:lvl>
  </w:abstractNum>
  <w:abstractNum w:abstractNumId="17">
    <w:nsid w:val="257130A3"/>
    <w:multiLevelType w:val="hybridMultilevel"/>
    <w:lvl w:ilvl="0">
      <w:lvlJc w:val="left"/>
      <w:lvlText w:val="%1"/>
      <w:numFmt w:val="upperLetter"/>
      <w:start w:val="1"/>
    </w:lvl>
    <w:lvl w:ilvl="1">
      <w:lvlJc w:val="left"/>
      <w:lvlText w:val="(%2)"/>
      <w:numFmt w:val="decimal"/>
      <w:start w:val="2"/>
    </w:lvl>
  </w:abstractNum>
  <w:abstractNum w:abstractNumId="18">
    <w:nsid w:val="62BBD95A"/>
    <w:multiLevelType w:val="hybridMultilevel"/>
    <w:lvl w:ilvl="0">
      <w:lvlJc w:val="left"/>
      <w:lvlText w:val="%1."/>
      <w:numFmt w:val="upperLetter"/>
      <w:start w:val="2"/>
    </w:lvl>
    <w:lvl w:ilvl="1">
      <w:lvlJc w:val="left"/>
      <w:lvlText w:val="%2"/>
      <w:numFmt w:val="decimal"/>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2019-12-20T06:36:53Z</dcterms:created>
  <dcterms:modified xsi:type="dcterms:W3CDTF">2019-12-20T06:36:53Z</dcterms:modified>
</cp:coreProperties>
</file>