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jc w:val="right"/>
        <w:ind w:right="1979"/>
        <w:spacing w:after="0" w:line="247" w:lineRule="auto"/>
        <w:rPr>
          <w:sz w:val="20"/>
          <w:szCs w:val="20"/>
          <w:color w:val="auto"/>
        </w:rPr>
      </w:pPr>
      <w:r>
        <w:rPr>
          <w:rFonts w:ascii="Courier New" w:cs="Courier New" w:eastAsia="Courier New" w:hAnsi="Courier New"/>
          <w:sz w:val="17"/>
          <w:szCs w:val="17"/>
          <w:color w:val="auto"/>
        </w:rPr>
        <w:t>PROSPECTUS                                      Filed pursuant to Rule 424(b)(3) Registration No. 333-76739</w:t>
      </w:r>
    </w:p>
    <w:p>
      <w:pPr>
        <w:spacing w:after="0" w:line="396"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[THE SCOTTS COMPANY LOGO]</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$330,000,000</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OFFER TO EXCHANGE ITS</w:t>
      </w: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8.625% SENIOR SUBORDINATED NOTES</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DUE 2009, WHICH HAVE BEEN REGISTERED UNDER THE</w:t>
      </w:r>
    </w:p>
    <w:p>
      <w:pPr>
        <w:spacing w:after="0" w:line="5"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SECURITIES ACT OF 1933,</w:t>
      </w:r>
    </w:p>
    <w:p>
      <w:pPr>
        <w:spacing w:after="0" w:line="5"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FOR AN EQUAL PRINCIPAL AMOUNT OF ITS</w:t>
      </w:r>
    </w:p>
    <w:p>
      <w:pPr>
        <w:spacing w:after="0" w:line="5"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8.625% SENIOR SUBORDINATED NOTES DUE 2009,</w:t>
      </w:r>
    </w:p>
    <w:p>
      <w:pPr>
        <w:spacing w:after="0" w:line="5"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WHICH HAVE NOT BEEN REGISTERED</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7" w:right="1440" w:bottom="1440" w:gutter="0" w:footer="0" w:header="0"/>
        </w:sect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DIFFERENCES IN TERMS OF THE NOTES:</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PROCEDURE FOR EXCHANGING NOTES:</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DEADLINE: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WITHDRAWAL RIGHTS:</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MARKET FOR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EXPENSES: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new notes and the original notes are identical, except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that the original notes contained transfer restrictions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and registration rights that the new notes do not contain.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exchange your notes, you must complete the accompanying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letter of transmittal and mail it and your original notes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our exchange agent, as described in the letter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transmittal.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Unless we extend the exchange offer, it will expire at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5:00 p.m., New York City time, on January 19, 2001.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 delivered for exchange may be withdrawn at any time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prior to 5:00 p.m., New York City time, on January 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notes are expected to trade in the Private Offerings,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Resales, and Trading through Automatic Linkages Market.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We will pay all expenses of the exchange offer.</w:t>
      </w:r>
    </w:p>
    <w:p>
      <w:pPr>
        <w:spacing w:after="0" w:line="200" w:lineRule="exact"/>
        <w:rPr>
          <w:sz w:val="24"/>
          <w:szCs w:val="24"/>
          <w:color w:val="auto"/>
        </w:rPr>
      </w:pPr>
    </w:p>
    <w:p>
      <w:pPr>
        <w:sectPr>
          <w:pgSz w:w="11900" w:h="16838" w:orient="portrait"/>
          <w:cols w:equalWidth="0" w:num="2">
            <w:col w:w="3500" w:space="720"/>
            <w:col w:w="5999"/>
          </w:cols>
          <w:pgMar w:left="240" w:top="247" w:right="1440" w:bottom="1440" w:gutter="0" w:footer="0" w:header="0"/>
          <w:type w:val="continuous"/>
        </w:sect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INVESTING IN THE NOTES INVOLVES RISKS. SEE "RISK FACTORS" BEGINNING ON PAGE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December 12, 2000</w:t>
      </w:r>
    </w:p>
    <w:p>
      <w:pPr>
        <w:sectPr>
          <w:pgSz w:w="11900" w:h="16838" w:orient="portrait"/>
          <w:cols w:equalWidth="0" w:num="1">
            <w:col w:w="10219"/>
          </w:cols>
          <w:pgMar w:left="240" w:top="247"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ind w:left="3200"/>
              <w:spacing w:after="0"/>
              <w:rPr>
                <w:sz w:val="20"/>
                <w:szCs w:val="20"/>
                <w:color w:val="auto"/>
              </w:rPr>
            </w:pPr>
            <w:r>
              <w:rPr>
                <w:rFonts w:ascii="Courier New" w:cs="Courier New" w:eastAsia="Courier New" w:hAnsi="Courier New"/>
                <w:sz w:val="17"/>
                <w:szCs w:val="17"/>
                <w:color w:val="auto"/>
              </w:rPr>
              <w:t>TABLE OF CONTENTS</w:t>
            </w:r>
          </w:p>
        </w:tc>
        <w:tc>
          <w:tcPr>
            <w:tcW w:w="520" w:type="dxa"/>
            <w:vAlign w:val="bottom"/>
          </w:tcPr>
          <w:p>
            <w:pPr>
              <w:spacing w:after="0"/>
              <w:rPr>
                <w:sz w:val="16"/>
                <w:szCs w:val="16"/>
                <w:color w:val="auto"/>
              </w:rPr>
            </w:pPr>
          </w:p>
        </w:tc>
      </w:tr>
      <w:tr>
        <w:trPr>
          <w:trHeight w:val="792"/>
        </w:trPr>
        <w:tc>
          <w:tcPr>
            <w:tcW w:w="6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8"/>
        </w:trPr>
        <w:tc>
          <w:tcPr>
            <w:tcW w:w="6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Prospectus Summary..........................................</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Selected Consolidated Financial Data........................</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The Exchange Offer..........................................</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Description of Notes........................................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United States Federal Tax Considerations....................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Legal Matters...............................................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Independent Auditors........................................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Where You Can Find More Information.........................</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6280" w:type="dxa"/>
            <w:vAlign w:val="bottom"/>
          </w:tcPr>
          <w:p>
            <w:pPr>
              <w:spacing w:after="0"/>
              <w:rPr>
                <w:sz w:val="20"/>
                <w:szCs w:val="20"/>
                <w:color w:val="auto"/>
              </w:rPr>
            </w:pPr>
            <w:r>
              <w:rPr>
                <w:rFonts w:ascii="Courier New" w:cs="Courier New" w:eastAsia="Courier New" w:hAnsi="Courier New"/>
                <w:sz w:val="17"/>
                <w:szCs w:val="17"/>
                <w:color w:val="auto"/>
              </w:rPr>
              <w:t>Disclosure Regarding Forward-Looking Statements.............</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w:t>
            </w:r>
          </w:p>
        </w:tc>
      </w:tr>
      <w:tr>
        <w:trPr>
          <w:trHeight w:val="594"/>
        </w:trPr>
        <w:tc>
          <w:tcPr>
            <w:tcW w:w="6280" w:type="dxa"/>
            <w:vAlign w:val="bottom"/>
          </w:tcPr>
          <w:p>
            <w:pPr>
              <w:ind w:left="4120"/>
              <w:spacing w:after="0"/>
              <w:rPr>
                <w:sz w:val="20"/>
                <w:szCs w:val="20"/>
                <w:color w:val="auto"/>
              </w:rPr>
            </w:pPr>
            <w:r>
              <w:rPr>
                <w:rFonts w:ascii="Courier New" w:cs="Courier New" w:eastAsia="Courier New" w:hAnsi="Courier New"/>
                <w:sz w:val="17"/>
                <w:szCs w:val="17"/>
                <w:color w:val="auto"/>
              </w:rPr>
              <w:t>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3"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PROSPECTUS SUMMARY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ABOUT OUR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national retailers. Our portfolio of consumer brands that we believe hold a top one or two leading U.S. market share position in their market includes the following:</w:t>
      </w:r>
    </w:p>
    <w:p>
      <w:pPr>
        <w:spacing w:after="0" w:line="202" w:lineRule="exact"/>
        <w:rPr>
          <w:sz w:val="20"/>
          <w:szCs w:val="20"/>
          <w:color w:val="auto"/>
        </w:rPr>
      </w:pPr>
    </w:p>
    <w:p>
      <w:pPr>
        <w:ind w:left="720" w:hanging="200"/>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SCOTTS(R)</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ORTHO(R)</w:t>
      </w:r>
    </w:p>
    <w:p>
      <w:pPr>
        <w:spacing w:after="0" w:line="203" w:lineRule="exact"/>
        <w:rPr>
          <w:rFonts w:ascii="Courier New" w:cs="Courier New" w:eastAsia="Courier New" w:hAnsi="Courier New"/>
          <w:sz w:val="17"/>
          <w:szCs w:val="17"/>
          <w:color w:val="auto"/>
        </w:rPr>
      </w:pPr>
    </w:p>
    <w:p>
      <w:pPr>
        <w:ind w:left="720" w:right="2599" w:hanging="200"/>
        <w:spacing w:after="0" w:line="247" w:lineRule="auto"/>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ROUNDUP(R), which is a registered trademark of Monsanto Company. We market and distribute consumer Roundup(R) products for Monsanto.</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HYPONEX(R)</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Our portfolio of European Union brands includes the following:</w:t>
      </w:r>
    </w:p>
    <w:p>
      <w:pPr>
        <w:spacing w:after="0" w:line="203" w:lineRule="exact"/>
        <w:rPr>
          <w:sz w:val="20"/>
          <w:szCs w:val="20"/>
          <w:color w:val="auto"/>
        </w:rPr>
      </w:pPr>
    </w:p>
    <w:p>
      <w:pPr>
        <w:ind w:left="720" w:hanging="200"/>
        <w:spacing w:after="0"/>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 WEEDOL(R), LEVINGTON(R), KB(R), FERTILIGENE(R),</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CELAFLOR(R) AND NEXA-LOTTE(R)</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THE ISSUANCE OF THE ORIGINAL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THE EXCHANGE OFFER</w:t>
      </w:r>
    </w:p>
    <w:p>
      <w:pPr>
        <w:spacing w:after="0" w:line="203"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THE EXCHANGE OFFER.........</w:t>
        <w:tab/>
        <w:t>We are offering to exchange up to $330 million in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principal amount of notes which have been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registered under the Securities Act for a like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principal amount of original notes which were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issued without registration.</w:t>
      </w:r>
    </w:p>
    <w:p>
      <w:pPr>
        <w:spacing w:after="0" w:line="203"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EXPIRATION DATE............</w:t>
        <w:tab/>
        <w:t>This exchange offer will expire at 5:00 p.m., New</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York City time, on January 19, 2001. If we choose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to extend the exchange offer, the expiration date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will be the latest date and time to which it is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extended.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PROCEDURES FOR EXCHANGING</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NOTES......................</w:t>
        <w:tab/>
        <w:t>If you want to accept the exchange offer, you must</w:t>
      </w:r>
    </w:p>
    <w:p>
      <w:pPr>
        <w:spacing w:after="0" w:line="5"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complete, sign and date the accompanying letter of transmittal and deliver it, together with the original notes and any other required documentation, to the exchange agent before the expiration date. THE LETTER OF TRANSMITTAL INCLUDES DETAILED INSTRUCTIONS FOR ITS COMPLETION, EXECUTION AND DELIVERY WHICH MUST BE FOLLOWED METICULOUSLY.</w:t>
      </w:r>
    </w:p>
    <w:p>
      <w:pPr>
        <w:sectPr>
          <w:pgSz w:w="11900" w:h="16838" w:orient="portrait"/>
          <w:cols w:equalWidth="0" w:num="1">
            <w:col w:w="10219"/>
          </w:cols>
          <w:pgMar w:left="240" w:top="313" w:right="1440" w:bottom="1440" w:gutter="0" w:footer="0" w:header="0"/>
        </w:sectPr>
      </w:pP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3"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PROCEDURES FOR</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BENEFICIAL OWNERS..........</w:t>
        <w:tab/>
        <w:t>If your original notes are registered in the name</w:t>
      </w:r>
    </w:p>
    <w:p>
      <w:pPr>
        <w:spacing w:after="0" w:line="5"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of a broker, dealer, commercial bank, trust company or other nominee and you wish to exchange your notes, you should contact the registered holder promptly and instruct it to exchange the notes on your behalf.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GUARANTEED DELIVERY</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PROCEDURES.................</w:t>
        <w:tab/>
        <w:t>If you cannot deliver the original notes, the</w:t>
      </w:r>
    </w:p>
    <w:p>
      <w:pPr>
        <w:spacing w:after="0" w:line="5"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letter of transmittal or any other documents required by the letter of transmittal to the exchange agent prior to the expiration date, and you cannot comply with the procedures for book-entry transfer, you must follow the guaranteed delivery procedures. See "The Exchange Offer -- Guaranteed Delivery Procedures."</w:t>
      </w:r>
    </w:p>
    <w:p>
      <w:pPr>
        <w:spacing w:after="0" w:line="202"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WITHDRAWAL RIGHTS..........</w:t>
        <w:tab/>
        <w:t>Notes delivered for exchange may be withdrawn at</w:t>
      </w:r>
    </w:p>
    <w:p>
      <w:pPr>
        <w:spacing w:after="0" w:line="5" w:lineRule="exact"/>
        <w:rPr>
          <w:sz w:val="20"/>
          <w:szCs w:val="20"/>
          <w:color w:val="auto"/>
        </w:rPr>
      </w:pPr>
    </w:p>
    <w:p>
      <w:pPr>
        <w:ind w:left="3000" w:right="1979"/>
        <w:spacing w:after="0" w:line="247" w:lineRule="auto"/>
        <w:rPr>
          <w:sz w:val="20"/>
          <w:szCs w:val="20"/>
          <w:color w:val="auto"/>
        </w:rPr>
      </w:pPr>
      <w:r>
        <w:rPr>
          <w:rFonts w:ascii="Courier New" w:cs="Courier New" w:eastAsia="Courier New" w:hAnsi="Courier New"/>
          <w:sz w:val="17"/>
          <w:szCs w:val="17"/>
          <w:color w:val="auto"/>
        </w:rPr>
        <w:t>any time prior to 5:00 p.m., New York City time, on the expiration 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ACCEPTANCE OF ORIGINAL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AND DELIVERY OF NEW</w:t>
      </w:r>
    </w:p>
    <w:p>
      <w:pPr>
        <w:spacing w:after="0" w:line="5" w:lineRule="exact"/>
        <w:rPr>
          <w:sz w:val="20"/>
          <w:szCs w:val="20"/>
          <w:color w:val="auto"/>
        </w:rPr>
      </w:pPr>
    </w:p>
    <w:p>
      <w:pPr>
        <w:ind w:left="220"/>
        <w:spacing w:after="0"/>
        <w:tabs>
          <w:tab w:leader="none" w:pos="2980" w:val="left"/>
        </w:tabs>
        <w:rPr>
          <w:sz w:val="20"/>
          <w:szCs w:val="20"/>
          <w:color w:val="auto"/>
        </w:rPr>
      </w:pPr>
      <w:r>
        <w:rPr>
          <w:rFonts w:ascii="Courier New" w:cs="Courier New" w:eastAsia="Courier New" w:hAnsi="Courier New"/>
          <w:sz w:val="17"/>
          <w:szCs w:val="17"/>
          <w:color w:val="auto"/>
        </w:rPr>
        <w:t>NOTES....................</w:t>
        <w:tab/>
        <w:t>We will accept for exchange any original notes that</w:t>
      </w:r>
    </w:p>
    <w:p>
      <w:pPr>
        <w:spacing w:after="0" w:line="5"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are properly delivered prior to 5:00 p.m., New York City time, on the expiration date. We will deliver new notes promptly following the expiration date.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CONSEQUENCES OF FAILURE TO</w:t>
      </w:r>
    </w:p>
    <w:p>
      <w:pPr>
        <w:spacing w:after="0" w:line="5" w:lineRule="exact"/>
        <w:rPr>
          <w:sz w:val="20"/>
          <w:szCs w:val="20"/>
          <w:color w:val="auto"/>
        </w:rPr>
      </w:pPr>
    </w:p>
    <w:p>
      <w:pPr>
        <w:ind w:left="220"/>
        <w:spacing w:after="0"/>
        <w:tabs>
          <w:tab w:leader="none" w:pos="2980" w:val="left"/>
        </w:tabs>
        <w:rPr>
          <w:sz w:val="20"/>
          <w:szCs w:val="20"/>
          <w:color w:val="auto"/>
        </w:rPr>
      </w:pPr>
      <w:r>
        <w:rPr>
          <w:rFonts w:ascii="Courier New" w:cs="Courier New" w:eastAsia="Courier New" w:hAnsi="Courier New"/>
          <w:sz w:val="17"/>
          <w:szCs w:val="17"/>
          <w:color w:val="auto"/>
        </w:rPr>
        <w:t>EXCHANGE.................</w:t>
        <w:tab/>
        <w:t>If you are eligible to participate in the exchange</w:t>
      </w:r>
    </w:p>
    <w:p>
      <w:pPr>
        <w:spacing w:after="0" w:line="5"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offer but do not exchange your original notes, you will not have any exchange rights following the closing of this exchange offer. Your original notes will remain restricted securities and may be resold only:</w:t>
      </w:r>
    </w:p>
    <w:p>
      <w:pPr>
        <w:spacing w:after="0" w:line="20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to Scotts;</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to a qualified institutional buyer under Rule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144A or Rule 144 under the Securities Act;</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 in an offshore transaction under Rule 903 or Rule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904 of Regulation S under the Securities Act;</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to an institutional accredited investor;</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in a transaction otherwise exempt from</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registration under the Securities Act; or</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pursuant to an effective registration statement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under the Securities Act.</w:t>
      </w:r>
    </w:p>
    <w:p>
      <w:pPr>
        <w:spacing w:after="0" w:line="203"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RESALE OF THE NOTES........</w:t>
        <w:tab/>
        <w:t>Based on interpretations by the staff of the</w:t>
      </w:r>
    </w:p>
    <w:p>
      <w:pPr>
        <w:spacing w:after="0" w:line="5" w:lineRule="exact"/>
        <w:rPr>
          <w:sz w:val="20"/>
          <w:szCs w:val="20"/>
          <w:color w:val="auto"/>
        </w:rPr>
      </w:pPr>
    </w:p>
    <w:p>
      <w:pPr>
        <w:ind w:left="3000" w:right="2079"/>
        <w:spacing w:after="0" w:line="246" w:lineRule="auto"/>
        <w:rPr>
          <w:sz w:val="20"/>
          <w:szCs w:val="20"/>
          <w:color w:val="auto"/>
        </w:rPr>
      </w:pPr>
      <w:r>
        <w:rPr>
          <w:rFonts w:ascii="Courier New" w:cs="Courier New" w:eastAsia="Courier New" w:hAnsi="Courier New"/>
          <w:sz w:val="17"/>
          <w:szCs w:val="17"/>
          <w:color w:val="auto"/>
        </w:rPr>
        <w:t>Commission in no-action letters to third parties, we believe that the notes to be issued in exchange for original notes may be offered for resale and may be resold or otherwise transferred without restriction, except as follows:</w:t>
      </w:r>
    </w:p>
    <w:p>
      <w:pPr>
        <w:spacing w:after="0" w:line="20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a broker-dealer who purchased original notes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directly from Scotts for resale under Rule 144A</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or another exemption under the Securities Act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must comply with the registration and prospectus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delivery provisions of the Securities Act; and</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 a person that is an "affiliate" of Scotts within</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the meaning of Rule 405 under the Securities Act,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must sell under Rule 144 or another exemption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under the Securities Act.</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If a broker-dealer or affiliate transfers notes in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violation of the prospectus delivery provisions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Securities Act or without an</w:t>
      </w:r>
    </w:p>
    <w:p>
      <w:pPr>
        <w:sectPr>
          <w:pgSz w:w="11900" w:h="16838" w:orient="portrait"/>
          <w:cols w:equalWidth="0" w:num="1">
            <w:col w:w="10219"/>
          </w:cols>
          <w:pgMar w:left="240" w:top="313" w:right="1440" w:bottom="534" w:gutter="0" w:footer="0" w:header="0"/>
        </w:sect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3" w:right="1440" w:bottom="534"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exemption from registration, it may incur liability under the Securities Act. We do not indemnify holders of notes against liability under the Securities Act.</w:t>
      </w:r>
    </w:p>
    <w:p>
      <w:pPr>
        <w:spacing w:after="0" w:line="200"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Each broker-dealer that is issued notes in the exchange offer for its own account in exchange for notes which were acquired by the broker-dealer as a result of market-making or other trading activities, must acknowledge that it will deliver a prospectus meeting the requirements of the Securities Act in connection with any resale of the notes issued in the exchange offer. We have agreed that a broker-dealer may use this prospectus for an offer to resell, resale or other retransfer of the notes issued to it in the exchange offer.</w:t>
      </w:r>
    </w:p>
    <w:p>
      <w:pPr>
        <w:spacing w:after="0" w:line="204"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All resales of notes must be made in compliance with applicable state securities or "blue sky" laws. We assume no responsibility for your compliance with these requirements. We are not making the exchange offer to, and will not accept surrenders for exchange from, holders of original notes in any jurisdiction in which the exchange offer or the acceptance of the exchange offer would not be in compliance with the applicable securities or "blue sky" laws.</w:t>
      </w:r>
    </w:p>
    <w:p>
      <w:pPr>
        <w:spacing w:after="0" w:line="204"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We will require that each holder who wants to participate in the exchange offer represent to Scotts in the letter of transmittal that the holder is acquiring the notes to be issued in the exchange offer in the ordinary course of business and is not participating, and has no arrangement or understanding with any person to participate, in the distribution of the notes to be issued in the exchange offer. If a holder inaccurately makes these representations and transfers notes in violation of the prospectus delivery provisions of the Securities Act and without an exemption from registration, the holder may incur liability under the Securities Act. Scotts does not assume or indemnify holders of notes issued in the exchange offer against liability under the Securities Act, although, if the representations are true, Scotts does not believe that any liability should exist.</w:t>
      </w:r>
    </w:p>
    <w:p>
      <w:pPr>
        <w:spacing w:after="0" w:line="209"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If you are unable to participate in the exchange offer because of applicable law, the Commission's policies or your status as an affiliate of Scotts or as a broker-dealer who acquired notes directly from us or one of our affiliates, we have agreed to file another registration statement with the Commission. This second registration statement would cover periodic resales of the original, unregistered notes by the holders who are unable to participate in the exchange offer.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OF THE EXCHANGE</w:t>
      </w:r>
    </w:p>
    <w:p>
      <w:pPr>
        <w:spacing w:after="0" w:line="5" w:lineRule="exact"/>
        <w:rPr>
          <w:sz w:val="20"/>
          <w:szCs w:val="20"/>
          <w:color w:val="auto"/>
        </w:rPr>
      </w:pPr>
    </w:p>
    <w:p>
      <w:pPr>
        <w:ind w:left="220"/>
        <w:spacing w:after="0"/>
        <w:tabs>
          <w:tab w:leader="none" w:pos="2980" w:val="left"/>
        </w:tabs>
        <w:rPr>
          <w:sz w:val="20"/>
          <w:szCs w:val="20"/>
          <w:color w:val="auto"/>
        </w:rPr>
      </w:pPr>
      <w:r>
        <w:rPr>
          <w:rFonts w:ascii="Courier New" w:cs="Courier New" w:eastAsia="Courier New" w:hAnsi="Courier New"/>
          <w:sz w:val="17"/>
          <w:szCs w:val="17"/>
          <w:color w:val="auto"/>
        </w:rPr>
        <w:t>OFFER....................</w:t>
        <w:tab/>
        <w:t>If we determine that applicable federal law or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Commission's staff interpretations do not permit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exchange offer, we may terminate the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offer.</w:t>
      </w:r>
    </w:p>
    <w:p>
      <w:pPr>
        <w:spacing w:after="0" w:line="203" w:lineRule="exact"/>
        <w:rPr>
          <w:sz w:val="20"/>
          <w:szCs w:val="20"/>
          <w:color w:val="auto"/>
        </w:rPr>
      </w:pPr>
    </w:p>
    <w:p>
      <w:pPr>
        <w:ind w:left="3000" w:right="2079"/>
        <w:spacing w:after="0" w:line="246" w:lineRule="auto"/>
        <w:rPr>
          <w:sz w:val="20"/>
          <w:szCs w:val="20"/>
          <w:color w:val="auto"/>
        </w:rPr>
      </w:pPr>
      <w:r>
        <w:rPr>
          <w:rFonts w:ascii="Courier New" w:cs="Courier New" w:eastAsia="Courier New" w:hAnsi="Courier New"/>
          <w:sz w:val="17"/>
          <w:szCs w:val="17"/>
          <w:color w:val="auto"/>
        </w:rPr>
        <w:t>The exchange offer is not conditioned upon the tender of any minimum principal amount of original notes.</w:t>
      </w:r>
    </w:p>
    <w:p>
      <w:pPr>
        <w:spacing w:after="0" w:line="200"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To accept the exchange offer, you must represent to us in writing that you are acquiring the notes being issued in the ordinary course of business and that you are not participating in, and have no arrangement or understanding with any person to participate in, the distribution of the notes.</w:t>
      </w:r>
    </w:p>
    <w:p>
      <w:pPr>
        <w:sectPr>
          <w:pgSz w:w="11900" w:h="16838" w:orient="portrait"/>
          <w:cols w:equalWidth="0" w:num="1">
            <w:col w:w="10219"/>
          </w:cols>
          <w:pgMar w:left="240" w:top="313" w:right="1440" w:bottom="534" w:gutter="0" w:footer="0" w:header="0"/>
        </w:sectPr>
      </w:pP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3" w:right="1440" w:bottom="534"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3" w:right="1440" w:bottom="0" w:gutter="0" w:footer="0" w:header="0"/>
        </w:sect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CONSEQUENCES.............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The exchange of notes will generally not be a taxable event for U.S. federal income tax purposes.</w:t>
      </w:r>
    </w:p>
    <w:p>
      <w:pPr>
        <w:spacing w:after="0" w:line="198"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State Street Bank and Trust Company</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NOTES ISSUED IN EXCHANGE OFFER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ectPr>
          <w:pgSz w:w="11900" w:h="16838" w:orient="portrait"/>
          <w:cols w:equalWidth="0" w:num="1">
            <w:col w:w="10219"/>
          </w:cols>
          <w:pgMar w:left="240" w:top="313"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AMOUNT OF NOTES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OFFERED..................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$330 million in principal amount of 8.625% Senior Subordinated Notes due 2009 registered under the Securities Act.</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January 15, 2009.</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20" w:lineRule="exact"/>
        <w:rPr>
          <w:sz w:val="20"/>
          <w:szCs w:val="20"/>
          <w:color w:val="auto"/>
        </w:rPr>
      </w:pPr>
      <w:r>
        <w:rPr>
          <w:sz w:val="20"/>
          <w:szCs w:val="20"/>
          <w:color w:val="auto"/>
        </w:rPr>
        <w:br w:type="column"/>
      </w:r>
    </w:p>
    <w:p>
      <w:pPr>
        <w:ind w:right="2399"/>
        <w:spacing w:after="0" w:line="246" w:lineRule="auto"/>
        <w:rPr>
          <w:sz w:val="20"/>
          <w:szCs w:val="20"/>
          <w:color w:val="auto"/>
        </w:rPr>
      </w:pPr>
      <w:r>
        <w:rPr>
          <w:rFonts w:ascii="Courier New" w:cs="Courier New" w:eastAsia="Courier New" w:hAnsi="Courier New"/>
          <w:sz w:val="17"/>
          <w:szCs w:val="17"/>
          <w:color w:val="auto"/>
        </w:rPr>
        <w:t>Annual fixed rate -- 8.625%. Payment frequency -- every six months on January 15 and July 15. First payment -- July 15, 1999.</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SUBSIDIARY GUARANTORS......</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Each subsidiary guarantor is a wholly owned domestic subsidiary of Scotts. Scotts' foreign subsidiaries are not subsidiary guarantors of the notes. If Scotts cannot make payments on the notes when they are due, the subsidiary guarantors must make them instead.</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0" w:lineRule="exact"/>
        <w:rPr>
          <w:sz w:val="20"/>
          <w:szCs w:val="20"/>
          <w:color w:val="auto"/>
        </w:rPr>
      </w:pPr>
      <w:r>
        <w:rPr>
          <w:sz w:val="20"/>
          <w:szCs w:val="20"/>
          <w:color w:val="auto"/>
        </w:rPr>
        <w:br w:type="column"/>
      </w:r>
    </w:p>
    <w:p>
      <w:pPr>
        <w:ind w:right="1979"/>
        <w:spacing w:after="0" w:line="246" w:lineRule="auto"/>
        <w:rPr>
          <w:sz w:val="20"/>
          <w:szCs w:val="20"/>
          <w:color w:val="auto"/>
        </w:rPr>
      </w:pPr>
      <w:r>
        <w:rPr>
          <w:rFonts w:ascii="Courier New" w:cs="Courier New" w:eastAsia="Courier New" w:hAnsi="Courier New"/>
          <w:sz w:val="17"/>
          <w:szCs w:val="17"/>
          <w:color w:val="auto"/>
        </w:rPr>
        <w:t>The notes and the subsidiary guarantees are unsecured senior subordinated debts. They rank behind all of Scotts' and its subsidiary guarantors' current and future indebtedness, except trade payables and indebtedness that expressly provides that it is not senior to the notes and the subsidiary guarantees.</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2"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As of April 1, 2000, the notes and the subsidiary guarantees were subordinated to $830.9 million of senior debt. In addition, the subsidiary guarantees will be effectively subordinated to any current operating liabilities of the non-guarantor subsidiaries, because the creditors of any non-guarantor subsidiary will be entitled to the assets of that subsidiary in payment for the current operating liabilities before the assets can be used to repay any indebtedness of Scotts. As of April 1, 2000, the non-guarantor subsidiaries had current operating liabilities of $162.5 million.</w:t>
      </w:r>
    </w:p>
    <w:p>
      <w:pPr>
        <w:sectPr>
          <w:pgSz w:w="11900" w:h="16838" w:orient="portrait"/>
          <w:cols w:equalWidth="0" w:num="1">
            <w:col w:w="10219"/>
          </w:cols>
          <w:pgMar w:left="240" w:top="313" w:right="1440" w:bottom="0" w:gutter="0" w:footer="0" w:header="0"/>
          <w:type w:val="continuous"/>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On or after January 15, 2004, Scotts may redeem some or all of the notes at any time at the redemption prices listed in the "Description of Notes" section under the heading "Optional Redemption."</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1" w:lineRule="exact"/>
        <w:rPr>
          <w:sz w:val="20"/>
          <w:szCs w:val="20"/>
          <w:color w:val="auto"/>
        </w:rPr>
      </w:pPr>
    </w:p>
    <w:p>
      <w:pPr>
        <w:ind w:left="3000" w:right="1979"/>
        <w:spacing w:after="0" w:line="246" w:lineRule="auto"/>
        <w:rPr>
          <w:sz w:val="20"/>
          <w:szCs w:val="20"/>
          <w:color w:val="auto"/>
        </w:rPr>
      </w:pPr>
      <w:r>
        <w:rPr>
          <w:rFonts w:ascii="Courier New" w:cs="Courier New" w:eastAsia="Courier New" w:hAnsi="Courier New"/>
          <w:sz w:val="17"/>
          <w:szCs w:val="17"/>
          <w:color w:val="auto"/>
        </w:rPr>
        <w:t>Before January 15, 2002, Scotts may redeem up to 35% of the notes with the proceeds of one or more public equity offerings of Scotts' common shares at the price listed in the "Description of Notes" section under the heading "Optional Redemption."</w:t>
      </w:r>
    </w:p>
    <w:p>
      <w:pPr>
        <w:sectPr>
          <w:pgSz w:w="11900" w:h="16838" w:orient="portrait"/>
          <w:cols w:equalWidth="0" w:num="1">
            <w:col w:w="10219"/>
          </w:cols>
          <w:pgMar w:left="240" w:top="313"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MANDATORY OFFER TO</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REPURCHASE...............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If Scotts sells a significant amount of assets or experiences specific kinds of changes of control, it must offer to repurchase the notes at the prices listed in the "Description of Notes" section under the heading "Redemption at the Option of Holders."</w:t>
      </w:r>
    </w:p>
    <w:p>
      <w:pPr>
        <w:spacing w:after="0" w:line="200" w:lineRule="exact"/>
        <w:rPr>
          <w:sz w:val="20"/>
          <w:szCs w:val="20"/>
          <w:color w:val="auto"/>
        </w:rPr>
      </w:pPr>
    </w:p>
    <w:p>
      <w:pPr>
        <w:sectPr>
          <w:pgSz w:w="11900" w:h="16838" w:orient="portrait"/>
          <w:cols w:equalWidth="0" w:num="2">
            <w:col w:w="2780" w:space="220"/>
            <w:col w:w="7219"/>
          </w:cols>
          <w:pgMar w:left="240" w:top="313"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 COVENANTS OF</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INDENTURE................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Scotts will issue the notes under an indenture with State Street Bank and Trust Company, as trustee. The indenture restricts Scotts' ability and the ability of its subsidiaries to:</w:t>
      </w:r>
    </w:p>
    <w:p>
      <w:pPr>
        <w:sectPr>
          <w:pgSz w:w="11900" w:h="16838" w:orient="portrait"/>
          <w:cols w:equalWidth="0" w:num="2">
            <w:col w:w="2780" w:space="220"/>
            <w:col w:w="7219"/>
          </w:cols>
          <w:pgMar w:left="240" w:top="313" w:right="1440" w:bottom="0" w:gutter="0" w:footer="0" w:header="0"/>
          <w:type w:val="continuous"/>
        </w:sectPr>
      </w:pPr>
    </w:p>
    <w:bookmarkStart w:id="6" w:name="page7"/>
    <w:bookmarkEnd w:id="6"/>
    <w:p>
      <w:pPr>
        <w:ind w:left="2000" w:hanging="209"/>
        <w:spacing w:after="0"/>
        <w:tabs>
          <w:tab w:leader="none" w:pos="2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 money;</w:t>
      </w:r>
    </w:p>
    <w:p>
      <w:pPr>
        <w:spacing w:after="0" w:line="203" w:lineRule="exact"/>
        <w:rPr>
          <w:rFonts w:ascii="Courier New" w:cs="Courier New" w:eastAsia="Courier New" w:hAnsi="Courier New"/>
          <w:sz w:val="17"/>
          <w:szCs w:val="17"/>
          <w:color w:val="auto"/>
        </w:rPr>
      </w:pPr>
    </w:p>
    <w:p>
      <w:pPr>
        <w:ind w:left="2920" w:right="2799" w:hanging="1129"/>
        <w:spacing w:after="0" w:line="247" w:lineRule="auto"/>
        <w:tabs>
          <w:tab w:leader="none" w:pos="199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dividends on stock or purchase stock; 6</w:t>
      </w:r>
    </w:p>
    <w:p>
      <w:pPr>
        <w:sectPr>
          <w:pgSz w:w="11900" w:h="16838" w:orient="portrait"/>
          <w:cols w:equalWidth="0" w:num="1">
            <w:col w:w="9019"/>
          </w:cols>
          <w:pgMar w:left="1440" w:top="1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left="3200" w:hanging="209"/>
        <w:spacing w:after="0"/>
        <w:tabs>
          <w:tab w:leader="none" w:pos="3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investments;</w:t>
      </w:r>
    </w:p>
    <w:p>
      <w:pPr>
        <w:spacing w:after="0" w:line="203" w:lineRule="exact"/>
        <w:rPr>
          <w:rFonts w:ascii="Courier New" w:cs="Courier New" w:eastAsia="Courier New" w:hAnsi="Courier New"/>
          <w:sz w:val="17"/>
          <w:szCs w:val="17"/>
          <w:color w:val="auto"/>
        </w:rPr>
      </w:pPr>
    </w:p>
    <w:p>
      <w:pPr>
        <w:ind w:left="3200" w:hanging="209"/>
        <w:spacing w:after="0"/>
        <w:tabs>
          <w:tab w:leader="none" w:pos="3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assets as security in other transactions; and</w:t>
      </w:r>
    </w:p>
    <w:p>
      <w:pPr>
        <w:spacing w:after="0" w:line="203" w:lineRule="exact"/>
        <w:rPr>
          <w:rFonts w:ascii="Courier New" w:cs="Courier New" w:eastAsia="Courier New" w:hAnsi="Courier New"/>
          <w:sz w:val="17"/>
          <w:szCs w:val="17"/>
          <w:color w:val="auto"/>
        </w:rPr>
      </w:pPr>
    </w:p>
    <w:p>
      <w:pPr>
        <w:ind w:left="3200" w:right="1979" w:hanging="209"/>
        <w:spacing w:after="0" w:line="247" w:lineRule="auto"/>
        <w:tabs>
          <w:tab w:leader="none" w:pos="3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 significant amount of assets or merge with or into other companies.</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For more details, see the "Description of Notes"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section under the heading "Covenants."</w:t>
      </w:r>
    </w:p>
    <w:p>
      <w:pPr>
        <w:spacing w:after="0" w:line="203"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RISK FACTORS...............</w:t>
        <w:tab/>
        <w:t>See "Risk Factors" beginning on page 9 for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discussion of factors that you should carefully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consider. In particular, we note the following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risks:</w:t>
      </w:r>
    </w:p>
    <w:p>
      <w:pPr>
        <w:spacing w:after="0" w:line="203" w:lineRule="exact"/>
        <w:rPr>
          <w:sz w:val="20"/>
          <w:szCs w:val="20"/>
          <w:color w:val="auto"/>
        </w:rPr>
      </w:pPr>
    </w:p>
    <w:p>
      <w:pPr>
        <w:ind w:left="3200" w:right="2179" w:hanging="209"/>
        <w:spacing w:after="0" w:line="246" w:lineRule="auto"/>
        <w:tabs>
          <w:tab w:leader="none" w:pos="3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substantial indebtedness could adversely affect our financial health and prevent us from fulfilling our obligations under the notes.</w:t>
      </w:r>
    </w:p>
    <w:p>
      <w:pPr>
        <w:spacing w:after="0" w:line="199" w:lineRule="exact"/>
        <w:rPr>
          <w:rFonts w:ascii="Courier New" w:cs="Courier New" w:eastAsia="Courier New" w:hAnsi="Courier New"/>
          <w:sz w:val="17"/>
          <w:szCs w:val="17"/>
          <w:color w:val="auto"/>
        </w:rPr>
      </w:pPr>
    </w:p>
    <w:p>
      <w:pPr>
        <w:ind w:left="3200" w:right="2279" w:hanging="209"/>
        <w:spacing w:after="0" w:line="246" w:lineRule="auto"/>
        <w:tabs>
          <w:tab w:leader="none" w:pos="3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right to receive payments on the notes is junior to our existing indebtedness and, possibly, all of our future borrowings.</w:t>
      </w:r>
    </w:p>
    <w:p>
      <w:pPr>
        <w:spacing w:after="0" w:line="199" w:lineRule="exact"/>
        <w:rPr>
          <w:rFonts w:ascii="Courier New" w:cs="Courier New" w:eastAsia="Courier New" w:hAnsi="Courier New"/>
          <w:sz w:val="17"/>
          <w:szCs w:val="17"/>
          <w:color w:val="auto"/>
        </w:rPr>
      </w:pPr>
    </w:p>
    <w:p>
      <w:pPr>
        <w:ind w:left="3200" w:right="2499" w:hanging="209"/>
        <w:spacing w:after="0" w:line="246" w:lineRule="auto"/>
        <w:tabs>
          <w:tab w:leader="none" w:pos="3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might not be able to integrate our recent acquisitions into our business operations successfully.</w:t>
      </w:r>
    </w:p>
    <w:p>
      <w:pPr>
        <w:spacing w:after="0" w:line="199" w:lineRule="exact"/>
        <w:rPr>
          <w:rFonts w:ascii="Courier New" w:cs="Courier New" w:eastAsia="Courier New" w:hAnsi="Courier New"/>
          <w:sz w:val="17"/>
          <w:szCs w:val="17"/>
          <w:color w:val="auto"/>
        </w:rPr>
      </w:pPr>
    </w:p>
    <w:p>
      <w:pPr>
        <w:ind w:left="3200" w:right="1979" w:hanging="209"/>
        <w:spacing w:after="0" w:line="246" w:lineRule="auto"/>
        <w:tabs>
          <w:tab w:leader="none" w:pos="3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Because of the concentration of our sales to a small number of retail customers, the loss of one or more of our top customers could adversely affect our financial results.</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3"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SUMMARY CONSOLIDATED FINANCIAL DATA</w:t>
      </w:r>
    </w:p>
    <w:p>
      <w:pPr>
        <w:spacing w:after="0" w:line="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ind w:right="3380" w:firstLine="515"/>
        <w:spacing w:after="0" w:line="246" w:lineRule="auto"/>
        <w:rPr>
          <w:sz w:val="20"/>
          <w:szCs w:val="20"/>
          <w:color w:val="auto"/>
        </w:rPr>
      </w:pPr>
      <w:r>
        <w:rPr>
          <w:rFonts w:ascii="Courier New" w:cs="Courier New" w:eastAsia="Courier New" w:hAnsi="Courier New"/>
          <w:sz w:val="17"/>
          <w:szCs w:val="17"/>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202" w:lineRule="exact"/>
        <w:rPr>
          <w:sz w:val="20"/>
          <w:szCs w:val="20"/>
          <w:color w:val="auto"/>
        </w:rPr>
      </w:pPr>
    </w:p>
    <w:p>
      <w:pPr>
        <w:ind w:right="3280" w:firstLine="515"/>
        <w:spacing w:after="0" w:line="246" w:lineRule="auto"/>
        <w:rPr>
          <w:sz w:val="20"/>
          <w:szCs w:val="20"/>
          <w:color w:val="auto"/>
        </w:rPr>
      </w:pPr>
      <w:r>
        <w:rPr>
          <w:rFonts w:ascii="Courier New" w:cs="Courier New" w:eastAsia="Courier New" w:hAnsi="Courier New"/>
          <w:sz w:val="17"/>
          <w:szCs w:val="17"/>
          <w:color w:val="auto"/>
        </w:rPr>
        <w:t>We have restated our financial statements as of and for the nine months ended July 1, 2000. In connection with the Agency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5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gridSpan w:val="4"/>
          </w:tcPr>
          <w:p>
            <w:pPr>
              <w:ind w:left="120"/>
              <w:spacing w:after="0"/>
              <w:rPr>
                <w:sz w:val="20"/>
                <w:szCs w:val="20"/>
                <w:color w:val="auto"/>
              </w:rPr>
            </w:pPr>
            <w:r>
              <w:rPr>
                <w:rFonts w:ascii="Courier New" w:cs="Courier New" w:eastAsia="Courier New" w:hAnsi="Courier New"/>
                <w:sz w:val="17"/>
                <w:szCs w:val="17"/>
                <w:color w:val="auto"/>
                <w:w w:val="98"/>
              </w:rPr>
              <w:t>----------------------</w:t>
            </w:r>
          </w:p>
        </w:tc>
      </w:tr>
      <w:tr>
        <w:trPr>
          <w:trHeight w:val="198"/>
        </w:trPr>
        <w:tc>
          <w:tcPr>
            <w:tcW w:w="5980" w:type="dxa"/>
            <w:vAlign w:val="bottom"/>
          </w:tcPr>
          <w:p>
            <w:pPr>
              <w:spacing w:after="0"/>
              <w:rPr>
                <w:sz w:val="17"/>
                <w:szCs w:val="17"/>
                <w:color w:val="auto"/>
              </w:rPr>
            </w:pPr>
          </w:p>
        </w:tc>
        <w:tc>
          <w:tcPr>
            <w:tcW w:w="3180" w:type="dxa"/>
            <w:vAlign w:val="bottom"/>
            <w:gridSpan w:val="5"/>
          </w:tcPr>
          <w:p>
            <w:pPr>
              <w:jc w:val="right"/>
              <w:ind w:right="314"/>
              <w:spacing w:after="0"/>
              <w:rPr>
                <w:sz w:val="20"/>
                <w:szCs w:val="20"/>
                <w:color w:val="auto"/>
              </w:rPr>
            </w:pPr>
            <w:r>
              <w:rPr>
                <w:rFonts w:ascii="Courier New" w:cs="Courier New" w:eastAsia="Courier New" w:hAnsi="Courier New"/>
                <w:sz w:val="17"/>
                <w:szCs w:val="17"/>
                <w:color w:val="auto"/>
              </w:rPr>
              <w:t>YEAR ENDED SEPTEMBER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JULY 1,</w:t>
            </w:r>
          </w:p>
        </w:tc>
      </w:tr>
      <w:tr>
        <w:trPr>
          <w:trHeight w:val="198"/>
        </w:trPr>
        <w:tc>
          <w:tcPr>
            <w:tcW w:w="59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JULY 3,</w:t>
            </w:r>
          </w:p>
        </w:tc>
        <w:tc>
          <w:tcPr>
            <w:tcW w:w="300" w:type="dxa"/>
            <w:vAlign w:val="bottom"/>
          </w:tcPr>
          <w:p>
            <w:pPr>
              <w:spacing w:after="0"/>
              <w:rPr>
                <w:sz w:val="17"/>
                <w:szCs w:val="17"/>
                <w:color w:val="auto"/>
              </w:rPr>
            </w:pPr>
          </w:p>
        </w:tc>
        <w:tc>
          <w:tcPr>
            <w:tcW w:w="9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1998</w:t>
            </w:r>
          </w:p>
        </w:tc>
        <w:tc>
          <w:tcPr>
            <w:tcW w:w="32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1999</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(RESTATED)</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5980" w:type="dxa"/>
            <w:vAlign w:val="bottom"/>
          </w:tcPr>
          <w:p>
            <w:pPr>
              <w:jc w:val="right"/>
              <w:ind w:right="4354"/>
              <w:spacing w:after="0"/>
              <w:rPr>
                <w:sz w:val="20"/>
                <w:szCs w:val="20"/>
                <w:color w:val="auto"/>
              </w:rPr>
            </w:pPr>
            <w:r>
              <w:rPr>
                <w:rFonts w:ascii="Courier New" w:cs="Courier New" w:eastAsia="Courier New" w:hAnsi="Courier New"/>
                <w:sz w:val="17"/>
                <w:szCs w:val="17"/>
                <w:color w:val="auto"/>
                <w:w w:val="99"/>
              </w:rPr>
              <w:t>OPERATING DATA:</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Sales..................................................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$899.3</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$1,113.0</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$1,648.3</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$1,402.2</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$1,510.6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Cost of sales..........................................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573.6</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715.0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989.1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832.1</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881.4</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Gross profit...........................................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325.7</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398.0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659.2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570.1</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629.2</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Gross commission earned from agency agreement..........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27.5</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26.1</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Contribution expenses under agency agreement...........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7.7</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commission earned from agency agreement............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18.4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Advertising and promotion..............................</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83.9</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104.4</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189.0</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166.6</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186.8</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Selling, general &amp; administrative......................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131.6</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169.9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281.2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209.6</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229.8</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10.2</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23.8</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19.4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Restructuring and other charges........................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15.4</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expense (income), net............................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5.2</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w:t>
            </w:r>
          </w:p>
        </w:tc>
        <w:tc>
          <w:tcPr>
            <w:tcW w:w="32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w:t>
            </w:r>
          </w:p>
        </w:tc>
        <w:tc>
          <w:tcPr>
            <w:tcW w:w="26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(0.8)</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94.8</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94.1</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205.3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212.4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expense.......................................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25.2</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32.2</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59.0</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74.4</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69.6</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61.9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117.0</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146.3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138.0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taxes...........................................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30.1</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47.9</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60.0</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52.6</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extraordinary item.......................</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39.5</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86.3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85.4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Extraordinary loss on early extinguishment of debt, net</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income tax benefit................................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0.7</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5.8</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39.5</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36.3</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63.2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80.5</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85.4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stock dividends..............................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9.8</w:t>
            </w:r>
          </w:p>
        </w:tc>
        <w:tc>
          <w:tcPr>
            <w:tcW w:w="16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9.8</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w:t>
            </w:r>
          </w:p>
        </w:tc>
        <w:tc>
          <w:tcPr>
            <w:tcW w:w="300" w:type="dxa"/>
            <w:vAlign w:val="bottom"/>
          </w:tcPr>
          <w:p>
            <w:pPr>
              <w:spacing w:after="0"/>
              <w:rPr>
                <w:sz w:val="17"/>
                <w:szCs w:val="17"/>
                <w:color w:val="auto"/>
              </w:rPr>
            </w:pP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6.4</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applicable to common shareholders...............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$ 29.7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53.5</w:t>
            </w:r>
          </w:p>
        </w:tc>
        <w:tc>
          <w:tcPr>
            <w:tcW w:w="2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79.0</w:t>
            </w:r>
          </w:p>
        </w:tc>
      </w:tr>
      <w:tr>
        <w:trPr>
          <w:trHeight w:val="198"/>
        </w:trPr>
        <w:tc>
          <w:tcPr>
            <w:tcW w:w="59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4354"/>
              <w:spacing w:after="0"/>
              <w:rPr>
                <w:sz w:val="20"/>
                <w:szCs w:val="20"/>
                <w:color w:val="auto"/>
              </w:rPr>
            </w:pPr>
            <w:r>
              <w:rPr>
                <w:rFonts w:ascii="Courier New" w:cs="Courier New" w:eastAsia="Courier New" w:hAnsi="Courier New"/>
                <w:sz w:val="17"/>
                <w:szCs w:val="17"/>
                <w:color w:val="auto"/>
                <w:w w:val="99"/>
              </w:rPr>
              <w:t>PER SHARE DATA:</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98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per common share before extraordinary</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items................................................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$ 1.60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3.25</w:t>
            </w:r>
          </w:p>
        </w:tc>
        <w:tc>
          <w:tcPr>
            <w:tcW w:w="2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2.83</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Basic earnings per common share........................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$ 1.60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2.93</w:t>
            </w:r>
          </w:p>
        </w:tc>
        <w:tc>
          <w:tcPr>
            <w:tcW w:w="2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2.83</w:t>
            </w:r>
          </w:p>
        </w:tc>
      </w:tr>
      <w:tr>
        <w:trPr>
          <w:trHeight w:val="198"/>
        </w:trPr>
        <w:tc>
          <w:tcPr>
            <w:tcW w:w="5980" w:type="dxa"/>
            <w:vAlign w:val="bottom"/>
          </w:tcPr>
          <w:p>
            <w:pPr>
              <w:ind w:left="220"/>
              <w:spacing w:after="0"/>
              <w:rPr>
                <w:sz w:val="20"/>
                <w:szCs w:val="20"/>
                <w:color w:val="auto"/>
              </w:rPr>
            </w:pPr>
            <w:r>
              <w:rPr>
                <w:rFonts w:ascii="Courier New" w:cs="Courier New" w:eastAsia="Courier New" w:hAnsi="Courier New"/>
                <w:sz w:val="17"/>
                <w:szCs w:val="17"/>
                <w:color w:val="auto"/>
              </w:rPr>
              <w:t>Diluted earnings per common share before extraordinary</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items................................................</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$ 1.35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2.27</w:t>
            </w:r>
          </w:p>
        </w:tc>
        <w:tc>
          <w:tcPr>
            <w:tcW w:w="2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2.66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Diluted earnings per common share......................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$ 1.35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2.08</w:t>
            </w:r>
          </w:p>
        </w:tc>
        <w:tc>
          <w:tcPr>
            <w:tcW w:w="2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2.66</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3220"/>
        <w:spacing w:after="0"/>
        <w:rPr>
          <w:sz w:val="20"/>
          <w:szCs w:val="20"/>
          <w:color w:val="auto"/>
        </w:rPr>
      </w:pPr>
      <w:r>
        <w:rPr>
          <w:rFonts w:ascii="Courier New" w:cs="Courier New" w:eastAsia="Courier New" w:hAnsi="Courier New"/>
          <w:sz w:val="17"/>
          <w:szCs w:val="17"/>
          <w:color w:val="auto"/>
        </w:rPr>
        <w:t>AS OF JULY 1, 2000</w:t>
      </w:r>
    </w:p>
    <w:p>
      <w:pPr>
        <w:spacing w:after="0" w:line="5" w:lineRule="exact"/>
        <w:rPr>
          <w:sz w:val="20"/>
          <w:szCs w:val="20"/>
          <w:color w:val="auto"/>
        </w:rPr>
      </w:pPr>
    </w:p>
    <w:p>
      <w:pPr>
        <w:jc w:val="center"/>
        <w:ind w:left="3220"/>
        <w:spacing w:after="0"/>
        <w:rPr>
          <w:sz w:val="20"/>
          <w:szCs w:val="20"/>
          <w:color w:val="auto"/>
        </w:rPr>
      </w:pPr>
      <w:r>
        <w:rPr>
          <w:rFonts w:ascii="Courier New" w:cs="Courier New" w:eastAsia="Courier New" w:hAnsi="Courier New"/>
          <w:sz w:val="17"/>
          <w:szCs w:val="17"/>
          <w:color w:val="auto"/>
        </w:rPr>
        <w:t>(RESTATED)</w:t>
      </w:r>
    </w:p>
    <w:p>
      <w:pPr>
        <w:spacing w:after="0" w:line="5" w:lineRule="exact"/>
        <w:rPr>
          <w:sz w:val="20"/>
          <w:szCs w:val="20"/>
          <w:color w:val="auto"/>
        </w:rPr>
      </w:pPr>
    </w:p>
    <w:p>
      <w:pPr>
        <w:jc w:val="center"/>
        <w:ind w:left="32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Working capital.............................................</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290.0</w:t>
      </w:r>
    </w:p>
    <w:p>
      <w:pPr>
        <w:sectPr>
          <w:pgSz w:w="11900" w:h="16838" w:orient="portrait"/>
          <w:cols w:equalWidth="0" w:num="2">
            <w:col w:w="6180" w:space="720"/>
            <w:col w:w="4620"/>
          </w:cols>
          <w:pgMar w:left="240" w:top="313" w:right="139" w:bottom="0" w:gutter="0" w:footer="0" w:header="0"/>
          <w:type w:val="continuous"/>
        </w:sectPr>
      </w:pPr>
    </w:p>
    <w:bookmarkStart w:id="9" w:name="page10"/>
    <w:bookmarkEnd w:id="9"/>
    <w:p>
      <w:pPr>
        <w:spacing w:after="0"/>
        <w:tabs>
          <w:tab w:leader="dot" w:pos="6980" w:val="left"/>
        </w:tabs>
        <w:rPr>
          <w:sz w:val="20"/>
          <w:szCs w:val="20"/>
          <w:color w:val="auto"/>
        </w:rPr>
      </w:pPr>
      <w:r>
        <w:rPr>
          <w:rFonts w:ascii="Courier New" w:cs="Courier New" w:eastAsia="Courier New" w:hAnsi="Courier New"/>
          <w:sz w:val="17"/>
          <w:szCs w:val="17"/>
          <w:color w:val="auto"/>
        </w:rPr>
        <w:t>Total assets</w:t>
      </w:r>
      <w:r>
        <w:rPr>
          <w:sz w:val="20"/>
          <w:szCs w:val="20"/>
          <w:color w:val="auto"/>
        </w:rPr>
        <w:tab/>
      </w:r>
      <w:r>
        <w:rPr>
          <w:rFonts w:ascii="Courier New" w:cs="Courier New" w:eastAsia="Courier New" w:hAnsi="Courier New"/>
          <w:sz w:val="17"/>
          <w:szCs w:val="17"/>
          <w:color w:val="auto"/>
        </w:rPr>
        <w:t>1,895.1</w:t>
      </w:r>
    </w:p>
    <w:p>
      <w:pPr>
        <w:spacing w:after="0" w:line="5" w:lineRule="exact"/>
        <w:rPr>
          <w:sz w:val="20"/>
          <w:szCs w:val="20"/>
          <w:color w:val="auto"/>
        </w:rPr>
      </w:pPr>
    </w:p>
    <w:p>
      <w:pPr>
        <w:spacing w:after="0"/>
        <w:tabs>
          <w:tab w:leader="dot" w:pos="7200" w:val="left"/>
        </w:tabs>
        <w:rPr>
          <w:sz w:val="20"/>
          <w:szCs w:val="20"/>
          <w:color w:val="auto"/>
        </w:rPr>
      </w:pPr>
      <w:r>
        <w:rPr>
          <w:rFonts w:ascii="Courier New" w:cs="Courier New" w:eastAsia="Courier New" w:hAnsi="Courier New"/>
          <w:sz w:val="17"/>
          <w:szCs w:val="17"/>
          <w:color w:val="auto"/>
        </w:rPr>
        <w:t>Total debt</w:t>
      </w:r>
      <w:r>
        <w:rPr>
          <w:sz w:val="20"/>
          <w:szCs w:val="20"/>
          <w:color w:val="auto"/>
        </w:rPr>
        <w:tab/>
      </w:r>
      <w:r>
        <w:rPr>
          <w:rFonts w:ascii="Courier New" w:cs="Courier New" w:eastAsia="Courier New" w:hAnsi="Courier New"/>
          <w:sz w:val="16"/>
          <w:szCs w:val="16"/>
          <w:color w:val="auto"/>
        </w:rPr>
        <w:t>886.2</w:t>
      </w:r>
    </w:p>
    <w:p>
      <w:pPr>
        <w:spacing w:after="0" w:line="5" w:lineRule="exact"/>
        <w:rPr>
          <w:sz w:val="20"/>
          <w:szCs w:val="20"/>
          <w:color w:val="auto"/>
        </w:rPr>
      </w:pPr>
    </w:p>
    <w:p>
      <w:pPr>
        <w:spacing w:after="0"/>
        <w:tabs>
          <w:tab w:leader="dot" w:pos="7200" w:val="left"/>
        </w:tabs>
        <w:rPr>
          <w:sz w:val="20"/>
          <w:szCs w:val="20"/>
          <w:color w:val="auto"/>
        </w:rPr>
      </w:pPr>
      <w:r>
        <w:rPr>
          <w:rFonts w:ascii="Courier New" w:cs="Courier New" w:eastAsia="Courier New" w:hAnsi="Courier New"/>
          <w:sz w:val="17"/>
          <w:szCs w:val="17"/>
          <w:color w:val="auto"/>
        </w:rPr>
        <w:t>Total shareholders' equity</w:t>
      </w:r>
      <w:r>
        <w:rPr>
          <w:sz w:val="20"/>
          <w:szCs w:val="20"/>
          <w:color w:val="auto"/>
        </w:rPr>
        <w:tab/>
      </w:r>
      <w:r>
        <w:rPr>
          <w:rFonts w:ascii="Courier New" w:cs="Courier New" w:eastAsia="Courier New" w:hAnsi="Courier New"/>
          <w:sz w:val="16"/>
          <w:szCs w:val="16"/>
          <w:color w:val="auto"/>
        </w:rPr>
        <w:t>494.6</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RISK FACTORS</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OUR SUBSTANTIAL INDEBTEDNESS COULD ADVERSELY AFFECT OUR FINANCIAL HEALTH AND PREVENT US FROM FULFILLING OUR OBLIGATIONS UNDER THE NOTES.</w:t>
      </w:r>
    </w:p>
    <w:p>
      <w:pPr>
        <w:spacing w:after="0" w:line="198"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The following table shows our outstanding indebtedness as of July 1, 2000 (dollars in millions):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23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AT JULY 1, 2000</w:t>
            </w:r>
          </w:p>
        </w:tc>
      </w:tr>
      <w:tr>
        <w:trPr>
          <w:trHeight w:val="198"/>
        </w:trPr>
        <w:tc>
          <w:tcPr>
            <w:tcW w:w="6380" w:type="dxa"/>
            <w:vAlign w:val="bottom"/>
          </w:tcPr>
          <w:p>
            <w:pPr>
              <w:spacing w:after="0"/>
              <w:rPr>
                <w:sz w:val="17"/>
                <w:szCs w:val="17"/>
                <w:color w:val="auto"/>
              </w:rPr>
            </w:pPr>
          </w:p>
        </w:tc>
        <w:tc>
          <w:tcPr>
            <w:tcW w:w="23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23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(RESTATED)</w:t>
            </w:r>
          </w:p>
        </w:tc>
      </w:tr>
      <w:tr>
        <w:trPr>
          <w:trHeight w:val="198"/>
        </w:trPr>
        <w:tc>
          <w:tcPr>
            <w:tcW w:w="638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2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  886.2</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494.6</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Debt to equity ratio........................................</w:t>
            </w:r>
          </w:p>
        </w:tc>
        <w:tc>
          <w:tcPr>
            <w:tcW w:w="2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1.79:1</w:t>
            </w:r>
          </w:p>
        </w:tc>
      </w:tr>
    </w:tbl>
    <w:p>
      <w:pPr>
        <w:spacing w:after="0" w:line="200" w:lineRule="exact"/>
        <w:rPr>
          <w:sz w:val="20"/>
          <w:szCs w:val="20"/>
          <w:color w:val="auto"/>
        </w:rPr>
      </w:pPr>
    </w:p>
    <w:p>
      <w:pPr>
        <w:spacing w:after="0" w:line="201"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This substantial amount of indebtedness could have important consequences to you. For example, it could:</w:t>
      </w:r>
    </w:p>
    <w:p>
      <w:pPr>
        <w:spacing w:after="0" w:line="198" w:lineRule="exact"/>
        <w:rPr>
          <w:sz w:val="20"/>
          <w:szCs w:val="20"/>
          <w:color w:val="auto"/>
        </w:rPr>
      </w:pPr>
    </w:p>
    <w:p>
      <w:pPr>
        <w:ind w:left="720" w:hanging="200"/>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it more difficult for us to satisfy our obligations under the notes;</w:t>
      </w:r>
    </w:p>
    <w:p>
      <w:pPr>
        <w:spacing w:after="0" w:line="203" w:lineRule="exact"/>
        <w:rPr>
          <w:rFonts w:ascii="Courier New" w:cs="Courier New" w:eastAsia="Courier New" w:hAnsi="Courier New"/>
          <w:sz w:val="17"/>
          <w:szCs w:val="17"/>
          <w:color w:val="auto"/>
        </w:rPr>
      </w:pPr>
    </w:p>
    <w:p>
      <w:pPr>
        <w:ind w:left="720" w:right="2599" w:hanging="200"/>
        <w:spacing w:after="0" w:line="247"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our vulnerability to general adverse economic and industry conditions;</w:t>
      </w:r>
    </w:p>
    <w:p>
      <w:pPr>
        <w:spacing w:after="0" w:line="197"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ability to fund future working capital, capital expenditures, research and development costs and other general corporate requirements;</w:t>
      </w:r>
    </w:p>
    <w:p>
      <w:pPr>
        <w:spacing w:after="0" w:line="197"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200"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flexibility in planning for, or reacting to, changes in our business and the industry in which we operate;</w:t>
      </w:r>
    </w:p>
    <w:p>
      <w:pPr>
        <w:spacing w:after="0" w:line="197"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us at a competitive disadvantage compared to our competitors that have less debt;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ability to borrow additional funds.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DESPITE CURRENT INDEBTEDNESS LEVELS, WE MAY STILL BE ABLE TO INCUR SUBSTANTIALLY MORE DEBT. THIS COULD FURTHER EXACERBATE THE RISKS DESCRIBED ABOVE.</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202"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TO SERVICE OUR INDEBTEDNESS, WE WILL REQUIRE A SIGNIFICANT AMOUNT OF CASH, WHICH WE MAY NOT BE ABLE TO GENERATE.</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ectPr>
          <w:pgSz w:w="11900" w:h="16838" w:orient="portrait"/>
          <w:cols w:equalWidth="0" w:num="1">
            <w:col w:w="10219"/>
          </w:cols>
          <w:pgMar w:left="240" w:top="313" w:right="1440" w:bottom="0" w:gutter="0" w:footer="0" w:header="0"/>
        </w:sect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3" w:right="1440" w:bottom="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YOUR RIGHT TO RECEIVE PAYMENTS ON THE NOTES IS JUNIOR TO OUR EXISTING INDEBTEDNESS AND, POSSIBLY, ALL OF OUR FUTURE BORROWINGS.</w:t>
      </w:r>
    </w:p>
    <w:p>
      <w:pPr>
        <w:spacing w:after="0" w:line="198"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notes and the subsidiary guarantees rank behind all of our and the subsidiary guarantors' existing indebtedness and all of our and their future borrowings, except:</w:t>
      </w:r>
    </w:p>
    <w:p>
      <w:pPr>
        <w:spacing w:after="0" w:line="200" w:lineRule="exact"/>
        <w:rPr>
          <w:sz w:val="20"/>
          <w:szCs w:val="20"/>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payables; and</w:t>
      </w:r>
    </w:p>
    <w:p>
      <w:pPr>
        <w:spacing w:after="0" w:line="203"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future indebtedness that expressly provides that it ranks equal with, or is subordinated in right of payment to, the notes and the subsidiary guarantees.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July 1, 2000, the notes and the subsidiary guarantees were subordinated to $510.0 million of senior debt, and approximately $460.8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203"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WE MIGHT NOT BE ABLE TO INTEGRATE OUR RECENT ACQUISITIONS INTO OUR BUSINESS OPERATIONS SUCCESSFULLY.</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BECAUSE OF THE CONCENTRATION OF OUR SALES TO A SMALL NUMBER OF RETAIL CUSTOMERS, THE LOSS OF ONE OR MORE OF OUR TOP CUSTOMERS COULD ADVERSELY AFFECT OUR FINANCIAL RESULTS.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top 10 North American retail customers together accounted for approximately 52% of our fiscal 1999 sales and 41% of our outstanding accounts receivable as of September 30, 1999. Our top three customers, The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ectPr>
          <w:pgSz w:w="11900" w:h="16838" w:orient="portrait"/>
          <w:cols w:equalWidth="0" w:num="1">
            <w:col w:w="10219"/>
          </w:cols>
          <w:pgMar w:left="240" w:top="313" w:right="1440" w:bottom="930"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3" w:right="1440" w:bottom="93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shipments, fees, merchandise condition or related matters. Our inability to collect accounts receivable from any of these customers could also have a material adverse effect.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MONSANTO WERE TO TERMINATE THE MARKETING AGREEMENT FOR CONSUMER ROUNDUP(R)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 WE WOULD LOSE A SUBSTANTIAL SOURCE OF FUTURE EARNINGS.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200" w:lineRule="exact"/>
        <w:rPr>
          <w:sz w:val="20"/>
          <w:szCs w:val="20"/>
          <w:color w:val="auto"/>
        </w:rPr>
      </w:pPr>
    </w:p>
    <w:p>
      <w:pPr>
        <w:ind w:left="720" w:hanging="200"/>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 a cumulative three fiscal year period; or</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more than 5% for each of two consecutive fiscal years.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EXPIRATION OF PATENTS RELATING TO ROUNDUP(R) AND THE SCOTTS TURF BUILDER(R) LINE OF PRODUCTS COULD SUBSTANTIALLY INCREASE OUR COMPETITION IN THE UNITED STATES.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income taxes.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methylene-urea product composition patent, which covers Scotts Turf Builder(R), Scotts Turf Builder(R)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INTERESTS OF THE FORMER MIRACLE-GRO SHAREHOLDERS COULD CONFLICT WITH THOSE OF OUR OTHER SHAREHOLDERS OR THE HOLDERS OF THE NOTES.</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OUR HISTORICAL SEASONALITY COULD IMPAIR OUR ABILITY TO MAKE INTEREST PAYMENTS ON THE NOTES.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Because our products are used primarily in the spring and summer, our business is highly seasonal. For the past two fiscal years, approximately 70% to 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w:t>
      </w:r>
    </w:p>
    <w:p>
      <w:pPr>
        <w:sectPr>
          <w:pgSz w:w="11900" w:h="16838" w:orient="portrait"/>
          <w:cols w:equalWidth="0" w:num="1">
            <w:col w:w="10219"/>
          </w:cols>
          <w:pgMar w:left="240" w:top="313" w:right="1440" w:bottom="93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3" w:right="1440" w:bottom="93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when we are unable to draw on our credit facility, it could adversely affect our ability to make interest payments as required by the notes. Adverse weather conditions could heighten this risk.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ADVERSE WEATHER CONDITIONS COULD ADVERSELY IMPACT OUR FINANCIAL RESULTS.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202"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PUBLIC PERCEPTIONS THAT THE PRODUCTS WE PRODUCE AND MARKET ARE NOT SAFE COULD SIGNIFICANTLY REDUCE OUR SALES.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 by reducing our sales.</w:t>
      </w:r>
    </w:p>
    <w:p>
      <w:pPr>
        <w:spacing w:after="0" w:line="202"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COMPLIANCE WITH ENVIRONMENTAL AND OTHER PUBLIC HEALTH REGULATIONS COULD INCREASE OUR COST OF DOING BUSINESS.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3"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13</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While we are currently unable to predict the ultimate outcome of this matter, as of September 30, 1999, we estimate that the range of possible loss that could be incurred in connection with this matter is $2 million to $10 million.</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OUR SIGNIFICANT INTERNATIONAL OPERATIONS MAKE US MORE SUSCEPTIBLE TO FLUCTUATIONS IN CURRENCY EXCHANGE RATES AND TO THE COSTS OF INTERNATIONAL REGULATION.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202" w:lineRule="exact"/>
        <w:rPr>
          <w:sz w:val="20"/>
          <w:szCs w:val="20"/>
          <w:color w:val="auto"/>
        </w:rPr>
      </w:pPr>
    </w:p>
    <w:p>
      <w:pPr>
        <w:ind w:left="720" w:hanging="200"/>
        <w:spacing w:after="0"/>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fluctuations in currency exchange rates;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conversion of foreign currencies into U.S. dollars;</w:t>
      </w:r>
    </w:p>
    <w:p>
      <w:pPr>
        <w:spacing w:after="0" w:line="203"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remittance of dividends and other payments by foreign subsidiaries;</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costs of compliance with local regulations; and</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historically, higher rates of inflation than in the United States.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costs related to our international operations could adversely affect our operations and financial results in the future.</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YOUR RIGHT TO RECEIVE PAYMENTS ON THE NOTES COULD BE ADVERSELY AFFECTED IF ANY OF OUR NON-GUARANTOR SUBSIDIARIES DECLARES BANKRUPTCY, LIQUIDATES OR REORGANIZES.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 our consolidated revenues in the year ended September 30, 1999 and held approximately 29.7% of our consolidated assets as of September 30, 1999.</w:t>
      </w:r>
    </w:p>
    <w:p>
      <w:pPr>
        <w:sectPr>
          <w:pgSz w:w="11900" w:h="16838" w:orient="portrait"/>
          <w:cols w:equalWidth="0" w:num="1">
            <w:col w:w="10219"/>
          </w:cols>
          <w:pgMar w:left="240" w:top="313" w:right="1440" w:bottom="930"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3" w:right="1440" w:bottom="93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WE COULD EXPERIENCE DIFFICULTIES WITH OUR IMPLEMENTATION OF SAP SOFTWARE FOR ENTERPRISE RESOURCE PLANNING THAT COULD ADVERSELY AFFECT OUR OPERATIONS.</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implementation of SAP software for enterprise resource planning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202"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WE MAY NOT HAVE THE ABILITY TO RAISE THE FUNDS NECESSARY TO FINANCE THE CHANGE OF CONTROL OFFER REQUIRED BY THE INDENTURE.</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FEDERAL AND STATE STATUTES ALLOW COURTS, UNDER SPECIFIC CIRCUMSTANCES, TO VOID THE NOTES AND THE GUARANTEES AND REQUIRE NOTEHOLDERS TO RETURN PAYMENTS RECEIVED FROM SCOTTS OR THE SUBSIDIARY GUARANTORS.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203" w:lineRule="exact"/>
        <w:rPr>
          <w:sz w:val="20"/>
          <w:szCs w:val="20"/>
          <w:color w:val="auto"/>
        </w:rPr>
      </w:pPr>
    </w:p>
    <w:p>
      <w:pPr>
        <w:ind w:left="720" w:right="2279" w:hanging="200"/>
        <w:spacing w:after="0" w:line="247"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 insolvent or rendered insolvent by reason of the incurrence of the indebtedness; or</w:t>
      </w:r>
    </w:p>
    <w:p>
      <w:pPr>
        <w:spacing w:after="0" w:line="197"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 engaged in a business or transaction for which Scotts' or the subsidiary guarantor's remaining assets constituted unreasonably small capital; or</w:t>
      </w:r>
    </w:p>
    <w:p>
      <w:pPr>
        <w:spacing w:after="0" w:line="199" w:lineRule="exact"/>
        <w:rPr>
          <w:rFonts w:ascii="Courier New" w:cs="Courier New" w:eastAsia="Courier New" w:hAnsi="Courier New"/>
          <w:sz w:val="17"/>
          <w:szCs w:val="17"/>
          <w:color w:val="auto"/>
        </w:rPr>
      </w:pPr>
    </w:p>
    <w:p>
      <w:pPr>
        <w:ind w:left="720" w:right="2499" w:hanging="200"/>
        <w:spacing w:after="0" w:line="247"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intended to incur, or believed that it would incur, debts beyond its ability to pay as they mature.</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200" w:lineRule="exact"/>
        <w:rPr>
          <w:sz w:val="20"/>
          <w:szCs w:val="20"/>
          <w:color w:val="auto"/>
        </w:rPr>
      </w:pPr>
    </w:p>
    <w:p>
      <w:pPr>
        <w:ind w:left="720" w:right="1979" w:hanging="200"/>
        <w:spacing w:after="0" w:line="247" w:lineRule="auto"/>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its debts, including contingent liabilities, were greater than the fair salable value of all of its assets; or</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could not pay its debts as they become due.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CANNOT BE SURE THAT AN ACTIVE TRADING MARKET WILL DEVELOP FOR THE NOTES.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w:t>
      </w:r>
    </w:p>
    <w:p>
      <w:pPr>
        <w:sectPr>
          <w:pgSz w:w="11900" w:h="16838" w:orient="portrait"/>
          <w:cols w:equalWidth="0" w:num="1">
            <w:col w:w="10219"/>
          </w:cols>
          <w:pgMar w:left="240" w:top="313" w:right="1440" w:bottom="336"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3" w:right="1440" w:bottom="336"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RECENT DEVELOPMENTS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OF NORTH AMERICAN PROFESSIONAL TURF BUSINESS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May 31, 2000, Scotts sold its North American Professional Turf business to The Andersons, Inc. and The Nu-Gro Corporation. The transaction resulted in a gain of approximately $4.6 million in fiscal 2000.</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In connection with the transaction, Scotts will retain the professional horticulture and the turf seed segments of its North American Professional Business Group. In addition to their ongoing value, these segments are strategically important to Scotts' efforts to create and market value-added seeds and plants through biotechnology.</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Professional Turf sales agreement, The Andersons acquired the rights in the U.S. only to the Pro-Turf(R), Contec(TM), AccuPro(TM) and other professional turf brands and their associated distribution network and product inventories. Nu-Gro acquired the same brands and their associated distribution network and inventories in Canada. The Scotts(R) brand name is not part of this transaction, other than for certain transitional uses.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transaction also includes a supply agreement under which Scotts will use its proprietary manufacturing processes to produce a value-added professional turf products for The Andersons and Nu-Gro for the U.S. and Canada, 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RECALL OF ORTHO AND ROUNDUP(R) PULL 'N SPRAY PRODUCTS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the spring of fiscal 2000, we became aware of consumer complaints relating to the dispensing system for two pesticide products, one of which is marketed through the agency agreement with Monsanto. Scotts has brought the situation to the attention of the appropriate governmental regulatory agencies and its retail partners and initiated the following courses of action:</w:t>
      </w:r>
    </w:p>
    <w:p>
      <w:pPr>
        <w:spacing w:after="0" w:line="201" w:lineRule="exact"/>
        <w:rPr>
          <w:sz w:val="20"/>
          <w:szCs w:val="20"/>
          <w:color w:val="auto"/>
        </w:rPr>
      </w:pPr>
    </w:p>
    <w:p>
      <w:pPr>
        <w:ind w:left="720" w:right="2279" w:hanging="200"/>
        <w:spacing w:after="0" w:line="247" w:lineRule="auto"/>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relabeling products currently in inventory and at retailers to enhance instructions on the proper use of the dispensing system;</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making adjustments to the dispensing system for those products; and</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implementing voluntary return programs.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connection with these courses of action, we have and will continue to incur a variety of costs, including costs associated with product returns, costs to recondition and rework existing and returned product, and write-offs of unusable materials. Through September 30, 2000, the Company had incurred $1.8 million associated with this effort related to Ortho Pull 'N Spray products. In addition, costs associated with the voluntary recall effort for Roundup products were approximately $5.8 million during fiscal 2000. Because we do not have an ownership interest in the Roundup business, these costs were not reflected in our financial statements for that period. Rather, since our commission earned under the agreement is based on the earnings of the Roundup business, the commission we earned under the Roundup(R) agency agreement was reduced by approximately $2.9 million in fiscal 2000 for these costs.</w:t>
      </w:r>
    </w:p>
    <w:p>
      <w:pPr>
        <w:spacing w:after="0" w:line="20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RATIO OF EARNINGS TO FIXED CHARGES</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The following table sets forth our ratio of earnings to fixed charges for each of the periods shown: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80" w:type="dxa"/>
            <w:vAlign w:val="bottom"/>
            <w:gridSpan w:val="3"/>
          </w:tcPr>
          <w:p>
            <w:pPr>
              <w:jc w:val="center"/>
              <w:ind w:right="14"/>
              <w:spacing w:after="0"/>
              <w:rPr>
                <w:sz w:val="20"/>
                <w:szCs w:val="20"/>
                <w:color w:val="auto"/>
              </w:rPr>
            </w:pPr>
            <w:r>
              <w:rPr>
                <w:rFonts w:ascii="Courier New" w:cs="Courier New" w:eastAsia="Courier New" w:hAnsi="Courier New"/>
                <w:sz w:val="17"/>
                <w:szCs w:val="17"/>
                <w:color w:val="auto"/>
              </w:rPr>
              <w:t>YEAR ENDED SEPTEMBER 30,</w:t>
            </w: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8"/>
        </w:trPr>
        <w:tc>
          <w:tcPr>
            <w:tcW w:w="41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60" w:type="dxa"/>
            <w:vAlign w:val="bottom"/>
          </w:tcPr>
          <w:p>
            <w:pPr>
              <w:ind w:left="200"/>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412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w w:val="97"/>
              </w:rPr>
              <w:t>1997</w:t>
            </w: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1998</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1999</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JULY 1, 2000</w:t>
            </w:r>
          </w:p>
        </w:tc>
      </w:tr>
      <w:tr>
        <w:trPr>
          <w:trHeight w:val="198"/>
        </w:trPr>
        <w:tc>
          <w:tcPr>
            <w:tcW w:w="412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2.2x</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1.0x</w:t>
            </w: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w w:val="97"/>
              </w:rPr>
              <w:t>3.3x</w:t>
            </w: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2.6x</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2.3x</w:t>
            </w:r>
          </w:p>
        </w:tc>
        <w:tc>
          <w:tcPr>
            <w:tcW w:w="1960" w:type="dxa"/>
            <w:vAlign w:val="bottom"/>
          </w:tcPr>
          <w:p>
            <w:pPr>
              <w:ind w:left="920"/>
              <w:spacing w:after="0"/>
              <w:rPr>
                <w:sz w:val="20"/>
                <w:szCs w:val="20"/>
                <w:color w:val="auto"/>
              </w:rPr>
            </w:pPr>
            <w:r>
              <w:rPr>
                <w:rFonts w:ascii="Courier New" w:cs="Courier New" w:eastAsia="Courier New" w:hAnsi="Courier New"/>
                <w:sz w:val="17"/>
                <w:szCs w:val="17"/>
                <w:color w:val="auto"/>
              </w:rPr>
              <w:t>2.7x</w:t>
            </w:r>
          </w:p>
        </w:tc>
      </w:tr>
    </w:tbl>
    <w:p>
      <w:pPr>
        <w:spacing w:after="0" w:line="200" w:lineRule="exact"/>
        <w:rPr>
          <w:sz w:val="20"/>
          <w:szCs w:val="20"/>
          <w:color w:val="auto"/>
        </w:rPr>
      </w:pPr>
    </w:p>
    <w:p>
      <w:pPr>
        <w:sectPr>
          <w:pgSz w:w="11900" w:h="16838" w:orient="portrait"/>
          <w:cols w:equalWidth="0" w:num="1">
            <w:col w:w="10219"/>
          </w:cols>
          <w:pgMar w:left="240" w:top="313" w:right="1440" w:bottom="534"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3" w:right="1440" w:bottom="534"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16</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will not receive any proceeds from the issuance of these notes. The gross proceeds from the offering of the original notes, together with borrowings under our credit facility of approximately $100 million, were used:</w:t>
      </w:r>
    </w:p>
    <w:p>
      <w:pPr>
        <w:spacing w:after="0" w:line="200" w:lineRule="exact"/>
        <w:rPr>
          <w:sz w:val="20"/>
          <w:szCs w:val="20"/>
          <w:color w:val="auto"/>
        </w:rPr>
      </w:pPr>
    </w:p>
    <w:p>
      <w:pPr>
        <w:ind w:left="720" w:right="2599" w:hanging="200"/>
        <w:spacing w:after="0" w:line="246" w:lineRule="auto"/>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fund the payment of $300.0 million to Monsanto for the Ortho acquisition, excluding the amount of any normalized working capital adjustment;</w:t>
      </w:r>
    </w:p>
    <w:p>
      <w:pPr>
        <w:spacing w:after="0" w:line="199" w:lineRule="exact"/>
        <w:rPr>
          <w:rFonts w:ascii="Courier New" w:cs="Courier New" w:eastAsia="Courier New" w:hAnsi="Courier New"/>
          <w:sz w:val="17"/>
          <w:szCs w:val="17"/>
          <w:color w:val="auto"/>
        </w:rPr>
      </w:pPr>
    </w:p>
    <w:p>
      <w:pPr>
        <w:jc w:val="both"/>
        <w:ind w:left="720" w:right="2179" w:hanging="200"/>
        <w:spacing w:after="0" w:line="246" w:lineRule="auto"/>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repurchase our then outstanding 9 7/8% Senior Subordinated Notes Due 2004 for $108.7 million, including tender premium and accrued interest; and</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pay fees and expenses of approximately $21 million in connection with our recent acquisitions and the offering of the original notes.</w:t>
      </w:r>
    </w:p>
    <w:p>
      <w:pPr>
        <w:spacing w:after="0" w:line="19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CAPITALIZATION</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table sets forth the capitalization of Scotts at July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w:t>
      </w:r>
    </w:p>
    <w:p>
      <w:pPr>
        <w:spacing w:after="0" w:line="200" w:lineRule="exact"/>
        <w:rPr>
          <w:sz w:val="20"/>
          <w:szCs w:val="20"/>
          <w:color w:val="auto"/>
        </w:rPr>
      </w:pPr>
    </w:p>
    <w:p>
      <w:pPr>
        <w:spacing w:after="0" w:line="399"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JULY 1, 2000</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(IN MILLIONS)</w:t>
      </w:r>
    </w:p>
    <w:p>
      <w:pPr>
        <w:spacing w:after="0" w:line="5"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(RESTATED)</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(including current portion):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Credit facility:</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Revolving credit facility..............................</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 loans.............................................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8.625% senior subordinated notes..........................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debt................................................</w:t>
      </w: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Total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 equity........................................</w:t>
      </w: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Total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both"/>
        <w:spacing w:after="0"/>
        <w:tabs>
          <w:tab w:leader="none" w:pos="380" w:val="left"/>
        </w:tabs>
        <w:rPr>
          <w:sz w:val="20"/>
          <w:szCs w:val="20"/>
          <w:color w:val="auto"/>
        </w:rPr>
      </w:pPr>
      <w:r>
        <w:rPr>
          <w:rFonts w:ascii="Courier New" w:cs="Courier New" w:eastAsia="Courier New" w:hAnsi="Courier New"/>
          <w:sz w:val="17"/>
          <w:szCs w:val="17"/>
          <w:color w:val="auto"/>
        </w:rPr>
        <w:t>$</w:t>
        <w:tab/>
        <w:t>38.4</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471.6</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318.9</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57.3</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886.2</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494.6</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$1,380.8</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180" w:space="420"/>
            <w:col w:w="3619"/>
          </w:cols>
          <w:pgMar w:left="240" w:top="313" w:right="1440" w:bottom="1440" w:gutter="0" w:footer="0" w:header="0"/>
          <w:type w:val="continuous"/>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3"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17</w:t>
      </w:r>
    </w:p>
    <w:p>
      <w:pPr>
        <w:spacing w:after="0" w:line="203"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SELECTED CONSOLIDATED FINANCIAL DATA</w:t>
      </w:r>
    </w:p>
    <w:p>
      <w:pPr>
        <w:spacing w:after="0" w:line="203" w:lineRule="exact"/>
        <w:rPr>
          <w:sz w:val="20"/>
          <w:szCs w:val="20"/>
          <w:color w:val="auto"/>
        </w:rPr>
      </w:pPr>
    </w:p>
    <w:p>
      <w:pPr>
        <w:ind w:right="3300" w:firstLine="515"/>
        <w:spacing w:after="0" w:line="246" w:lineRule="auto"/>
        <w:rPr>
          <w:sz w:val="20"/>
          <w:szCs w:val="20"/>
          <w:color w:val="auto"/>
        </w:rPr>
      </w:pPr>
      <w:r>
        <w:rPr>
          <w:rFonts w:ascii="Courier New" w:cs="Courier New" w:eastAsia="Courier New" w:hAnsi="Courier New"/>
          <w:sz w:val="17"/>
          <w:szCs w:val="17"/>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202" w:lineRule="exact"/>
        <w:rPr>
          <w:sz w:val="20"/>
          <w:szCs w:val="20"/>
          <w:color w:val="auto"/>
        </w:rPr>
      </w:pPr>
    </w:p>
    <w:p>
      <w:pPr>
        <w:ind w:right="3200" w:firstLine="515"/>
        <w:spacing w:after="0" w:line="246" w:lineRule="auto"/>
        <w:rPr>
          <w:sz w:val="20"/>
          <w:szCs w:val="20"/>
          <w:color w:val="auto"/>
        </w:rPr>
      </w:pPr>
      <w:r>
        <w:rPr>
          <w:rFonts w:ascii="Courier New" w:cs="Courier New" w:eastAsia="Courier New" w:hAnsi="Courier New"/>
          <w:sz w:val="17"/>
          <w:szCs w:val="17"/>
          <w:color w:val="auto"/>
        </w:rPr>
        <w:t>We have restated our financial statements as of and for the nine months ended July 1, 2000. In connection with the Agency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20" w:type="dxa"/>
            <w:vAlign w:val="bottom"/>
            <w:gridSpan w:val="4"/>
          </w:tcPr>
          <w:p>
            <w:pPr>
              <w:jc w:val="right"/>
              <w:ind w:right="74"/>
              <w:spacing w:after="0"/>
              <w:rPr>
                <w:sz w:val="20"/>
                <w:szCs w:val="20"/>
                <w:color w:val="auto"/>
              </w:rPr>
            </w:pPr>
            <w:r>
              <w:rPr>
                <w:rFonts w:ascii="Courier New" w:cs="Courier New" w:eastAsia="Courier New" w:hAnsi="Courier New"/>
                <w:sz w:val="17"/>
                <w:szCs w:val="17"/>
                <w:color w:val="auto"/>
              </w:rPr>
              <w:t>YEAR ENDED SEPTEMBER 30,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JULY 1,</w:t>
            </w:r>
          </w:p>
        </w:tc>
      </w:tr>
      <w:tr>
        <w:trPr>
          <w:trHeight w:val="198"/>
        </w:trPr>
        <w:tc>
          <w:tcPr>
            <w:tcW w:w="40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JULY 3,</w:t>
            </w:r>
          </w:p>
        </w:tc>
        <w:tc>
          <w:tcPr>
            <w:tcW w:w="30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1995</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1998</w:t>
            </w:r>
          </w:p>
        </w:tc>
        <w:tc>
          <w:tcPr>
            <w:tcW w:w="32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1999</w:t>
            </w: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(RESTATED)</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(DOLLARS</w:t>
            </w:r>
          </w:p>
        </w:tc>
        <w:tc>
          <w:tcPr>
            <w:tcW w:w="1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 MILLIONS)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6"/>
        </w:trPr>
        <w:tc>
          <w:tcPr>
            <w:tcW w:w="402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Sales...............................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$731.1</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$750.4</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$899.3</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$1,113.0</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$1,648.3</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$1,402.2</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$1,510.6</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Cost of sales.......................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498.8</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512.4</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573.6</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715.0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989.1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832.1</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881.4</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Gross profit......................</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232.3</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238.0</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325.7</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398.0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659.2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570.1</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629.2</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Gross commission earned from agency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agreement.........................</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27.5</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26.1</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Contribution expenses under agency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agreement.........................</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7.7</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Net commission earned from agency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agreement.........................</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18.4</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Advertising and promotion...........</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64.5</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69.2</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83.9</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104.4</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189.0</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166.6</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186.8</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Selling, general and</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administrative....................</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105.3</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116.6</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131.6</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169.9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281.2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209.6</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229.8</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goodwill and other</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intangibles.......................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6.0</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8.8</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10.2</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23.8</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19.4</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Restructuring and other charges.....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17.7</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15.4</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Other expense (income), net.........</w:t>
            </w:r>
          </w:p>
        </w:tc>
        <w:tc>
          <w:tcPr>
            <w:tcW w:w="10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(4.4)</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5.2</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w:t>
            </w:r>
          </w:p>
        </w:tc>
        <w:tc>
          <w:tcPr>
            <w:tcW w:w="32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w:t>
            </w:r>
          </w:p>
        </w:tc>
        <w:tc>
          <w:tcPr>
            <w:tcW w:w="26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Income from operations..............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60.9</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26.3</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94.8</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94.1</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205.3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212.4</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24.6</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25.0</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25.2</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32.2</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59.0</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74.4</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income taxes..........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36.3</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69.6</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61.9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117.0</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146.3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138.0</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Income taxes........................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13.9</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30.1</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47.9</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60.0</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52.6</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Net income (loss) before</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extraordinary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item..............................</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22.4</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39.5</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37.0</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69.1</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86.3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85.4</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Extraordinary loss on early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extinguishment to debt, net.......</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0.7</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5.8</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Net income (loss)...................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$ 18.8</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 (2.5)</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$ 39.5</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36.3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63.2</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80.5</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85.4</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3.6</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  9.8</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9.8</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spacing w:after="0"/>
              <w:rPr>
                <w:sz w:val="17"/>
                <w:szCs w:val="17"/>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w:t>
            </w:r>
          </w:p>
        </w:tc>
        <w:tc>
          <w:tcPr>
            <w:tcW w:w="3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6.4</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Income (loss) applicable to common</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shareholders......................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$ 18.8</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$(12.3)</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$ 29.7</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53.5</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79.0</w:t>
            </w:r>
          </w:p>
        </w:tc>
      </w:tr>
      <w:tr>
        <w:trPr>
          <w:trHeight w:val="198"/>
        </w:trPr>
        <w:tc>
          <w:tcPr>
            <w:tcW w:w="402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20" w:type="dxa"/>
            <w:vAlign w:val="bottom"/>
          </w:tcPr>
          <w:p>
            <w:pPr>
              <w:spacing w:after="0"/>
              <w:rPr>
                <w:sz w:val="20"/>
                <w:szCs w:val="20"/>
                <w:color w:val="auto"/>
              </w:rPr>
            </w:pPr>
            <w:r>
              <w:rPr>
                <w:rFonts w:ascii="Courier New" w:cs="Courier New" w:eastAsia="Courier New" w:hAnsi="Courier New"/>
                <w:sz w:val="17"/>
                <w:szCs w:val="17"/>
                <w:color w:val="auto"/>
              </w:rPr>
              <w:t>PER SHARE DATA:</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(loss) per common</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share before extraordinary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items.............................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$ 1.01</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$(0.65)</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$ 1.60</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3.25</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2.83</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(loss) per common</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share.............................</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1.01</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(0.65)</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1.60</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1.42</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2.93</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2.83</w:t>
            </w:r>
          </w:p>
        </w:tc>
      </w:tr>
      <w:tr>
        <w:trPr>
          <w:trHeight w:val="198"/>
        </w:trPr>
        <w:tc>
          <w:tcPr>
            <w:tcW w:w="4020" w:type="dxa"/>
            <w:vAlign w:val="bottom"/>
          </w:tcPr>
          <w:p>
            <w:pPr>
              <w:ind w:left="220"/>
              <w:spacing w:after="0"/>
              <w:rPr>
                <w:sz w:val="20"/>
                <w:szCs w:val="20"/>
                <w:color w:val="auto"/>
              </w:rPr>
            </w:pPr>
            <w:r>
              <w:rPr>
                <w:rFonts w:ascii="Courier New" w:cs="Courier New" w:eastAsia="Courier New" w:hAnsi="Courier New"/>
                <w:sz w:val="17"/>
                <w:szCs w:val="17"/>
                <w:color w:val="auto"/>
              </w:rPr>
              <w:t>Diluted earnings (loss) per common</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share before extraordinary</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020" w:type="dxa"/>
            <w:vAlign w:val="bottom"/>
          </w:tcPr>
          <w:p>
            <w:pPr>
              <w:ind w:left="420"/>
              <w:spacing w:after="0"/>
              <w:rPr>
                <w:sz w:val="20"/>
                <w:szCs w:val="20"/>
                <w:color w:val="auto"/>
              </w:rPr>
            </w:pPr>
            <w:r>
              <w:rPr>
                <w:rFonts w:ascii="Courier New" w:cs="Courier New" w:eastAsia="Courier New" w:hAnsi="Courier New"/>
                <w:sz w:val="17"/>
                <w:szCs w:val="17"/>
                <w:color w:val="auto"/>
              </w:rPr>
              <w:t>items.............................</w:t>
            </w:r>
          </w:p>
        </w:tc>
        <w:tc>
          <w:tcPr>
            <w:tcW w:w="10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0.99</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(0.65)</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1.35</w:t>
            </w:r>
          </w:p>
        </w:tc>
        <w:tc>
          <w:tcPr>
            <w:tcW w:w="2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1.22</w:t>
            </w:r>
          </w:p>
        </w:tc>
        <w:tc>
          <w:tcPr>
            <w:tcW w:w="320" w:type="dxa"/>
            <w:vAlign w:val="bottom"/>
          </w:tcPr>
          <w:p>
            <w:pPr>
              <w:spacing w:after="0"/>
              <w:rPr>
                <w:sz w:val="17"/>
                <w:szCs w:val="17"/>
                <w:color w:val="auto"/>
              </w:rPr>
            </w:pPr>
          </w:p>
        </w:tc>
        <w:tc>
          <w:tcPr>
            <w:tcW w:w="8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2.27</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2.66</w:t>
            </w:r>
          </w:p>
        </w:tc>
      </w:tr>
    </w:tbl>
    <w:p>
      <w:pPr>
        <w:sectPr>
          <w:pgSz w:w="11900" w:h="16838" w:orient="portrait"/>
          <w:cols w:equalWidth="0" w:num="1">
            <w:col w:w="11440"/>
          </w:cols>
          <w:pgMar w:left="240" w:top="313" w:right="21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Diluted earnings (loss) per common</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8"/>
        </w:trPr>
        <w:tc>
          <w:tcPr>
            <w:tcW w:w="396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0.99</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(0.65)</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1.35</w:t>
            </w:r>
          </w:p>
        </w:tc>
        <w:tc>
          <w:tcPr>
            <w:tcW w:w="4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w:t>
            </w:r>
          </w:p>
        </w:tc>
        <w:tc>
          <w:tcPr>
            <w:tcW w:w="2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2.66</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BALANCE SHEET DATA (END OF PERIOD):</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jc w:val="right"/>
              <w:spacing w:after="0"/>
              <w:rPr>
                <w:sz w:val="20"/>
                <w:szCs w:val="20"/>
                <w:color w:val="auto"/>
              </w:rPr>
            </w:pPr>
            <w:r>
              <w:rPr>
                <w:rFonts w:ascii="Courier New" w:cs="Courier New" w:eastAsia="Courier New" w:hAnsi="Courier New"/>
                <w:sz w:val="17"/>
                <w:szCs w:val="17"/>
                <w:color w:val="auto"/>
              </w:rPr>
              <w:t>Working capital.....................</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$227.0</w:t>
            </w:r>
          </w:p>
        </w:tc>
        <w:tc>
          <w:tcPr>
            <w:tcW w:w="9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$181.1</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$146.5</w:t>
            </w:r>
          </w:p>
        </w:tc>
        <w:tc>
          <w:tcPr>
            <w:tcW w:w="4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135.3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274.8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301.8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290.0</w:t>
            </w:r>
          </w:p>
        </w:tc>
      </w:tr>
      <w:tr>
        <w:trPr>
          <w:trHeight w:val="198"/>
        </w:trPr>
        <w:tc>
          <w:tcPr>
            <w:tcW w:w="3960" w:type="dxa"/>
            <w:vAlign w:val="bottom"/>
          </w:tcPr>
          <w:p>
            <w:pPr>
              <w:jc w:val="right"/>
              <w:spacing w:after="0"/>
              <w:rPr>
                <w:sz w:val="20"/>
                <w:szCs w:val="20"/>
                <w:color w:val="auto"/>
              </w:rPr>
            </w:pPr>
            <w:r>
              <w:rPr>
                <w:rFonts w:ascii="Courier New" w:cs="Courier New" w:eastAsia="Courier New" w:hAnsi="Courier New"/>
                <w:sz w:val="17"/>
                <w:szCs w:val="17"/>
                <w:color w:val="auto"/>
              </w:rPr>
              <w:t>Total assets........................</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809.0</w:t>
            </w:r>
          </w:p>
        </w:tc>
        <w:tc>
          <w:tcPr>
            <w:tcW w:w="9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731.7</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787.6</w:t>
            </w: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1,035.2</w:t>
            </w:r>
          </w:p>
        </w:tc>
        <w:tc>
          <w:tcPr>
            <w:tcW w:w="2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1,769.6</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1,771.8</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1,895.1</w:t>
            </w:r>
          </w:p>
        </w:tc>
      </w:tr>
      <w:tr>
        <w:trPr>
          <w:trHeight w:val="198"/>
        </w:trPr>
        <w:tc>
          <w:tcPr>
            <w:tcW w:w="3960" w:type="dxa"/>
            <w:vAlign w:val="bottom"/>
          </w:tcPr>
          <w:p>
            <w:pPr>
              <w:jc w:val="right"/>
              <w:spacing w:after="0"/>
              <w:rPr>
                <w:sz w:val="20"/>
                <w:szCs w:val="20"/>
                <w:color w:val="auto"/>
              </w:rPr>
            </w:pPr>
            <w:r>
              <w:rPr>
                <w:rFonts w:ascii="Courier New" w:cs="Courier New" w:eastAsia="Courier New" w:hAnsi="Courier New"/>
                <w:sz w:val="17"/>
                <w:szCs w:val="17"/>
                <w:color w:val="auto"/>
              </w:rPr>
              <w:t>Total debt..........................</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272.5</w:t>
            </w:r>
          </w:p>
        </w:tc>
        <w:tc>
          <w:tcPr>
            <w:tcW w:w="9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225.3</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221.3</w:t>
            </w:r>
          </w:p>
        </w:tc>
        <w:tc>
          <w:tcPr>
            <w:tcW w:w="4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372.5</w:t>
            </w:r>
          </w:p>
        </w:tc>
        <w:tc>
          <w:tcPr>
            <w:tcW w:w="2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950.0</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896.8</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886.2</w:t>
            </w:r>
          </w:p>
        </w:tc>
      </w:tr>
      <w:tr>
        <w:trPr>
          <w:trHeight w:val="198"/>
        </w:trPr>
        <w:tc>
          <w:tcPr>
            <w:tcW w:w="3960" w:type="dxa"/>
            <w:vAlign w:val="bottom"/>
          </w:tcPr>
          <w:p>
            <w:pPr>
              <w:jc w:val="right"/>
              <w:spacing w:after="0"/>
              <w:rPr>
                <w:sz w:val="20"/>
                <w:szCs w:val="20"/>
                <w:color w:val="auto"/>
              </w:rPr>
            </w:pPr>
            <w:r>
              <w:rPr>
                <w:rFonts w:ascii="Courier New" w:cs="Courier New" w:eastAsia="Courier New" w:hAnsi="Courier New"/>
                <w:sz w:val="17"/>
                <w:szCs w:val="17"/>
                <w:color w:val="auto"/>
              </w:rPr>
              <w:t>Shareholders' equity................</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380.8</w:t>
            </w:r>
          </w:p>
        </w:tc>
        <w:tc>
          <w:tcPr>
            <w:tcW w:w="9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364.3</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389.2</w:t>
            </w:r>
          </w:p>
        </w:tc>
        <w:tc>
          <w:tcPr>
            <w:tcW w:w="4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403.9</w:t>
            </w:r>
          </w:p>
        </w:tc>
        <w:tc>
          <w:tcPr>
            <w:tcW w:w="2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443.3</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465.9</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494.6</w:t>
            </w:r>
          </w:p>
        </w:tc>
      </w:tr>
      <w:tr>
        <w:trPr>
          <w:trHeight w:val="594"/>
        </w:trPr>
        <w:tc>
          <w:tcPr>
            <w:tcW w:w="39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7160" w:type="dxa"/>
            <w:vAlign w:val="bottom"/>
            <w:gridSpan w:val="5"/>
          </w:tcPr>
          <w:p>
            <w:pPr>
              <w:spacing w:after="0"/>
              <w:rPr>
                <w:sz w:val="20"/>
                <w:szCs w:val="20"/>
                <w:color w:val="auto"/>
              </w:rPr>
            </w:pPr>
            <w:r>
              <w:rPr>
                <w:rFonts w:ascii="Courier New" w:cs="Courier New" w:eastAsia="Courier New" w:hAnsi="Courier New"/>
                <w:sz w:val="17"/>
                <w:szCs w:val="17"/>
                <w:color w:val="auto"/>
              </w:rPr>
              <w:t>NOTE: Prior year presentations have been changed to conform to fiscal</w:t>
            </w:r>
          </w:p>
        </w:tc>
        <w:tc>
          <w:tcPr>
            <w:tcW w:w="7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740" w:type="dxa"/>
            <w:vAlign w:val="bottom"/>
            <w:gridSpan w:val="4"/>
          </w:tcPr>
          <w:p>
            <w:pPr>
              <w:jc w:val="right"/>
              <w:ind w:right="474"/>
              <w:spacing w:after="0"/>
              <w:rPr>
                <w:sz w:val="20"/>
                <w:szCs w:val="20"/>
                <w:color w:val="auto"/>
              </w:rPr>
            </w:pPr>
            <w:r>
              <w:rPr>
                <w:rFonts w:ascii="Courier New" w:cs="Courier New" w:eastAsia="Courier New" w:hAnsi="Courier New"/>
                <w:sz w:val="17"/>
                <w:szCs w:val="17"/>
                <w:color w:val="auto"/>
              </w:rPr>
              <w:t>presentation; these changes did not impact net income.</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96"/>
        </w:trPr>
        <w:tc>
          <w:tcPr>
            <w:tcW w:w="3960" w:type="dxa"/>
            <w:vAlign w:val="bottom"/>
          </w:tcPr>
          <w:p>
            <w:pPr>
              <w:spacing w:after="0"/>
              <w:rPr>
                <w:sz w:val="24"/>
                <w:szCs w:val="24"/>
                <w:color w:val="auto"/>
              </w:rPr>
            </w:pPr>
          </w:p>
        </w:tc>
        <w:tc>
          <w:tcPr>
            <w:tcW w:w="94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17</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20"/>
          </w:cols>
          <w:pgMar w:left="240" w:top="142" w:right="439"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18</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We are offering the holders of original notes the opportunity to exchange their original notes for new notes.</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will use reasonable efforts to complete the exchange offer within 30 business days after the date on which the registration statement of which this prospectus is a part is declared effective by the Commission.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TRANSFER OF THE ORIGINAL NOTES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original notes may be offered, sold or otherwise transferred only in $500,000 minimums and only:</w:t>
      </w:r>
    </w:p>
    <w:p>
      <w:pPr>
        <w:spacing w:after="0" w:line="198" w:lineRule="exact"/>
        <w:rPr>
          <w:sz w:val="20"/>
          <w:szCs w:val="20"/>
          <w:color w:val="auto"/>
        </w:rPr>
      </w:pPr>
    </w:p>
    <w:p>
      <w:pPr>
        <w:ind w:left="1040" w:hanging="211"/>
        <w:spacing w:after="0"/>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Scotts;</w:t>
      </w:r>
    </w:p>
    <w:p>
      <w:pPr>
        <w:spacing w:after="0" w:line="203" w:lineRule="exact"/>
        <w:rPr>
          <w:rFonts w:ascii="Courier New" w:cs="Courier New" w:eastAsia="Courier New" w:hAnsi="Courier New"/>
          <w:sz w:val="17"/>
          <w:szCs w:val="17"/>
          <w:color w:val="auto"/>
        </w:rPr>
      </w:pPr>
    </w:p>
    <w:p>
      <w:pPr>
        <w:ind w:left="1040" w:right="1979" w:hanging="211"/>
        <w:spacing w:after="0" w:line="247" w:lineRule="auto"/>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a registration statement which has been declared effective under the Securities Act;</w:t>
      </w:r>
    </w:p>
    <w:p>
      <w:pPr>
        <w:spacing w:after="0" w:line="197" w:lineRule="exact"/>
        <w:rPr>
          <w:rFonts w:ascii="Courier New" w:cs="Courier New" w:eastAsia="Courier New" w:hAnsi="Courier New"/>
          <w:sz w:val="17"/>
          <w:szCs w:val="17"/>
          <w:color w:val="auto"/>
        </w:rPr>
      </w:pPr>
    </w:p>
    <w:p>
      <w:pPr>
        <w:ind w:left="1040" w:right="2399" w:hanging="211"/>
        <w:spacing w:after="0" w:line="246" w:lineRule="auto"/>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200" w:lineRule="exact"/>
        <w:rPr>
          <w:rFonts w:ascii="Courier New" w:cs="Courier New" w:eastAsia="Courier New" w:hAnsi="Courier New"/>
          <w:sz w:val="17"/>
          <w:szCs w:val="17"/>
          <w:color w:val="auto"/>
        </w:rPr>
      </w:pPr>
    </w:p>
    <w:p>
      <w:pPr>
        <w:ind w:left="1040" w:right="2179" w:hanging="211"/>
        <w:spacing w:after="0" w:line="247" w:lineRule="auto"/>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 purchaser that is able to represent, and represents in writing, that:</w:t>
      </w:r>
    </w:p>
    <w:p>
      <w:pPr>
        <w:spacing w:after="0" w:line="197" w:lineRule="exact"/>
        <w:rPr>
          <w:rFonts w:ascii="Courier New" w:cs="Courier New" w:eastAsia="Courier New" w:hAnsi="Courier New"/>
          <w:sz w:val="17"/>
          <w:szCs w:val="17"/>
          <w:color w:val="auto"/>
        </w:rPr>
      </w:pPr>
    </w:p>
    <w:p>
      <w:pPr>
        <w:ind w:left="1340" w:hanging="202"/>
        <w:spacing w:after="0"/>
        <w:tabs>
          <w:tab w:leader="none" w:pos="13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an "accredited investor" within the meaning of subparagraph</w:t>
      </w:r>
    </w:p>
    <w:p>
      <w:pPr>
        <w:spacing w:after="0" w:line="5" w:lineRule="exact"/>
        <w:rPr>
          <w:rFonts w:ascii="Courier New" w:cs="Courier New" w:eastAsia="Courier New" w:hAnsi="Courier New"/>
          <w:sz w:val="17"/>
          <w:szCs w:val="17"/>
          <w:color w:val="auto"/>
        </w:rPr>
      </w:pPr>
    </w:p>
    <w:p>
      <w:pPr>
        <w:ind w:left="1340" w:right="27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(2), (3) or (7) of paragraph (a) of Rule 501 under the Securities Act,</w:t>
      </w:r>
    </w:p>
    <w:p>
      <w:pPr>
        <w:spacing w:after="0" w:line="197" w:lineRule="exact"/>
        <w:rPr>
          <w:rFonts w:ascii="Courier New" w:cs="Courier New" w:eastAsia="Courier New" w:hAnsi="Courier New"/>
          <w:sz w:val="17"/>
          <w:szCs w:val="17"/>
          <w:color w:val="auto"/>
        </w:rPr>
      </w:pPr>
    </w:p>
    <w:p>
      <w:pPr>
        <w:ind w:left="1340" w:right="1979" w:hanging="202"/>
        <w:spacing w:after="0" w:line="247" w:lineRule="auto"/>
        <w:tabs>
          <w:tab w:leader="none" w:pos="13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acquiring the notes for its own account or for the account of another accredited investor, and</w:t>
      </w:r>
    </w:p>
    <w:p>
      <w:pPr>
        <w:spacing w:after="0" w:line="197" w:lineRule="exact"/>
        <w:rPr>
          <w:rFonts w:ascii="Courier New" w:cs="Courier New" w:eastAsia="Courier New" w:hAnsi="Courier New"/>
          <w:sz w:val="17"/>
          <w:szCs w:val="17"/>
          <w:color w:val="auto"/>
        </w:rPr>
      </w:pPr>
    </w:p>
    <w:p>
      <w:pPr>
        <w:ind w:left="1340" w:right="2599" w:hanging="202"/>
        <w:spacing w:after="0" w:line="247" w:lineRule="auto"/>
        <w:tabs>
          <w:tab w:leader="none" w:pos="13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acquiring the notes for investment purposes and not for distribution in violation of the Securities Act;</w:t>
      </w:r>
    </w:p>
    <w:p>
      <w:pPr>
        <w:spacing w:after="0" w:line="197" w:lineRule="exact"/>
        <w:rPr>
          <w:rFonts w:ascii="Courier New" w:cs="Courier New" w:eastAsia="Courier New" w:hAnsi="Courier New"/>
          <w:sz w:val="17"/>
          <w:szCs w:val="17"/>
          <w:color w:val="auto"/>
        </w:rPr>
      </w:pPr>
    </w:p>
    <w:p>
      <w:pPr>
        <w:ind w:left="1040" w:right="2079" w:hanging="211"/>
        <w:spacing w:after="0" w:line="247" w:lineRule="auto"/>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an offshore transaction under Rule 903 or Rule 904 of Regulation S under the Securities Act; or</w:t>
      </w:r>
    </w:p>
    <w:p>
      <w:pPr>
        <w:spacing w:after="0" w:line="197" w:lineRule="exact"/>
        <w:rPr>
          <w:rFonts w:ascii="Courier New" w:cs="Courier New" w:eastAsia="Courier New" w:hAnsi="Courier New"/>
          <w:sz w:val="17"/>
          <w:szCs w:val="17"/>
          <w:color w:val="auto"/>
        </w:rPr>
      </w:pPr>
    </w:p>
    <w:p>
      <w:pPr>
        <w:ind w:left="1040" w:right="2999" w:hanging="211"/>
        <w:spacing w:after="0" w:line="247" w:lineRule="auto"/>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to any other available exemption from the registration requirements of the Securities Act.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may be required to file a second registration statement, known as a shelf registration statement, with the Commission to cover periodic resales of original notes in the following circumstances:</w:t>
      </w:r>
    </w:p>
    <w:p>
      <w:pPr>
        <w:spacing w:after="0" w:line="200" w:lineRule="exact"/>
        <w:rPr>
          <w:sz w:val="20"/>
          <w:szCs w:val="20"/>
          <w:color w:val="auto"/>
        </w:rPr>
      </w:pPr>
    </w:p>
    <w:p>
      <w:pPr>
        <w:ind w:left="1040" w:right="2179" w:hanging="211"/>
        <w:spacing w:after="0" w:line="247" w:lineRule="auto"/>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are not permitted to complete the exchange offer because it is not permitted by applicable law or Commission policy; or</w:t>
      </w:r>
    </w:p>
    <w:p>
      <w:pPr>
        <w:spacing w:after="0" w:line="197" w:lineRule="exact"/>
        <w:rPr>
          <w:rFonts w:ascii="Courier New" w:cs="Courier New" w:eastAsia="Courier New" w:hAnsi="Courier New"/>
          <w:sz w:val="17"/>
          <w:szCs w:val="17"/>
          <w:color w:val="auto"/>
        </w:rPr>
      </w:pPr>
    </w:p>
    <w:p>
      <w:pPr>
        <w:ind w:left="1040" w:right="2179" w:hanging="211"/>
        <w:spacing w:after="0" w:line="247" w:lineRule="auto"/>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holder of original notes notifies us before the 20th business day after the consummation of the exchange offer, that:</w:t>
      </w:r>
    </w:p>
    <w:p>
      <w:pPr>
        <w:spacing w:after="0" w:line="197" w:lineRule="exact"/>
        <w:rPr>
          <w:rFonts w:ascii="Courier New" w:cs="Courier New" w:eastAsia="Courier New" w:hAnsi="Courier New"/>
          <w:sz w:val="17"/>
          <w:szCs w:val="17"/>
          <w:color w:val="auto"/>
        </w:rPr>
      </w:pPr>
    </w:p>
    <w:p>
      <w:pPr>
        <w:ind w:left="1340" w:right="2399" w:hanging="202"/>
        <w:spacing w:after="0" w:line="247" w:lineRule="auto"/>
        <w:tabs>
          <w:tab w:leader="none" w:pos="134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to a change in law or policy, the holder is not entitled to participate in the exchange offer;</w:t>
      </w:r>
    </w:p>
    <w:p>
      <w:pPr>
        <w:spacing w:after="0" w:line="197" w:lineRule="exact"/>
        <w:rPr>
          <w:rFonts w:ascii="Courier New" w:cs="Courier New" w:eastAsia="Courier New" w:hAnsi="Courier New"/>
          <w:sz w:val="17"/>
          <w:szCs w:val="17"/>
          <w:color w:val="auto"/>
        </w:rPr>
      </w:pPr>
    </w:p>
    <w:p>
      <w:pPr>
        <w:ind w:left="1340" w:right="2179" w:hanging="202"/>
        <w:spacing w:after="0" w:line="246" w:lineRule="auto"/>
        <w:tabs>
          <w:tab w:leader="none" w:pos="134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200" w:lineRule="exact"/>
        <w:rPr>
          <w:rFonts w:ascii="Courier New" w:cs="Courier New" w:eastAsia="Courier New" w:hAnsi="Courier New"/>
          <w:sz w:val="17"/>
          <w:szCs w:val="17"/>
          <w:color w:val="auto"/>
        </w:rPr>
      </w:pPr>
    </w:p>
    <w:p>
      <w:pPr>
        <w:ind w:left="1340" w:right="2499" w:hanging="202"/>
        <w:spacing w:after="0" w:line="247" w:lineRule="auto"/>
        <w:tabs>
          <w:tab w:leader="none" w:pos="134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is a broker-dealer and owns original notes acquired directly from us or one of our affiliates.</w:t>
      </w:r>
    </w:p>
    <w:p>
      <w:pPr>
        <w:sectPr>
          <w:pgSz w:w="11900" w:h="16838" w:orient="portrait"/>
          <w:cols w:equalWidth="0" w:num="1">
            <w:col w:w="10219"/>
          </w:cols>
          <w:pgMar w:left="240" w:top="313" w:right="1440" w:bottom="112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3" w:right="1440" w:bottom="1128"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19</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202" w:lineRule="exact"/>
        <w:rPr>
          <w:sz w:val="20"/>
          <w:szCs w:val="20"/>
          <w:color w:val="auto"/>
        </w:rPr>
      </w:pPr>
    </w:p>
    <w:p>
      <w:pPr>
        <w:ind w:left="720" w:hanging="200"/>
        <w:spacing w:after="0"/>
        <w:tabs>
          <w:tab w:leader="none" w:pos="7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January 21, 2001, or</w:t>
      </w:r>
    </w:p>
    <w:p>
      <w:pPr>
        <w:spacing w:after="0" w:line="203"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all notes covered by the shelf registration statement have been sold.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TRANSFERABILITY OF NOTES RECEIVED IN THE EXCHANGE OFFER; PLAN OF DISTRIBUTION</w:t>
      </w:r>
    </w:p>
    <w:p>
      <w:pPr>
        <w:spacing w:after="0" w:line="203"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Each holder who wishes to receive notes in the exchange offer will be required to make the following representations:</w:t>
      </w:r>
    </w:p>
    <w:p>
      <w:pPr>
        <w:spacing w:after="0" w:line="198" w:lineRule="exact"/>
        <w:rPr>
          <w:sz w:val="20"/>
          <w:szCs w:val="20"/>
          <w:color w:val="auto"/>
        </w:rPr>
      </w:pPr>
    </w:p>
    <w:p>
      <w:pPr>
        <w:ind w:left="720" w:right="2999" w:hanging="200"/>
        <w:spacing w:after="0" w:line="247"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is not an "affiliate," as defined in Rule 405 of the Securities Act, of Scotts;</w:t>
      </w:r>
    </w:p>
    <w:p>
      <w:pPr>
        <w:spacing w:after="0" w:line="197" w:lineRule="exact"/>
        <w:rPr>
          <w:rFonts w:ascii="Courier New" w:cs="Courier New" w:eastAsia="Courier New" w:hAnsi="Courier New"/>
          <w:sz w:val="17"/>
          <w:szCs w:val="17"/>
          <w:color w:val="auto"/>
        </w:rPr>
      </w:pPr>
    </w:p>
    <w:p>
      <w:pPr>
        <w:jc w:val="both"/>
        <w:ind w:left="720" w:right="20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notes received by the holder in the exchange offer are being acquired in the ordinary course of its business, for its own account, for investment and not for distribution;</w:t>
      </w:r>
    </w:p>
    <w:p>
      <w:pPr>
        <w:spacing w:after="0" w:line="199"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has no arrangement or understanding with any person to participate in the distribution of the notes;</w:t>
      </w:r>
    </w:p>
    <w:p>
      <w:pPr>
        <w:spacing w:after="0" w:line="197"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holder is not a broker-dealer, it is not engaged, and does not intend to engage, in the distribution of the notes;</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holder is a broker-dealer:</w:t>
      </w:r>
    </w:p>
    <w:p>
      <w:pPr>
        <w:spacing w:after="0" w:line="203" w:lineRule="exact"/>
        <w:rPr>
          <w:rFonts w:ascii="Courier New" w:cs="Courier New" w:eastAsia="Courier New" w:hAnsi="Courier New"/>
          <w:sz w:val="17"/>
          <w:szCs w:val="17"/>
          <w:color w:val="auto"/>
        </w:rPr>
      </w:pPr>
    </w:p>
    <w:p>
      <w:pPr>
        <w:ind w:left="1540" w:hanging="196"/>
        <w:spacing w:after="0"/>
        <w:tabs>
          <w:tab w:leader="none" w:pos="15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 notes are held by it as a nominee, or</w:t>
      </w:r>
    </w:p>
    <w:p>
      <w:pPr>
        <w:spacing w:after="0" w:line="203"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 notes were acquired by it for its own account as a result of market-making activities or other trading activities and it will deliver a copy of this prospectus in connection with any resale.</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200" w:lineRule="exact"/>
        <w:rPr>
          <w:sz w:val="20"/>
          <w:szCs w:val="20"/>
          <w:color w:val="auto"/>
        </w:rPr>
      </w:pPr>
    </w:p>
    <w:p>
      <w:pPr>
        <w:ind w:left="720" w:right="2499" w:hanging="200"/>
        <w:spacing w:after="0" w:line="246"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broker-dealers that purchased original notes directly from Scotts to resell under Rule 144A or any other available exemption under the Securities Act, and</w:t>
      </w:r>
    </w:p>
    <w:p>
      <w:pPr>
        <w:spacing w:after="0" w:line="199"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"affiliates" of Scotts within the meaning of Rule 405 under the Securities Act unless they comply with the registration and prospectus delivery requirements of the Securities Act.</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ectPr>
          <w:pgSz w:w="11900" w:h="16838" w:orient="portrait"/>
          <w:cols w:equalWidth="0" w:num="1">
            <w:col w:w="10219"/>
          </w:cols>
          <w:pgMar w:left="240" w:top="313" w:right="1440" w:bottom="732"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3" w:right="1440" w:bottom="732"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All resales must be made in compliance with applicable state securities or "blue sky" laws. Compliance may require that:</w:t>
      </w:r>
    </w:p>
    <w:p>
      <w:pPr>
        <w:spacing w:after="0" w:line="198" w:lineRule="exact"/>
        <w:rPr>
          <w:sz w:val="20"/>
          <w:szCs w:val="20"/>
          <w:color w:val="auto"/>
        </w:rPr>
      </w:pPr>
    </w:p>
    <w:p>
      <w:pPr>
        <w:ind w:left="720" w:right="2279" w:hanging="200"/>
        <w:spacing w:after="0" w:line="247" w:lineRule="auto"/>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issued in the exchange offer be registered or qualified in a particular state,</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resales be made by or through a licensed broker-dealer, and/or</w:t>
      </w:r>
    </w:p>
    <w:p>
      <w:pPr>
        <w:spacing w:after="0" w:line="203" w:lineRule="exact"/>
        <w:rPr>
          <w:rFonts w:ascii="Courier New" w:cs="Courier New" w:eastAsia="Courier New" w:hAnsi="Courier New"/>
          <w:sz w:val="17"/>
          <w:szCs w:val="17"/>
          <w:color w:val="auto"/>
        </w:rPr>
      </w:pPr>
    </w:p>
    <w:p>
      <w:pPr>
        <w:ind w:left="720" w:right="2499" w:hanging="200"/>
        <w:spacing w:after="0" w:line="247" w:lineRule="auto"/>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make representations in addition to those listed above as required by applicable state law.</w:t>
      </w:r>
    </w:p>
    <w:p>
      <w:pPr>
        <w:spacing w:after="0" w:line="198" w:lineRule="exact"/>
        <w:rPr>
          <w:sz w:val="20"/>
          <w:szCs w:val="20"/>
          <w:color w:val="auto"/>
        </w:rPr>
      </w:pPr>
    </w:p>
    <w:p>
      <w:pPr>
        <w:ind w:right="3119" w:firstLine="515"/>
        <w:spacing w:after="0" w:line="247" w:lineRule="auto"/>
        <w:rPr>
          <w:sz w:val="20"/>
          <w:szCs w:val="20"/>
          <w:color w:val="auto"/>
        </w:rPr>
      </w:pPr>
      <w:r>
        <w:rPr>
          <w:rFonts w:ascii="Courier New" w:cs="Courier New" w:eastAsia="Courier New" w:hAnsi="Courier New"/>
          <w:sz w:val="17"/>
          <w:szCs w:val="17"/>
          <w:color w:val="auto"/>
        </w:rPr>
        <w:t>We assume no responsibility with regard to compliance with these requirements.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CONSEQUENCES OF FAILURE TO EXCHANGE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200" w:lineRule="exact"/>
        <w:rPr>
          <w:sz w:val="20"/>
          <w:szCs w:val="20"/>
          <w:color w:val="auto"/>
        </w:rPr>
      </w:pPr>
    </w:p>
    <w:p>
      <w:pPr>
        <w:ind w:left="720" w:hanging="200"/>
        <w:spacing w:after="0"/>
        <w:tabs>
          <w:tab w:leader="none" w:pos="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later of:</w:t>
      </w:r>
    </w:p>
    <w:p>
      <w:pPr>
        <w:spacing w:after="0" w:line="203" w:lineRule="exact"/>
        <w:rPr>
          <w:rFonts w:ascii="Courier New" w:cs="Courier New" w:eastAsia="Courier New" w:hAnsi="Courier New"/>
          <w:sz w:val="17"/>
          <w:szCs w:val="17"/>
          <w:color w:val="auto"/>
        </w:rPr>
      </w:pPr>
    </w:p>
    <w:p>
      <w:pPr>
        <w:ind w:left="1240" w:hanging="205"/>
        <w:spacing w:after="0"/>
        <w:tabs>
          <w:tab w:leader="none" w:pos="124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January 21, 2001, or</w:t>
      </w:r>
    </w:p>
    <w:p>
      <w:pPr>
        <w:spacing w:after="0" w:line="203" w:lineRule="exact"/>
        <w:rPr>
          <w:rFonts w:ascii="Courier New" w:cs="Courier New" w:eastAsia="Courier New" w:hAnsi="Courier New"/>
          <w:sz w:val="17"/>
          <w:szCs w:val="17"/>
          <w:color w:val="auto"/>
        </w:rPr>
      </w:pPr>
    </w:p>
    <w:p>
      <w:pPr>
        <w:ind w:left="1240" w:right="2279" w:hanging="205"/>
        <w:spacing w:after="0" w:line="247" w:lineRule="auto"/>
        <w:tabs>
          <w:tab w:leader="none" w:pos="124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second anniversary of the last date that Scotts or one of its affiliates owned the note;</w:t>
      </w:r>
    </w:p>
    <w:p>
      <w:pPr>
        <w:spacing w:after="0" w:line="197"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an original note has been effectively registered under the Securities Act and disposed of in accordance with a shelf registration statement; or</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an original note is distributed to the public pursuant to Rule 144 under the Securities Act.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THE EXCHANGE OFFER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202"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form and terms of the notes to be issued in the exchange offer are the same as the form and terms of the original notes, except that:</w:t>
      </w:r>
    </w:p>
    <w:p>
      <w:pPr>
        <w:spacing w:after="0" w:line="198" w:lineRule="exact"/>
        <w:rPr>
          <w:sz w:val="20"/>
          <w:szCs w:val="20"/>
          <w:color w:val="auto"/>
        </w:rPr>
      </w:pPr>
    </w:p>
    <w:p>
      <w:pPr>
        <w:ind w:left="720" w:right="2179" w:hanging="200"/>
        <w:spacing w:after="0" w:line="246" w:lineRule="auto"/>
        <w:tabs>
          <w:tab w:leader="none" w:pos="7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to be issued in the exchange offer have been registered under the Securities Act and, therefore, will not bear legends restricting their transfer; and</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3" w:right="1440" w:bottom="732"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21</w:t>
      </w:r>
    </w:p>
    <w:p>
      <w:pPr>
        <w:spacing w:after="0" w:line="203" w:lineRule="exact"/>
        <w:rPr>
          <w:sz w:val="20"/>
          <w:szCs w:val="20"/>
          <w:color w:val="auto"/>
        </w:rPr>
      </w:pPr>
    </w:p>
    <w:p>
      <w:pPr>
        <w:jc w:val="both"/>
        <w:ind w:left="720" w:right="1979" w:hanging="200"/>
        <w:spacing w:after="0" w:line="246" w:lineRule="auto"/>
        <w:tabs>
          <w:tab w:leader="none" w:pos="7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notes issued in the exchange offer will not be entitled to rights under the registration rights agreement, except under very limited circumstances.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to be issued in the exchange offer will evidence the same debt as the original notes which they replace and will be issued under, and be entitled to the benefits of, the same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Solely for reasons of administration, Scotts has fixed the close of business on December 12, 2000,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EXPIRATION DATE; EXTENSION; AMENDMENTS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exchange offer will expire at, and the expiration date will be, 5:00 p.m., New York City time on January 19, 2001. We may extend the exchange offer, in which case the expiration date will be the latest date and time to which it is extended.</w:t>
      </w:r>
    </w:p>
    <w:p>
      <w:pPr>
        <w:spacing w:after="0" w:line="200"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reserve the right, in our sole discretion:</w:t>
      </w:r>
    </w:p>
    <w:p>
      <w:pPr>
        <w:spacing w:after="0" w:line="203" w:lineRule="exact"/>
        <w:rPr>
          <w:sz w:val="20"/>
          <w:szCs w:val="20"/>
          <w:color w:val="auto"/>
        </w:rPr>
      </w:pPr>
    </w:p>
    <w:p>
      <w:pPr>
        <w:ind w:left="1040" w:hanging="211"/>
        <w:spacing w:after="0"/>
        <w:tabs>
          <w:tab w:leader="none" w:pos="10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delay accepting any original notes,</w:t>
      </w:r>
    </w:p>
    <w:p>
      <w:pPr>
        <w:spacing w:after="0" w:line="203"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extend the exchange offer,</w:t>
      </w:r>
    </w:p>
    <w:p>
      <w:pPr>
        <w:spacing w:after="0" w:line="203"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terminate the exchange offer if the condition described</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under "-- Condition of the Exchange Offer" has not been satisfied, or</w:t>
      </w:r>
    </w:p>
    <w:p>
      <w:pPr>
        <w:spacing w:after="0" w:line="203"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the terms of the exchange offer in any manner.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ectPr>
          <w:pgSz w:w="11900" w:h="16838" w:orient="portrait"/>
          <w:cols w:equalWidth="0" w:num="1">
            <w:col w:w="10219"/>
          </w:cols>
          <w:pgMar w:left="240" w:top="313" w:right="1440" w:bottom="1128" w:gutter="0" w:footer="0" w:header="0"/>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3" w:right="1440" w:bottom="1128"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22</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PROCEDURES FOR TENDERING</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Only a registered holder may tender original notes in the exchange offer.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tender in the exchange offer, the holder must:</w:t>
      </w:r>
    </w:p>
    <w:p>
      <w:pPr>
        <w:spacing w:after="0" w:line="203" w:lineRule="exact"/>
        <w:rPr>
          <w:sz w:val="20"/>
          <w:szCs w:val="20"/>
          <w:color w:val="auto"/>
        </w:rPr>
      </w:pPr>
    </w:p>
    <w:p>
      <w:pPr>
        <w:ind w:left="720" w:hanging="200"/>
        <w:spacing w:after="0"/>
        <w:tabs>
          <w:tab w:leader="none" w:pos="7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sign and date the letter of transmittal;</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the signatures guaranteed if required by the letter of transmittal;</w:t>
      </w:r>
    </w:p>
    <w:p>
      <w:pPr>
        <w:spacing w:after="0" w:line="203" w:lineRule="exact"/>
        <w:rPr>
          <w:rFonts w:ascii="Courier New" w:cs="Courier New" w:eastAsia="Courier New" w:hAnsi="Courier New"/>
          <w:sz w:val="17"/>
          <w:szCs w:val="17"/>
          <w:color w:val="auto"/>
        </w:rPr>
      </w:pPr>
    </w:p>
    <w:p>
      <w:pPr>
        <w:ind w:left="720" w:right="2599" w:hanging="200"/>
        <w:spacing w:after="0" w:line="247" w:lineRule="auto"/>
        <w:tabs>
          <w:tab w:leader="none" w:pos="7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mail or otherwise deliver the letter of transmittal to the exchange agent;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w:t>
      </w:r>
    </w:p>
    <w:p>
      <w:pPr>
        <w:spacing w:after="0" w:line="203" w:lineRule="exact"/>
        <w:rPr>
          <w:rFonts w:ascii="Courier New" w:cs="Courier New" w:eastAsia="Courier New" w:hAnsi="Courier New"/>
          <w:sz w:val="17"/>
          <w:szCs w:val="17"/>
          <w:color w:val="auto"/>
        </w:rPr>
      </w:pPr>
    </w:p>
    <w:p>
      <w:pPr>
        <w:ind w:left="1240" w:right="2279" w:hanging="205"/>
        <w:spacing w:after="0" w:line="247" w:lineRule="auto"/>
        <w:tabs>
          <w:tab w:leader="none" w:pos="124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certificates for the original notes to the exchange agent with the letter of transmittal;</w:t>
      </w:r>
    </w:p>
    <w:p>
      <w:pPr>
        <w:spacing w:after="0" w:line="197" w:lineRule="exact"/>
        <w:rPr>
          <w:rFonts w:ascii="Courier New" w:cs="Courier New" w:eastAsia="Courier New" w:hAnsi="Courier New"/>
          <w:sz w:val="17"/>
          <w:szCs w:val="17"/>
          <w:color w:val="auto"/>
        </w:rPr>
      </w:pPr>
    </w:p>
    <w:p>
      <w:pPr>
        <w:jc w:val="both"/>
        <w:ind w:left="1240" w:right="2079" w:hanging="205"/>
        <w:spacing w:after="0" w:line="246" w:lineRule="auto"/>
        <w:tabs>
          <w:tab w:leader="none" w:pos="124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the exchange agent a timely confirmation of a book-entry transfer of the original notes into the exchange agent's account at The Depository Trust Company, as described below; or</w:t>
      </w:r>
    </w:p>
    <w:p>
      <w:pPr>
        <w:spacing w:after="0" w:line="199" w:lineRule="exact"/>
        <w:rPr>
          <w:rFonts w:ascii="Courier New" w:cs="Courier New" w:eastAsia="Courier New" w:hAnsi="Courier New"/>
          <w:sz w:val="17"/>
          <w:szCs w:val="17"/>
          <w:color w:val="auto"/>
        </w:rPr>
      </w:pPr>
    </w:p>
    <w:p>
      <w:pPr>
        <w:ind w:left="1240" w:hanging="205"/>
        <w:spacing w:after="0"/>
        <w:tabs>
          <w:tab w:leader="none" w:pos="124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the guaranteed delivery procedures described below.</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To be tendered effectively, the letter of transmittal and all other required documents must be received by the exchange agent at the address set forth below under "-- Exchange Agent" prior to the expiration date.</w:t>
      </w:r>
    </w:p>
    <w:p>
      <w:pPr>
        <w:spacing w:after="0" w:line="200"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tender by a holder will constitute an agreement between the holder and us on the terms and conditions in this prospectus and the letter of transmittal.</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204"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Signatures on a letter of transmittal or a notice of withdrawal must be guaranteed by an eligible institution unless the original notes tendered with the letter of transmittal are tendered:</w:t>
      </w:r>
    </w:p>
    <w:p>
      <w:pPr>
        <w:spacing w:after="0" w:line="200" w:lineRule="exact"/>
        <w:rPr>
          <w:sz w:val="20"/>
          <w:szCs w:val="20"/>
          <w:color w:val="auto"/>
        </w:rPr>
      </w:pPr>
    </w:p>
    <w:p>
      <w:pPr>
        <w:ind w:left="720" w:right="2399" w:hanging="200"/>
        <w:spacing w:after="0" w:line="247" w:lineRule="auto"/>
        <w:tabs>
          <w:tab w:leader="none" w:pos="7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 registered holder who has not completed the box on the letter of transmittal entitled "Special Delivery Instructions," or</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account of an eligible institution.</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An eligible institution is any participant in a recognized signature guarantee program within the meaning of Rule 17Ad-15 under the Exchange Act.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3"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23</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TRANSFER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202" w:lineRule="exact"/>
        <w:rPr>
          <w:sz w:val="20"/>
          <w:szCs w:val="20"/>
          <w:color w:val="auto"/>
        </w:rPr>
      </w:pPr>
    </w:p>
    <w:p>
      <w:pPr>
        <w:ind w:left="720" w:right="1979" w:hanging="200"/>
        <w:spacing w:after="0" w:line="246" w:lineRule="auto"/>
        <w:tabs>
          <w:tab w:leader="none" w:pos="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the letter of transmittal, with any required signature guarantees and any other documents, to the exchange agent at the address set forth below under "-- Exchange Agent" on or prior to the expiration date, or</w:t>
      </w:r>
    </w:p>
    <w:p>
      <w:pPr>
        <w:spacing w:after="0" w:line="199"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the guaranteed delivery procedures described below.</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GUARANTEED DELIVERY PROCEDURES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200" w:lineRule="exact"/>
        <w:rPr>
          <w:sz w:val="20"/>
          <w:szCs w:val="20"/>
          <w:color w:val="auto"/>
        </w:rPr>
      </w:pPr>
    </w:p>
    <w:p>
      <w:pPr>
        <w:ind w:left="720" w:hanging="200"/>
        <w:spacing w:after="0"/>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tender is made through an eligible institution;</w:t>
      </w:r>
    </w:p>
    <w:p>
      <w:pPr>
        <w:spacing w:after="0" w:line="203"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expiration date, the eligible institution delivers a properly completed and duly executed notice of guaranteed delivery to the exchange agent:</w:t>
      </w:r>
    </w:p>
    <w:p>
      <w:pPr>
        <w:spacing w:after="0" w:line="199" w:lineRule="exact"/>
        <w:rPr>
          <w:rFonts w:ascii="Courier New" w:cs="Courier New" w:eastAsia="Courier New" w:hAnsi="Courier New"/>
          <w:sz w:val="17"/>
          <w:szCs w:val="17"/>
          <w:color w:val="auto"/>
        </w:rPr>
      </w:pPr>
    </w:p>
    <w:p>
      <w:pPr>
        <w:jc w:val="both"/>
        <w:ind w:left="1240" w:right="2499" w:hanging="205"/>
        <w:spacing w:after="0" w:line="246" w:lineRule="auto"/>
        <w:tabs>
          <w:tab w:leader="none" w:pos="12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setting forth the name and address of the holder, the principal amount of the original notes being tendered and the certificate number(s) of the original notes;</w:t>
      </w:r>
    </w:p>
    <w:p>
      <w:pPr>
        <w:spacing w:after="0" w:line="199" w:lineRule="exact"/>
        <w:rPr>
          <w:rFonts w:ascii="Courier New" w:cs="Courier New" w:eastAsia="Courier New" w:hAnsi="Courier New"/>
          <w:sz w:val="17"/>
          <w:szCs w:val="17"/>
          <w:color w:val="auto"/>
        </w:rPr>
      </w:pPr>
    </w:p>
    <w:p>
      <w:pPr>
        <w:ind w:left="1240" w:right="2499" w:hanging="205"/>
        <w:spacing w:after="0" w:line="247" w:lineRule="auto"/>
        <w:tabs>
          <w:tab w:leader="none" w:pos="12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stating that the tender is being made by means of the notice of guaranteed delivery; and</w:t>
      </w:r>
    </w:p>
    <w:p>
      <w:pPr>
        <w:spacing w:after="0" w:line="197" w:lineRule="exact"/>
        <w:rPr>
          <w:rFonts w:ascii="Courier New" w:cs="Courier New" w:eastAsia="Courier New" w:hAnsi="Courier New"/>
          <w:sz w:val="17"/>
          <w:szCs w:val="17"/>
          <w:color w:val="auto"/>
        </w:rPr>
      </w:pPr>
    </w:p>
    <w:p>
      <w:pPr>
        <w:ind w:left="1240" w:right="1979" w:hanging="205"/>
        <w:spacing w:after="0" w:line="246" w:lineRule="auto"/>
        <w:tabs>
          <w:tab w:leader="none" w:pos="12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properly completed and executed letter of transmittal, certificate(s)</w:t>
      </w:r>
    </w:p>
    <w:p>
      <w:pPr>
        <w:spacing w:after="0" w:line="5" w:lineRule="exact"/>
        <w:rPr>
          <w:sz w:val="20"/>
          <w:szCs w:val="20"/>
          <w:color w:val="auto"/>
        </w:rPr>
      </w:pPr>
    </w:p>
    <w:p>
      <w:pPr>
        <w:ind w:left="720" w:right="1979"/>
        <w:spacing w:after="0" w:line="246" w:lineRule="auto"/>
        <w:rPr>
          <w:sz w:val="20"/>
          <w:szCs w:val="20"/>
          <w:color w:val="auto"/>
        </w:rPr>
      </w:pPr>
      <w:r>
        <w:rPr>
          <w:rFonts w:ascii="Courier New" w:cs="Courier New" w:eastAsia="Courier New" w:hAnsi="Courier New"/>
          <w:sz w:val="17"/>
          <w:szCs w:val="17"/>
          <w:color w:val="auto"/>
        </w:rPr>
        <w:t>representing all tendered original notes in proper form for transfer or a book-entry confirmation and all other documents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3" w:right="1440" w:bottom="127"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24</w:t>
      </w:r>
    </w:p>
    <w:p>
      <w:pPr>
        <w:spacing w:after="0" w:line="203" w:lineRule="exact"/>
        <w:rPr>
          <w:sz w:val="20"/>
          <w:szCs w:val="20"/>
          <w:color w:val="auto"/>
        </w:rPr>
      </w:pPr>
    </w:p>
    <w:p>
      <w:pPr>
        <w:ind w:left="720" w:right="2079"/>
        <w:spacing w:after="0" w:line="247" w:lineRule="auto"/>
        <w:rPr>
          <w:sz w:val="20"/>
          <w:szCs w:val="20"/>
          <w:color w:val="auto"/>
        </w:rPr>
      </w:pPr>
      <w:r>
        <w:rPr>
          <w:rFonts w:ascii="Courier New" w:cs="Courier New" w:eastAsia="Courier New" w:hAnsi="Courier New"/>
          <w:sz w:val="17"/>
          <w:szCs w:val="17"/>
          <w:color w:val="auto"/>
        </w:rPr>
        <w:t>required by the letter of transmittal are received by the exchange agent within five business days after the applicable expiration 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 OF TENDERS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Except as otherwise provided in this prospectus, tenders of original notes may be withdrawn at any time prior to the expiration date.</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To be effective, a written or facsimile transmission notice of withdrawal must be received by the exchange agent at its address prior to the expiration date. Any notice of withdrawal must:</w:t>
      </w:r>
    </w:p>
    <w:p>
      <w:pPr>
        <w:spacing w:after="0" w:line="200" w:lineRule="exact"/>
        <w:rPr>
          <w:sz w:val="20"/>
          <w:szCs w:val="20"/>
          <w:color w:val="auto"/>
        </w:rPr>
      </w:pPr>
    </w:p>
    <w:p>
      <w:pPr>
        <w:ind w:left="720" w:right="2399" w:hanging="200"/>
        <w:spacing w:after="0" w:line="247" w:lineRule="auto"/>
        <w:tabs>
          <w:tab w:leader="none" w:pos="7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specify the name of the person who deposited the original notes to be withdrawn;</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identify the original notes to be withdrawn, including the certificate number(s) and aggregate principal amount; and</w:t>
      </w:r>
    </w:p>
    <w:p>
      <w:pPr>
        <w:spacing w:after="0" w:line="197"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signed by the holder in the same manner as the original signature on the applicable letter of transmittal, including any required signature guarantees.</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will determine all questions as to the validity, form, eligibility and time of receipt of notices of withdrawal in our sole discretion. Our determination will be final and binding on all parties.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original notes which have been validly withdrawn will be returned to the holder, unless otherwise provided in the letter of transmittal, without cost to the holder:</w:t>
      </w:r>
    </w:p>
    <w:p>
      <w:pPr>
        <w:spacing w:after="0" w:line="200" w:lineRule="exact"/>
        <w:rPr>
          <w:sz w:val="20"/>
          <w:szCs w:val="20"/>
          <w:color w:val="auto"/>
        </w:rPr>
      </w:pPr>
    </w:p>
    <w:p>
      <w:pPr>
        <w:ind w:left="720" w:hanging="200"/>
        <w:spacing w:after="0"/>
        <w:tabs>
          <w:tab w:leader="none" w:pos="7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possible following the expiration date or,</w:t>
      </w:r>
    </w:p>
    <w:p>
      <w:pPr>
        <w:spacing w:after="0" w:line="203"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requested in the notice of withdrawal, promptly after receipt of the notice of withdrawal.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 OF THE EXCHANGE OFFER</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202"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If we determine that the exchange offer is not permitted by applicable federal law, we may:</w:t>
      </w:r>
    </w:p>
    <w:p>
      <w:pPr>
        <w:spacing w:after="0" w:line="198" w:lineRule="exact"/>
        <w:rPr>
          <w:sz w:val="20"/>
          <w:szCs w:val="20"/>
          <w:color w:val="auto"/>
        </w:rPr>
      </w:pPr>
    </w:p>
    <w:p>
      <w:pPr>
        <w:ind w:left="1040" w:right="2179" w:hanging="211"/>
        <w:spacing w:after="0" w:line="247" w:lineRule="auto"/>
        <w:tabs>
          <w:tab w:leader="none" w:pos="10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 the exchange offer and return any original notes that have been tendered;</w:t>
      </w:r>
    </w:p>
    <w:p>
      <w:pPr>
        <w:spacing w:after="0" w:line="197" w:lineRule="exact"/>
        <w:rPr>
          <w:rFonts w:ascii="Courier New" w:cs="Courier New" w:eastAsia="Courier New" w:hAnsi="Courier New"/>
          <w:sz w:val="17"/>
          <w:szCs w:val="17"/>
          <w:color w:val="auto"/>
        </w:rPr>
      </w:pPr>
    </w:p>
    <w:p>
      <w:pPr>
        <w:ind w:left="1040" w:right="1979" w:hanging="211"/>
        <w:spacing w:after="0" w:line="247" w:lineRule="auto"/>
        <w:tabs>
          <w:tab w:leader="none" w:pos="10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 the exchange offer and retain all original notes tendered prior to the new expiration date that are not withdrawn; or</w:t>
      </w:r>
    </w:p>
    <w:p>
      <w:pPr>
        <w:spacing w:after="0" w:line="197" w:lineRule="exact"/>
        <w:rPr>
          <w:rFonts w:ascii="Courier New" w:cs="Courier New" w:eastAsia="Courier New" w:hAnsi="Courier New"/>
          <w:sz w:val="17"/>
          <w:szCs w:val="17"/>
          <w:color w:val="auto"/>
        </w:rPr>
      </w:pPr>
    </w:p>
    <w:p>
      <w:pPr>
        <w:jc w:val="both"/>
        <w:ind w:left="1040" w:right="2799" w:hanging="211"/>
        <w:spacing w:after="0" w:line="247" w:lineRule="auto"/>
        <w:tabs>
          <w:tab w:leader="none" w:pos="10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our right to terminate the exchange offer and accept all properly tendered original notes that have not been withdrawn.</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ectPr>
          <w:pgSz w:w="11900" w:h="16838" w:orient="portrait"/>
          <w:cols w:equalWidth="0" w:num="1">
            <w:col w:w="10219"/>
          </w:cols>
          <w:pgMar w:left="240" w:top="31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3"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AGENT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DELIVER TO:</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By Registered or Certified Mail:</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State Street Bank and Trust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Corporate Trust Division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Attn: Meaghan Haight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P.O. Box 778</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Boston, MA 02102-0078</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Reference: The Scotts Company</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By Hand or Overnight Delivery: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State Street Bank and Trust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Corporate Trust Division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Corporate Trust Window, Fifth Floor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Attn: Meaghan Haight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Avenue de Lafayette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Boston, MA 02111-1724</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Reference: The Scotts Company</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By Facsimile: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(Eligible Institutions Only)</w:t>
      </w:r>
    </w:p>
    <w:p>
      <w:pPr>
        <w:spacing w:after="0" w:line="203" w:lineRule="exact"/>
        <w:rPr>
          <w:sz w:val="20"/>
          <w:szCs w:val="20"/>
          <w:color w:val="auto"/>
        </w:rPr>
      </w:pPr>
    </w:p>
    <w:p>
      <w:pPr>
        <w:ind w:left="4020" w:hanging="617"/>
        <w:spacing w:after="0"/>
        <w:tabs>
          <w:tab w:leader="none" w:pos="40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662-1452</w:t>
      </w:r>
    </w:p>
    <w:p>
      <w:pPr>
        <w:spacing w:after="0" w:line="5" w:lineRule="exact"/>
        <w:rPr>
          <w:rFonts w:ascii="Courier New" w:cs="Courier New" w:eastAsia="Courier New" w:hAnsi="Courier New"/>
          <w:sz w:val="17"/>
          <w:szCs w:val="17"/>
          <w:color w:val="auto"/>
        </w:rPr>
      </w:pPr>
    </w:p>
    <w:p>
      <w:pPr>
        <w:ind w:left="2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The Scotts Company</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 Information or</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Confirmation by Telephone:</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Meaghan Haight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(617) 662-1603</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Delivery to any other address or facsimile number will not constitute a valid delivery.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FEES AND EXPENSES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We have not retained any dealer-manager in connection with the exchange offer. No payments will be made to brokers, dealers or others soliciting acceptance of the exchange offer.</w:t>
      </w:r>
    </w:p>
    <w:p>
      <w:pPr>
        <w:spacing w:after="0" w:line="200"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We will pay reasonable and customary fees to the exchange agent for its service and will reimburse its reasonable out-of-pocket expenses.</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201" w:lineRule="exact"/>
        <w:rPr>
          <w:sz w:val="20"/>
          <w:szCs w:val="20"/>
          <w:color w:val="auto"/>
        </w:rPr>
      </w:pPr>
    </w:p>
    <w:p>
      <w:pPr>
        <w:ind w:left="720" w:hanging="200"/>
        <w:spacing w:after="0"/>
        <w:tabs>
          <w:tab w:leader="none" w:pos="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satisfactory evidence of payment of the transfer tax, or</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of an exemption from the transfer tax.</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TREATMENT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ectPr>
          <w:pgSz w:w="11900" w:h="16838" w:orient="portrait"/>
          <w:cols w:equalWidth="0" w:num="1">
            <w:col w:w="10219"/>
          </w:cols>
          <w:pgMar w:left="240" w:top="313" w:right="1440" w:bottom="0"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13" w:right="1440" w:bottom="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26</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DESCRIPTION OF SENIOR CREDIT FACILITY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description is a summary of material provisions of Scotts' amended and restated senior credit facility. It does not restate the credit facility in its entirety. We urge you to read the credit facility agreement because it, and not this description, define the terms of our other material outstanding indebtedness. Copies of the amended and restated senior credit facility are available as set forth under "Where You Can Find More Information."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December 5, 2000, Scotts and most of our subsidiaries entered into an amended and restated credit facility, which is senior to the notes. This senior credit facility establishes aggregate financing for Scotts and the subsidiaries that are parties of up to $1.1 billion. The credit financing under the senior credit facility is provided by a lending syndicate group consisting of approximately 100 lenders worldwide, with The Chase Manhattan Bank serving as Administrative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 ADDITIONAL CREDIT AVAILABLE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senior credit facility provides for aggregate total senior secured credit financing in the principal amount of up to $1.1 billion, consisting of term loan facilities in the aggregate amount of $525 million, and a revolving credit facility in the amount of $575 million. As of August 26, 2000, there were $458.9 million of term loans outstanding and $32.9 million outstanding under the revolving credit facility.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SPECIFIC CREDIT FACILITIES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term loan portion of the senior credit facility consists of two tranches. The Tranche A term loans consist of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loans consist of an aggregate principal amount equal to $260 million, which is to be repaid in nominal quarterly installments for the first 5 1/2 years and in substantial quarterly installments in the final year.</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$575 million revolving credit portion of the senior facility is available on a revolving basis for a term of 6 1/2 years. A portion of the revolving credit facility not to exceed $100 million is available for the issuance of letters of credit. In addition, a portion of the revolving credit facility not to exceed $225 million is available for borrowing in optional currencies, including German Deutschemarks, British Pound Sterling, French Francs, Belgian Francs, Italian Lira and other foreign currencies. However, no more than $120 million of this $225 million may be outstanding in foreign currencies other than British Pounds Sterling.</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is required to reduce the outstanding principal amount of all revolving credit loans to no more than $150 million for at least 30 consecutive days during each calendar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PREPAYMENTS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Scotts may prepay the term loans at any time, subject to the applicable prepayment fees. However, optional prepayments of the term loans may not be reborrowed.</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is required to make mandatory prepayments out of the net proceeds of any sale or issuance of equity, the incurrence of additional senior indebtedness and any sale or other disposition of more than a de minimis amount of assets. In addition Scotts is required to make mandatory prepayments out of a portion of excess cash flow.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Interest rates for the revolving credit facility and the term loans vary depending upon Scotts' leverage ratio and on the interest rate option selected by Scotts. As of August 26, 2000, the weighted average interest rate for the senior credit facility was 8.94%.</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3"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has guaranteed the performance of its subsidiaries under the senior credit facility. Additionally, most of Scotts domestic direct and indirect subsidiaries and some of Scotts direct foreign subsidiaries have guaranteed Scotts' performance under the senior credit facility.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COLLATERAL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and all of its domestic subsidiaries pledged substantially all of their personal property assets to secure the indebtedness and obligations under the senior credit facility. Additionally, Scotts and its domestic subsidiaries pledged any real property assets having a value in excess of $500,000, as well as substantially all of their intellectual property assets. Scotts and its direct and indirect subsidiaries also pledged primarily all of the stock which they owned in their own subsidiaries, unless the pledge was limited by the laws of a foreign country or would have resulted in adverse tax consequences to Scotts.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senior credit facility contains standard negative covenants, including covenants which impose limitations on the ability of Scotts to, among other things:</w:t>
      </w:r>
    </w:p>
    <w:p>
      <w:pPr>
        <w:spacing w:after="0" w:line="200" w:lineRule="exact"/>
        <w:rPr>
          <w:sz w:val="20"/>
          <w:szCs w:val="20"/>
          <w:color w:val="auto"/>
        </w:rPr>
      </w:pPr>
    </w:p>
    <w:p>
      <w:pPr>
        <w:ind w:left="720" w:hanging="200"/>
        <w:spacing w:after="0"/>
        <w:tabs>
          <w:tab w:leader="none" w:pos="7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liens on property, or incur contingent obligations;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all or substantially all of their assets; or</w:t>
      </w:r>
    </w:p>
    <w:p>
      <w:pPr>
        <w:spacing w:after="0" w:line="203" w:lineRule="exact"/>
        <w:rPr>
          <w:rFonts w:ascii="Courier New" w:cs="Courier New" w:eastAsia="Courier New" w:hAnsi="Courier New"/>
          <w:sz w:val="17"/>
          <w:szCs w:val="17"/>
          <w:color w:val="auto"/>
        </w:rPr>
      </w:pPr>
    </w:p>
    <w:p>
      <w:pPr>
        <w:ind w:left="720" w:right="3219" w:hanging="200"/>
        <w:spacing w:after="0" w:line="247" w:lineRule="auto"/>
        <w:tabs>
          <w:tab w:leader="none" w:pos="7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fundamental changes, investments, loans, advances or acquisitions in excess of $100 million.</w:t>
      </w:r>
    </w:p>
    <w:p>
      <w:pPr>
        <w:spacing w:after="0" w:line="198"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senior credit facility also contains financial covenants consisting of the maintenance of:</w:t>
      </w:r>
    </w:p>
    <w:p>
      <w:pPr>
        <w:spacing w:after="0" w:line="198" w:lineRule="exact"/>
        <w:rPr>
          <w:sz w:val="20"/>
          <w:szCs w:val="20"/>
          <w:color w:val="auto"/>
        </w:rPr>
      </w:pPr>
    </w:p>
    <w:p>
      <w:pPr>
        <w:ind w:left="720" w:right="1979" w:hanging="200"/>
        <w:spacing w:after="0" w:line="246" w:lineRule="auto"/>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specified leverage ratio of less than 4.75 to 1 decreasing to 4.25 to 1 on December 30, 2000 and decreasing periodically thereafter to 2.00 to 1 from December 31, 2004 on;</w:t>
      </w:r>
    </w:p>
    <w:p>
      <w:pPr>
        <w:spacing w:after="0" w:line="199"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specified consolidated net worth equal on the last day of each fiscal quarter, excluding the first fiscal quarter, to at least $340 million plus 50% of cumulative consolidated net income from December 31, 1998; and</w:t>
      </w:r>
    </w:p>
    <w:p>
      <w:pPr>
        <w:spacing w:after="0" w:line="200" w:lineRule="exact"/>
        <w:rPr>
          <w:rFonts w:ascii="Courier New" w:cs="Courier New" w:eastAsia="Courier New" w:hAnsi="Courier New"/>
          <w:sz w:val="17"/>
          <w:szCs w:val="17"/>
          <w:color w:val="auto"/>
        </w:rPr>
      </w:pPr>
    </w:p>
    <w:p>
      <w:pPr>
        <w:jc w:val="both"/>
        <w:ind w:left="720" w:right="2079" w:hanging="200"/>
        <w:spacing w:after="0" w:line="246" w:lineRule="auto"/>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interest coverage ratio of at least 2.25 to 1 increasing to 2.50 to 1 on December 31, 2000 and increasing periodically thereafter to 4.00 to 1 from December 30, 2004 on.</w:t>
      </w:r>
    </w:p>
    <w:p>
      <w:pPr>
        <w:spacing w:after="0" w:line="200"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DESCRIPTION OF NOTES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You can find the definitions of capitalized terms used in this description in quotation marks under the subheading "Definitions."</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ectPr>
          <w:pgSz w:w="11900" w:h="16838" w:orient="portrait"/>
          <w:cols w:equalWidth="0" w:num="1">
            <w:col w:w="10219"/>
          </w:cols>
          <w:pgMar w:left="240" w:top="31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3"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200" w:lineRule="exact"/>
        <w:rPr>
          <w:sz w:val="20"/>
          <w:szCs w:val="20"/>
          <w:color w:val="auto"/>
        </w:rPr>
      </w:pPr>
    </w:p>
    <w:p>
      <w:pPr>
        <w:ind w:left="720" w:right="2599" w:hanging="200"/>
        <w:spacing w:after="0" w:line="247" w:lineRule="auto"/>
        <w:tabs>
          <w:tab w:leader="none" w:pos="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notes will be registered under the Securities Act and, therefore, will not bear legends restricting transfer; and</w:t>
      </w:r>
    </w:p>
    <w:p>
      <w:pPr>
        <w:spacing w:after="0" w:line="197" w:lineRule="exact"/>
        <w:rPr>
          <w:rFonts w:ascii="Courier New" w:cs="Courier New" w:eastAsia="Courier New" w:hAnsi="Courier New"/>
          <w:sz w:val="17"/>
          <w:szCs w:val="17"/>
          <w:color w:val="auto"/>
        </w:rPr>
      </w:pPr>
    </w:p>
    <w:p>
      <w:pPr>
        <w:ind w:left="720" w:right="3119" w:hanging="200"/>
        <w:spacing w:after="0" w:line="247" w:lineRule="auto"/>
        <w:tabs>
          <w:tab w:leader="none" w:pos="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notes will not be entitled to the benefits of the registration rights agreement.</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Holders of original notes who do not exchange their original notes in the exchange offer will vote together with holders of the exchange notes for all relevant purposes under the indenture.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All of the notes:</w:t>
      </w:r>
    </w:p>
    <w:p>
      <w:pPr>
        <w:spacing w:after="0" w:line="203" w:lineRule="exact"/>
        <w:rPr>
          <w:sz w:val="20"/>
          <w:szCs w:val="20"/>
          <w:color w:val="auto"/>
        </w:rPr>
      </w:pPr>
    </w:p>
    <w:p>
      <w:pPr>
        <w:ind w:left="720" w:hanging="200"/>
        <w:spacing w:after="0"/>
        <w:tabs>
          <w:tab w:leader="none" w:pos="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general obligations of Scotts;</w:t>
      </w:r>
    </w:p>
    <w:p>
      <w:pPr>
        <w:spacing w:after="0" w:line="203" w:lineRule="exact"/>
        <w:rPr>
          <w:rFonts w:ascii="Courier New" w:cs="Courier New" w:eastAsia="Courier New" w:hAnsi="Courier New"/>
          <w:sz w:val="17"/>
          <w:szCs w:val="17"/>
          <w:color w:val="auto"/>
        </w:rPr>
      </w:pPr>
    </w:p>
    <w:p>
      <w:pPr>
        <w:ind w:left="720" w:right="2599" w:hanging="200"/>
        <w:spacing w:after="0" w:line="247" w:lineRule="auto"/>
        <w:tabs>
          <w:tab w:leader="none" w:pos="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subordinated in right of payment to all our existing and future senior debt; and</w:t>
      </w:r>
    </w:p>
    <w:p>
      <w:pPr>
        <w:spacing w:after="0" w:line="197" w:lineRule="exact"/>
        <w:rPr>
          <w:rFonts w:ascii="Courier New" w:cs="Courier New" w:eastAsia="Courier New" w:hAnsi="Courier New"/>
          <w:sz w:val="17"/>
          <w:szCs w:val="17"/>
          <w:color w:val="auto"/>
        </w:rPr>
      </w:pPr>
    </w:p>
    <w:p>
      <w:pPr>
        <w:ind w:left="720" w:right="2899" w:hanging="200"/>
        <w:spacing w:after="0" w:line="247" w:lineRule="auto"/>
        <w:tabs>
          <w:tab w:leader="none" w:pos="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senior in right of payment to any future junior subordinated indebtedness we may incur.</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Guarantees</w:t>
      </w:r>
    </w:p>
    <w:p>
      <w:pPr>
        <w:spacing w:after="0" w:line="203" w:lineRule="exact"/>
        <w:rPr>
          <w:sz w:val="20"/>
          <w:szCs w:val="20"/>
          <w:color w:val="auto"/>
        </w:rPr>
      </w:pPr>
    </w:p>
    <w:p>
      <w:pPr>
        <w:jc w:val="both"/>
        <w:ind w:right="2399" w:firstLine="515"/>
        <w:spacing w:after="0" w:line="247" w:lineRule="auto"/>
        <w:rPr>
          <w:sz w:val="20"/>
          <w:szCs w:val="20"/>
          <w:color w:val="auto"/>
        </w:rPr>
      </w:pPr>
      <w:r>
        <w:rPr>
          <w:rFonts w:ascii="Courier New" w:cs="Courier New" w:eastAsia="Courier New" w:hAnsi="Courier New"/>
          <w:sz w:val="17"/>
          <w:szCs w:val="17"/>
          <w:color w:val="auto"/>
        </w:rPr>
        <w:t>These notes will be guaranteed by all of our existing and future wholly owned domestic subsidiaries, except any that are designated as unrestricted.</w:t>
      </w:r>
    </w:p>
    <w:p>
      <w:pPr>
        <w:spacing w:after="0" w:line="198" w:lineRule="exact"/>
        <w:rPr>
          <w:sz w:val="20"/>
          <w:szCs w:val="20"/>
          <w:color w:val="auto"/>
        </w:rPr>
      </w:pPr>
    </w:p>
    <w:p>
      <w:pPr>
        <w:ind w:right="2999" w:firstLine="515"/>
        <w:spacing w:after="0" w:line="247" w:lineRule="auto"/>
        <w:rPr>
          <w:sz w:val="20"/>
          <w:szCs w:val="20"/>
          <w:color w:val="auto"/>
        </w:rPr>
      </w:pPr>
      <w:r>
        <w:rPr>
          <w:rFonts w:ascii="Courier New" w:cs="Courier New" w:eastAsia="Courier New" w:hAnsi="Courier New"/>
          <w:sz w:val="17"/>
          <w:szCs w:val="17"/>
          <w:color w:val="auto"/>
        </w:rPr>
        <w:t>As of the date of this prospectus, the following subsidiaries are guarantors of the notes:</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 Miracle-Gro Products, Inc.</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Miracle-Gro Lawn Products, Inc.</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Miracle-Gro Products Ltd.</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OMS Investments, Inc.</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Old Fort Financial Corp.</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Hyponex Corporation</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EarthGro, Inc.</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 Products Co.</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 Professional Products Co.</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Republic Tool &amp; Manufacturing Corp.</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Scotts-Sierra Horticultural Products Company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Scotts-Sierra Crop Protection Company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Scotts-Sierra Investments, Inc.</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Swiss Farms Products, Inc.</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ectPr>
          <w:pgSz w:w="11900" w:h="16838" w:orient="portrait"/>
          <w:cols w:equalWidth="0" w:num="1">
            <w:col w:w="10219"/>
          </w:cols>
          <w:pgMar w:left="240" w:top="31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3"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29</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guarantees:</w:t>
      </w:r>
    </w:p>
    <w:p>
      <w:pPr>
        <w:spacing w:after="0" w:line="203" w:lineRule="exact"/>
        <w:rPr>
          <w:sz w:val="20"/>
          <w:szCs w:val="20"/>
          <w:color w:val="auto"/>
        </w:rPr>
      </w:pPr>
    </w:p>
    <w:p>
      <w:pPr>
        <w:ind w:left="720" w:hanging="200"/>
        <w:spacing w:after="0"/>
        <w:tabs>
          <w:tab w:leader="none" w:pos="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general obligations of each guarantor;</w:t>
      </w:r>
    </w:p>
    <w:p>
      <w:pPr>
        <w:spacing w:after="0" w:line="203"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subordinated in right of payment to all existing and future senior debt of each guarantor; and</w:t>
      </w:r>
    </w:p>
    <w:p>
      <w:pPr>
        <w:spacing w:after="0" w:line="197" w:lineRule="exact"/>
        <w:rPr>
          <w:rFonts w:ascii="Courier New" w:cs="Courier New" w:eastAsia="Courier New" w:hAnsi="Courier New"/>
          <w:sz w:val="17"/>
          <w:szCs w:val="17"/>
          <w:color w:val="auto"/>
        </w:rPr>
      </w:pPr>
    </w:p>
    <w:p>
      <w:pPr>
        <w:ind w:left="720" w:right="2899" w:hanging="200"/>
        <w:spacing w:after="0" w:line="247" w:lineRule="auto"/>
        <w:tabs>
          <w:tab w:leader="none" w:pos="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senior in right of payment to any future junior subordinated indebtedness of each guarantor.</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MATURITY AND INTEREST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METHODS OF RECEIVING PAYMENTS ON THE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PAYING AGENT AND REGISTRAR FOR THE NOTES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trustee is currently the paying agent and registrar. We may change the paying agent or registrar without prior notice to the holders of the notes. Scotts or any of our subsidiaries may act as paying agent or registrar.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AND EXCHANGE</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200"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registered holder of a note will be treated as the owner of it for all purposes.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SUBSIDIARY GUARANTEES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ectPr>
          <w:pgSz w:w="11900" w:h="16838" w:orient="portrait"/>
          <w:cols w:equalWidth="0" w:num="1">
            <w:col w:w="10219"/>
          </w:cols>
          <w:pgMar w:left="240" w:top="313" w:right="1440" w:bottom="930" w:gutter="0" w:footer="0" w:header="0"/>
        </w:sectPr>
      </w:pP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3" w:right="1440" w:bottom="93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30</w:t>
      </w:r>
    </w:p>
    <w:p>
      <w:pPr>
        <w:spacing w:after="0" w:line="203"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A subsidiary guarantor may not sell or otherwise dispose of all or substantially all of its assets, or consolidate with or merge with or into another person unless:</w:t>
      </w:r>
    </w:p>
    <w:p>
      <w:pPr>
        <w:spacing w:after="0" w:line="200" w:lineRule="exact"/>
        <w:rPr>
          <w:sz w:val="20"/>
          <w:szCs w:val="20"/>
          <w:color w:val="auto"/>
        </w:rPr>
      </w:pPr>
    </w:p>
    <w:p>
      <w:pPr>
        <w:ind w:left="720" w:right="2079" w:hanging="200"/>
        <w:spacing w:after="0" w:line="247" w:lineRule="auto"/>
        <w:tabs>
          <w:tab w:leader="none" w:pos="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that transaction, no default or event of default exists under the indenture;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w:t>
      </w:r>
    </w:p>
    <w:p>
      <w:pPr>
        <w:spacing w:after="0" w:line="203"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 acquiring the property in the sale or disposition or the person formed by or surviving the consolidation or merger assumes all the obligations of that subsidiary guarantor under its subsidiary guarantee; or</w:t>
      </w:r>
    </w:p>
    <w:p>
      <w:pPr>
        <w:spacing w:after="0" w:line="200" w:lineRule="exact"/>
        <w:rPr>
          <w:rFonts w:ascii="Courier New" w:cs="Courier New" w:eastAsia="Courier New" w:hAnsi="Courier New"/>
          <w:sz w:val="17"/>
          <w:szCs w:val="17"/>
          <w:color w:val="auto"/>
        </w:rPr>
      </w:pPr>
    </w:p>
    <w:p>
      <w:pPr>
        <w:ind w:left="1040" w:right="2599" w:hanging="211"/>
        <w:spacing w:after="0" w:line="247" w:lineRule="auto"/>
        <w:tabs>
          <w:tab w:leader="none" w:pos="10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proceeds of the sale or other disposition are applied as dictated by the indenture.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subsidiary guarantee of a subsidiary guarantor will be released:</w:t>
      </w:r>
    </w:p>
    <w:p>
      <w:pPr>
        <w:spacing w:after="0" w:line="203" w:lineRule="exact"/>
        <w:rPr>
          <w:sz w:val="20"/>
          <w:szCs w:val="20"/>
          <w:color w:val="auto"/>
        </w:rPr>
      </w:pPr>
    </w:p>
    <w:p>
      <w:pPr>
        <w:ind w:left="720" w:right="2079" w:hanging="200"/>
        <w:spacing w:after="0" w:line="246" w:lineRule="auto"/>
        <w:tabs>
          <w:tab w:leader="none" w:pos="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sale of all of the capital stock of a subsidiary guarantor, so long as we apply the net proceeds of that sale as dictated by the indenture; or</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designate any restricted subsidiary that is a subsidiary guarantor as an unrestricted subsidiary.</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03"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The payment of principal, premium, interest and liquidated damages, if any, on the notes will be subordinated to the prior payment in full of all our senior debt.</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holders of senior debt will be entitled to receive payment in full of all obligations due in respect of their senior debt before the holders of notes will be entitled to receive any payment on the notes in the event of any distribution to our creditors in any of the following circumstances:</w:t>
      </w:r>
    </w:p>
    <w:p>
      <w:pPr>
        <w:spacing w:after="0" w:line="200" w:lineRule="exact"/>
        <w:rPr>
          <w:sz w:val="20"/>
          <w:szCs w:val="20"/>
          <w:color w:val="auto"/>
        </w:rPr>
      </w:pPr>
    </w:p>
    <w:p>
      <w:pPr>
        <w:ind w:left="720" w:hanging="200"/>
        <w:spacing w:after="0"/>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liquidation or dissolution of Scotts;</w:t>
      </w:r>
    </w:p>
    <w:p>
      <w:pPr>
        <w:spacing w:after="0" w:line="203"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bankruptcy, reorganization, insolvency, receivership or similar proceeding;</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assignment for the benefit of our creditors; or</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marshaling of our assets and liabilities.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also may not make any payment on the notes if:</w:t>
      </w:r>
    </w:p>
    <w:p>
      <w:pPr>
        <w:spacing w:after="0" w:line="203" w:lineRule="exact"/>
        <w:rPr>
          <w:sz w:val="20"/>
          <w:szCs w:val="20"/>
          <w:color w:val="auto"/>
        </w:rPr>
      </w:pPr>
    </w:p>
    <w:p>
      <w:pPr>
        <w:ind w:left="720" w:right="2279" w:hanging="200"/>
        <w:spacing w:after="0" w:line="247" w:lineRule="auto"/>
        <w:tabs>
          <w:tab w:leader="none" w:pos="7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payment default occurs and is continuing beyond any applicable grace period under:</w:t>
      </w:r>
    </w:p>
    <w:p>
      <w:pPr>
        <w:spacing w:after="0" w:line="197" w:lineRule="exact"/>
        <w:rPr>
          <w:rFonts w:ascii="Courier New" w:cs="Courier New" w:eastAsia="Courier New" w:hAnsi="Courier New"/>
          <w:sz w:val="17"/>
          <w:szCs w:val="17"/>
          <w:color w:val="auto"/>
        </w:rPr>
      </w:pPr>
    </w:p>
    <w:p>
      <w:pPr>
        <w:ind w:left="1040" w:hanging="211"/>
        <w:spacing w:after="0"/>
        <w:tabs>
          <w:tab w:leader="none" w:pos="10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credit facility, or</w:t>
      </w:r>
    </w:p>
    <w:p>
      <w:pPr>
        <w:spacing w:after="0" w:line="203" w:lineRule="exact"/>
        <w:rPr>
          <w:rFonts w:ascii="Courier New" w:cs="Courier New" w:eastAsia="Courier New" w:hAnsi="Courier New"/>
          <w:sz w:val="17"/>
          <w:szCs w:val="17"/>
          <w:color w:val="auto"/>
        </w:rPr>
      </w:pPr>
    </w:p>
    <w:p>
      <w:pPr>
        <w:ind w:left="1040" w:hanging="211"/>
        <w:spacing w:after="0"/>
        <w:tabs>
          <w:tab w:leader="none" w:pos="10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senior debt of greater than $10 million that we designate; or</w:t>
      </w:r>
    </w:p>
    <w:p>
      <w:pPr>
        <w:spacing w:after="0" w:line="203"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These events are known as payment blockages.</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13"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31</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Payments on the notes will be resumed:</w:t>
      </w:r>
    </w:p>
    <w:p>
      <w:pPr>
        <w:spacing w:after="0" w:line="203" w:lineRule="exact"/>
        <w:rPr>
          <w:sz w:val="20"/>
          <w:szCs w:val="20"/>
          <w:color w:val="auto"/>
        </w:rPr>
      </w:pPr>
    </w:p>
    <w:p>
      <w:pPr>
        <w:ind w:left="720" w:right="2499" w:hanging="200"/>
        <w:spacing w:after="0" w:line="247" w:lineRule="auto"/>
        <w:tabs>
          <w:tab w:leader="none" w:pos="7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payment default, as soon as the default is cured or waived; and</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 new notice of a payment blockage may be delivered unless and until:</w:t>
      </w:r>
    </w:p>
    <w:p>
      <w:pPr>
        <w:spacing w:after="0" w:line="203" w:lineRule="exact"/>
        <w:rPr>
          <w:sz w:val="20"/>
          <w:szCs w:val="20"/>
          <w:color w:val="auto"/>
        </w:rPr>
      </w:pPr>
    </w:p>
    <w:p>
      <w:pPr>
        <w:ind w:left="720" w:right="2279" w:hanging="200"/>
        <w:spacing w:after="0" w:line="247" w:lineRule="auto"/>
        <w:tabs>
          <w:tab w:leader="none" w:pos="7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360 days have elapsed since the effectiveness of the immediately prior notice of a payment blockage; and</w:t>
      </w:r>
    </w:p>
    <w:p>
      <w:pPr>
        <w:spacing w:after="0" w:line="197"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scheduled payments of principal, premium and interest and liquidated damages, if any, on the notes that have come due have been paid in full in cash.</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200"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Scotts must promptly notify holders of our senior debt if payment of the notes is accelerated because of an event of default under the indenture.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As a result</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of the subordination provisions described</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above,</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in the event</w:t>
            </w:r>
          </w:p>
        </w:tc>
      </w:tr>
      <w:tr>
        <w:trPr>
          <w:trHeight w:val="198"/>
        </w:trPr>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of a bankruptcy,</w:t>
            </w:r>
          </w:p>
        </w:tc>
        <w:tc>
          <w:tcPr>
            <w:tcW w:w="5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liquidation or reorganization of Scotts, holders</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w w:val="99"/>
              </w:rPr>
              <w:t>of these notes</w:t>
            </w:r>
          </w:p>
        </w:tc>
      </w:tr>
      <w:tr>
        <w:trPr>
          <w:trHeight w:val="198"/>
        </w:trPr>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may recover less</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ratably than creditors who are holders of</w:t>
            </w:r>
          </w:p>
        </w:tc>
        <w:tc>
          <w:tcPr>
            <w:tcW w:w="22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our senior debt.</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pacing w:after="0" w:line="202" w:lineRule="exact"/>
        <w:rPr>
          <w:sz w:val="20"/>
          <w:szCs w:val="20"/>
          <w:color w:val="auto"/>
        </w:rPr>
      </w:pPr>
    </w:p>
    <w:p>
      <w:pPr>
        <w:ind w:left="720" w:right="2699" w:hanging="200"/>
        <w:spacing w:after="0" w:line="247" w:lineRule="auto"/>
        <w:tabs>
          <w:tab w:leader="none" w:pos="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least 65% of the notes remain outstanding immediately after the occurrence of the redemption, excluding any notes held by us; and</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occurs within 90 days of the date of the closing of the public equity offering.</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Otherwise, the notes will not be redeemable prior to January 15, 2004.</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After January 15, 2004, we may redeem all or a part of these notes by giving at least 30 but no more than 60 days' notice. The redemption price will be equal to the percentage of principal amount shown in the following table plus accrued and unpaid interest and liquidated damages, if any, to the applicable redemption date:</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416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PERCENTAGE</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From January 15, 2004 through January 14, 2005..............</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104.313%</w:t>
            </w:r>
          </w:p>
        </w:tc>
      </w:tr>
      <w:tr>
        <w:trPr>
          <w:trHeight w:val="198"/>
        </w:trPr>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From January 15, 2005 through January 14, 2006..............</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102.875%</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From January 15, 2006</w:t>
            </w:r>
          </w:p>
        </w:tc>
        <w:tc>
          <w:tcPr>
            <w:tcW w:w="4160" w:type="dxa"/>
            <w:vAlign w:val="bottom"/>
          </w:tcPr>
          <w:p>
            <w:pPr>
              <w:ind w:left="60"/>
              <w:spacing w:after="0"/>
              <w:rPr>
                <w:sz w:val="20"/>
                <w:szCs w:val="20"/>
                <w:color w:val="auto"/>
              </w:rPr>
            </w:pPr>
            <w:r>
              <w:rPr>
                <w:rFonts w:ascii="Courier New" w:cs="Courier New" w:eastAsia="Courier New" w:hAnsi="Courier New"/>
                <w:sz w:val="17"/>
                <w:szCs w:val="17"/>
                <w:color w:val="auto"/>
              </w:rPr>
              <w:t>through January 14, 2007..............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101.438%</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From January 15, 2007</w:t>
            </w:r>
          </w:p>
        </w:tc>
        <w:tc>
          <w:tcPr>
            <w:tcW w:w="4160" w:type="dxa"/>
            <w:vAlign w:val="bottom"/>
          </w:tcPr>
          <w:p>
            <w:pPr>
              <w:ind w:left="60"/>
              <w:spacing w:after="0"/>
              <w:rPr>
                <w:sz w:val="20"/>
                <w:szCs w:val="20"/>
                <w:color w:val="auto"/>
              </w:rPr>
            </w:pPr>
            <w:r>
              <w:rPr>
                <w:rFonts w:ascii="Courier New" w:cs="Courier New" w:eastAsia="Courier New" w:hAnsi="Courier New"/>
                <w:sz w:val="17"/>
                <w:szCs w:val="17"/>
                <w:color w:val="auto"/>
              </w:rPr>
              <w:t>and thereafter........................</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100.00%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MANDATORY REDEMPTION</w:t>
      </w:r>
    </w:p>
    <w:p>
      <w:pPr>
        <w:spacing w:after="0" w:line="203" w:lineRule="exact"/>
        <w:rPr>
          <w:sz w:val="20"/>
          <w:szCs w:val="20"/>
          <w:color w:val="auto"/>
        </w:rPr>
      </w:pPr>
    </w:p>
    <w:p>
      <w:pPr>
        <w:jc w:val="both"/>
        <w:ind w:right="2399" w:firstLine="515"/>
        <w:spacing w:after="0" w:line="247" w:lineRule="auto"/>
        <w:rPr>
          <w:sz w:val="20"/>
          <w:szCs w:val="20"/>
          <w:color w:val="auto"/>
        </w:rPr>
      </w:pPr>
      <w:r>
        <w:rPr>
          <w:rFonts w:ascii="Courier New" w:cs="Courier New" w:eastAsia="Courier New" w:hAnsi="Courier New"/>
          <w:sz w:val="17"/>
          <w:szCs w:val="17"/>
          <w:color w:val="auto"/>
        </w:rPr>
        <w:t>The indenture does not provide for mandatory redemption or sinking fund payments.</w:t>
      </w:r>
    </w:p>
    <w:p>
      <w:pPr>
        <w:sectPr>
          <w:pgSz w:w="11900" w:h="16838" w:orient="portrait"/>
          <w:cols w:equalWidth="0" w:num="1">
            <w:col w:w="10219"/>
          </w:cols>
          <w:pgMar w:left="240" w:top="31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13" w:right="1440" w:bottom="1440"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REPURCHASE AT THE OPTION OF HOLDERS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Change of Control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5"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In connection with any offer upon a "Change in Control," we will, to the extent lawful:</w:t>
      </w:r>
    </w:p>
    <w:p>
      <w:pPr>
        <w:spacing w:after="0" w:line="198" w:lineRule="exact"/>
        <w:rPr>
          <w:sz w:val="20"/>
          <w:szCs w:val="20"/>
          <w:color w:val="auto"/>
        </w:rPr>
      </w:pPr>
    </w:p>
    <w:p>
      <w:pPr>
        <w:ind w:left="720" w:hanging="200"/>
        <w:spacing w:after="0"/>
        <w:tabs>
          <w:tab w:leader="none" w:pos="7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 for payment all notes or portions thereof properly tendered;</w:t>
      </w:r>
    </w:p>
    <w:p>
      <w:pPr>
        <w:spacing w:after="0" w:line="203"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with the paying agent an amount equal to the required payment in respect of all notes or portions thereof so tendered; and</w:t>
      </w:r>
    </w:p>
    <w:p>
      <w:pPr>
        <w:spacing w:after="0" w:line="197"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or cause to be delivered to the trustee the notes so accepted together with the applicable officers certificate.</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 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w:t>
      </w:r>
    </w:p>
    <w:p>
      <w:pPr>
        <w:sectPr>
          <w:pgSz w:w="11900" w:h="16838" w:orient="portrait"/>
          <w:cols w:equalWidth="0" w:num="1">
            <w:col w:w="10219"/>
          </w:cols>
          <w:pgMar w:left="240" w:top="313" w:right="1440" w:bottom="138"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13" w:right="1440" w:bottom="138"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7"/>
          <w:szCs w:val="17"/>
          <w:color w:val="auto"/>
        </w:rPr>
        <w:t>33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require Scotts to repurchase notes as a result of a sale, lease, transfer, conveyance or other disposition of less than all of the assets of the Scotts and its subsidiaries taken as a whole to another person or group may be uncertain.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 SALES</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Scotts will not, and will not permit any of its restricted subsidiaries to, consummate an "Asset Sale" unless:</w:t>
      </w:r>
    </w:p>
    <w:p>
      <w:pPr>
        <w:spacing w:after="0" w:line="198" w:lineRule="exact"/>
        <w:rPr>
          <w:sz w:val="20"/>
          <w:szCs w:val="20"/>
          <w:color w:val="auto"/>
        </w:rPr>
      </w:pPr>
    </w:p>
    <w:p>
      <w:pPr>
        <w:ind w:left="720" w:right="1979" w:hanging="200"/>
        <w:spacing w:after="0" w:line="246" w:lineRule="auto"/>
        <w:tabs>
          <w:tab w:leader="none" w:pos="7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w:t>
      </w:r>
    </w:p>
    <w:p>
      <w:pPr>
        <w:spacing w:after="0" w:line="203" w:lineRule="exact"/>
        <w:rPr>
          <w:rFonts w:ascii="Courier New" w:cs="Courier New" w:eastAsia="Courier New" w:hAnsi="Courier New"/>
          <w:sz w:val="17"/>
          <w:szCs w:val="17"/>
          <w:color w:val="auto"/>
        </w:rPr>
      </w:pPr>
    </w:p>
    <w:p>
      <w:pPr>
        <w:ind w:left="1540" w:right="1979" w:hanging="196"/>
        <w:spacing w:after="0" w:line="247" w:lineRule="auto"/>
        <w:tabs>
          <w:tab w:leader="none" w:pos="154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or the subsidiary issues equity interests as consideration or transfers assets in a tax-deferred exchange; or</w:t>
      </w:r>
    </w:p>
    <w:p>
      <w:pPr>
        <w:spacing w:after="0" w:line="197"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least 75% of the consideration received by Scotts or the subsidiary is in the form of cash or cash equivalents, including assumed liabilities that are subordinate to the notes.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Within 360 days after the receipt of any net proceeds from an "Asset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apply the net proceeds:</w:t>
      </w:r>
    </w:p>
    <w:p>
      <w:pPr>
        <w:spacing w:after="0" w:line="203" w:lineRule="exact"/>
        <w:rPr>
          <w:sz w:val="20"/>
          <w:szCs w:val="20"/>
          <w:color w:val="auto"/>
        </w:rPr>
      </w:pPr>
    </w:p>
    <w:p>
      <w:pPr>
        <w:ind w:left="720" w:right="1979" w:hanging="200"/>
        <w:spacing w:after="0" w:line="247" w:lineRule="auto"/>
        <w:tabs>
          <w:tab w:leader="none" w:pos="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repay senior debt, and to make a corresponding commitment reduction if the senior debt is revolving;</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acquire a related business;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 capital expenditure; and/or</w:t>
      </w:r>
    </w:p>
    <w:p>
      <w:pPr>
        <w:spacing w:after="0" w:line="203" w:lineRule="exact"/>
        <w:rPr>
          <w:rFonts w:ascii="Courier New" w:cs="Courier New" w:eastAsia="Courier New" w:hAnsi="Courier New"/>
          <w:sz w:val="17"/>
          <w:szCs w:val="17"/>
          <w:color w:val="auto"/>
        </w:rPr>
      </w:pPr>
    </w:p>
    <w:p>
      <w:pPr>
        <w:ind w:left="720" w:right="2899" w:hanging="200"/>
        <w:spacing w:after="0" w:line="247" w:lineRule="auto"/>
        <w:tabs>
          <w:tab w:leader="none" w:pos="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acquire other long-term assets that are used or useful to our businesses.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 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SELECTION AND NOTICE</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If less than all of the notes are to be redeemed at any time, the trustee will select notes for redemption as follows:</w:t>
      </w:r>
    </w:p>
    <w:p>
      <w:pPr>
        <w:spacing w:after="0" w:line="198" w:lineRule="exact"/>
        <w:rPr>
          <w:sz w:val="20"/>
          <w:szCs w:val="20"/>
          <w:color w:val="auto"/>
        </w:rPr>
      </w:pPr>
    </w:p>
    <w:p>
      <w:pPr>
        <w:ind w:left="720" w:right="2079" w:hanging="200"/>
        <w:spacing w:after="0" w:line="247" w:lineRule="auto"/>
        <w:tabs>
          <w:tab w:leader="none" w:pos="7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notes are listed, in compliance with the requirements of the principal national securities exchange on which the notes are listed; or</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notes are not listed, on a pro rata basis, by lot or by another method that the trustee deems fair and appropriate.</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Notices of redemption will be mailed by first class mail at least 30 but not more than 60 days before the redemption date to each holder of notes to be redeemed at its registered address. Notices of redemption may not be conditional.</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13"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34</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COVENANTS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Restricted Payments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Generally, we have agreed that we will not, and will not permit any of our restricted subsidiaries to, directly or indirectly:</w:t>
      </w:r>
    </w:p>
    <w:p>
      <w:pPr>
        <w:spacing w:after="0" w:line="198" w:lineRule="exact"/>
        <w:rPr>
          <w:sz w:val="20"/>
          <w:szCs w:val="20"/>
          <w:color w:val="auto"/>
        </w:rPr>
      </w:pPr>
    </w:p>
    <w:p>
      <w:pPr>
        <w:ind w:left="720" w:right="2899" w:hanging="200"/>
        <w:spacing w:after="0" w:line="246" w:lineRule="auto"/>
        <w:tabs>
          <w:tab w:leader="none" w:pos="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any dividend or make any other similar payment or distribution to our stockholders, other than stock dividends or distributions;</w:t>
      </w:r>
    </w:p>
    <w:p>
      <w:pPr>
        <w:spacing w:after="0" w:line="199"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redeem or otherwise acquire or retire for value any capital stock held by persons other than Scotts or a restricted subsidiary;</w:t>
      </w:r>
    </w:p>
    <w:p>
      <w:pPr>
        <w:spacing w:after="0" w:line="197"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restricted investment.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indenture refers to all of these payments or expenditures as restricted payments. We may make a restricted payment if, upon giving effect to the restricted payment, the following conditions are met:</w:t>
      </w:r>
    </w:p>
    <w:p>
      <w:pPr>
        <w:spacing w:after="0" w:line="200" w:lineRule="exact"/>
        <w:rPr>
          <w:sz w:val="20"/>
          <w:szCs w:val="20"/>
          <w:color w:val="auto"/>
        </w:rPr>
      </w:pPr>
    </w:p>
    <w:p>
      <w:pPr>
        <w:ind w:left="720" w:right="2179" w:hanging="200"/>
        <w:spacing w:after="0" w:line="247" w:lineRule="auto"/>
        <w:tabs>
          <w:tab w:leader="none" w:pos="7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existing defaults or events of default under the indenture and the restricted payment would not trigger one; and</w:t>
      </w:r>
    </w:p>
    <w:p>
      <w:pPr>
        <w:spacing w:after="0" w:line="197"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200"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restricted payment, together with the aggregate amount of all other restricted payments not otherwise permitted by the indenture, is less than the sum of:</w:t>
      </w:r>
    </w:p>
    <w:p>
      <w:pPr>
        <w:spacing w:after="0" w:line="199"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201" w:lineRule="exact"/>
        <w:rPr>
          <w:rFonts w:ascii="Courier New" w:cs="Courier New" w:eastAsia="Courier New" w:hAnsi="Courier New"/>
          <w:sz w:val="17"/>
          <w:szCs w:val="17"/>
          <w:color w:val="auto"/>
        </w:rPr>
      </w:pPr>
    </w:p>
    <w:p>
      <w:pPr>
        <w:ind w:left="1540" w:right="1979" w:hanging="196"/>
        <w:spacing w:after="0" w:line="246" w:lineRule="auto"/>
        <w:tabs>
          <w:tab w:leader="none" w:pos="154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100% of the aggregate net cash proceeds from most contributions to capital or sales of capital stock that occur after January 21, 1999; plus</w:t>
      </w:r>
    </w:p>
    <w:p>
      <w:pPr>
        <w:spacing w:after="0" w:line="199"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received upon the liquidation of restricted investments valued at the lesser of the cash received and the initial amount of the restricted investment; plus</w:t>
      </w:r>
    </w:p>
    <w:p>
      <w:pPr>
        <w:spacing w:after="0" w:line="199" w:lineRule="exact"/>
        <w:rPr>
          <w:rFonts w:ascii="Courier New" w:cs="Courier New" w:eastAsia="Courier New" w:hAnsi="Courier New"/>
          <w:sz w:val="17"/>
          <w:szCs w:val="17"/>
          <w:color w:val="auto"/>
        </w:rPr>
      </w:pPr>
    </w:p>
    <w:p>
      <w:pPr>
        <w:ind w:left="1540" w:hanging="196"/>
        <w:spacing w:after="0"/>
        <w:tabs>
          <w:tab w:leader="none" w:pos="154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 million.</w:t>
      </w:r>
    </w:p>
    <w:p>
      <w:pPr>
        <w:spacing w:after="0" w:line="203"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In addition, as long as there are no existing defaults under the indenture and none would be caused by a restricted payment we may also make the following restricted payments:</w:t>
      </w:r>
    </w:p>
    <w:p>
      <w:pPr>
        <w:spacing w:after="0" w:line="200" w:lineRule="exact"/>
        <w:rPr>
          <w:sz w:val="20"/>
          <w:szCs w:val="20"/>
          <w:color w:val="auto"/>
        </w:rPr>
      </w:pPr>
    </w:p>
    <w:p>
      <w:pPr>
        <w:ind w:left="720" w:right="1979" w:hanging="200"/>
        <w:spacing w:after="0" w:line="246" w:lineRule="auto"/>
        <w:tabs>
          <w:tab w:leader="none" w:pos="7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any dividend within 60 days after the date of declaration, if at the date of declaration the payment would have complied with the provisions of the indenture;</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repurchase, retirement, defeasance or other acquisition of our 9 7/8% Senior Subordinated Notes due 2004 or of any of the notes;</w:t>
      </w:r>
    </w:p>
    <w:p>
      <w:pPr>
        <w:sectPr>
          <w:pgSz w:w="11900" w:h="16838" w:orient="portrait"/>
          <w:cols w:equalWidth="0" w:num="1">
            <w:col w:w="10219"/>
          </w:cols>
          <w:pgMar w:left="240" w:top="313" w:right="1440" w:bottom="732"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13" w:right="1440" w:bottom="732"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left="720" w:right="1979" w:hanging="200"/>
        <w:spacing w:after="0" w:line="246" w:lineRule="auto"/>
        <w:tabs>
          <w:tab w:leader="none" w:pos="7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202"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200"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any dividend to holders of our Class A Convertible Preferred Stock; and</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repurchase, redemption or other acquisition or retirement for value of up to $5.0 million in any 12 month period of any capital stock held by members of management under a subscription agreement or stock option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INCURRENCE OF INDEBTEDNESS AND ISSUANCE OF PREFERRED STOCK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204"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Whether or not we can meet the "Fixed Charge Coverage Ratio" the following incurrences are permitted:</w:t>
      </w:r>
    </w:p>
    <w:p>
      <w:pPr>
        <w:spacing w:after="0" w:line="198" w:lineRule="exact"/>
        <w:rPr>
          <w:sz w:val="20"/>
          <w:szCs w:val="20"/>
          <w:color w:val="auto"/>
        </w:rPr>
      </w:pPr>
    </w:p>
    <w:p>
      <w:pPr>
        <w:ind w:left="720" w:right="2179" w:hanging="200"/>
        <w:spacing w:after="0" w:line="246" w:lineRule="auto"/>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existing indebtedness as of January 21, 1999;</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indebtedness under the indenture;</w:t>
      </w:r>
    </w:p>
    <w:p>
      <w:pPr>
        <w:spacing w:after="0" w:line="203"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200" w:lineRule="exact"/>
        <w:rPr>
          <w:rFonts w:ascii="Courier New" w:cs="Courier New" w:eastAsia="Courier New" w:hAnsi="Courier New"/>
          <w:sz w:val="17"/>
          <w:szCs w:val="17"/>
          <w:color w:val="auto"/>
        </w:rPr>
      </w:pPr>
    </w:p>
    <w:p>
      <w:pPr>
        <w:jc w:val="both"/>
        <w:ind w:left="720" w:right="2179" w:hanging="200"/>
        <w:spacing w:after="0" w:line="246" w:lineRule="auto"/>
        <w:tabs>
          <w:tab w:leader="none" w:pos="7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intercompany indebtedness between or among Scotts and any of its restricted subsidiaries, as long as the following conditions have been met:</w:t>
      </w:r>
    </w:p>
    <w:p>
      <w:pPr>
        <w:spacing w:after="0" w:line="199"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that is held by a restricted subsidiary that is not a guarantor must be expressly subordinated to the prior payment in full in cash of all obligations under the notes and</w:t>
      </w:r>
    </w:p>
    <w:p>
      <w:pPr>
        <w:spacing w:after="0" w:line="199" w:lineRule="exact"/>
        <w:rPr>
          <w:rFonts w:ascii="Courier New" w:cs="Courier New" w:eastAsia="Courier New" w:hAnsi="Courier New"/>
          <w:sz w:val="17"/>
          <w:szCs w:val="17"/>
          <w:color w:val="auto"/>
        </w:rPr>
      </w:pPr>
    </w:p>
    <w:p>
      <w:pPr>
        <w:ind w:left="1540" w:right="1979" w:hanging="196"/>
        <w:spacing w:after="0" w:line="246" w:lineRule="auto"/>
        <w:tabs>
          <w:tab w:leader="none" w:pos="154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intercompany indebtedness is transferred subsequently to a person other than Scotts or a restricted subsidiary, it will be deemed to constitute a new incurrence of indebtedness that must comply with the terms of the indenture;</w:t>
      </w:r>
    </w:p>
    <w:p>
      <w:pPr>
        <w:sectPr>
          <w:pgSz w:w="11900" w:h="16838" w:orient="portrait"/>
          <w:cols w:equalWidth="0" w:num="1">
            <w:col w:w="10219"/>
          </w:cols>
          <w:pgMar w:left="240" w:top="313" w:right="1440" w:bottom="1128"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3" w:right="1440" w:bottom="1128"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36</w:t>
      </w:r>
    </w:p>
    <w:p>
      <w:pPr>
        <w:spacing w:after="0" w:line="203" w:lineRule="exact"/>
        <w:rPr>
          <w:sz w:val="20"/>
          <w:szCs w:val="20"/>
          <w:color w:val="auto"/>
        </w:rPr>
      </w:pPr>
    </w:p>
    <w:p>
      <w:pPr>
        <w:ind w:left="720" w:right="1979" w:hanging="200"/>
        <w:spacing w:after="0" w:line="246"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200"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guarantee of indebtedness by Scotts or a restricted subsidiary that was otherwise permitted to be incurred;</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195,000 shares of Class A Convertible Preferred Stock outstanding as of the date of the indenture, all of which have since been converted into common shares;</w:t>
      </w:r>
    </w:p>
    <w:p>
      <w:pPr>
        <w:spacing w:after="0" w:line="199" w:lineRule="exact"/>
        <w:rPr>
          <w:rFonts w:ascii="Courier New" w:cs="Courier New" w:eastAsia="Courier New" w:hAnsi="Courier New"/>
          <w:sz w:val="17"/>
          <w:szCs w:val="17"/>
          <w:color w:val="auto"/>
        </w:rPr>
      </w:pPr>
    </w:p>
    <w:p>
      <w:pPr>
        <w:ind w:left="720" w:right="2499" w:hanging="200"/>
        <w:spacing w:after="0" w:line="247"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by our foreign subsidiaries of up to $60.0 million of indebtedness at any one time;</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of indebtedness by borrowing against our accounts receivables or equipment in qualified securitization transactions; and</w:t>
      </w:r>
    </w:p>
    <w:p>
      <w:pPr>
        <w:spacing w:after="0" w:line="197"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by Scotts or any of its restricted subsidiaries of up to $40.0 million additional indebtedness at any one time.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SENIOR SUBORDINATED DEBT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LIENS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have agreed that we will not directly or indirectly:</w:t>
      </w:r>
    </w:p>
    <w:p>
      <w:pPr>
        <w:spacing w:after="0" w:line="203" w:lineRule="exact"/>
        <w:rPr>
          <w:sz w:val="20"/>
          <w:szCs w:val="20"/>
          <w:color w:val="auto"/>
        </w:rPr>
      </w:pPr>
    </w:p>
    <w:p>
      <w:pPr>
        <w:ind w:left="720" w:hanging="200"/>
        <w:spacing w:after="0"/>
        <w:tabs>
          <w:tab w:leader="none" w:pos="7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 or convey any right to receive income on any of our assets or</w:t>
      </w:r>
    </w:p>
    <w:p>
      <w:pPr>
        <w:spacing w:after="0" w:line="203"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or allow to exist any lien of any kind securing indebtedness or trade payables on any of our assets or on any income or profits from the assets except "Permitted Liens,"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unless the notes and the guarantees, as applicable, are either</w:t>
      </w:r>
    </w:p>
    <w:p>
      <w:pPr>
        <w:spacing w:after="0" w:line="203" w:lineRule="exact"/>
        <w:rPr>
          <w:sz w:val="20"/>
          <w:szCs w:val="20"/>
          <w:color w:val="auto"/>
        </w:rPr>
      </w:pPr>
    </w:p>
    <w:p>
      <w:pPr>
        <w:ind w:left="720" w:right="249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secured by a lien on the property, assets, income or profits that is senior in priority to the lien securing the other subordinated obligations or</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secured by a lien on the property, assets, income or profits to the same extent as the lien securing the other obligations, if the obligations are pari passu in right of payment with the notes.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AND OTHER PAYMENT RESTRICTIONS AFFECTING SUBSIDIARIES</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We have agreed that we will not directly or indirectly impair the ability of any restricted subsidiary to:</w:t>
      </w:r>
    </w:p>
    <w:p>
      <w:pPr>
        <w:spacing w:after="0" w:line="198" w:lineRule="exact"/>
        <w:rPr>
          <w:sz w:val="20"/>
          <w:szCs w:val="20"/>
          <w:color w:val="auto"/>
        </w:rPr>
      </w:pPr>
    </w:p>
    <w:p>
      <w:pPr>
        <w:ind w:left="720" w:right="1979" w:hanging="200"/>
        <w:spacing w:after="0" w:line="246"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dividends or make any other distributions to us or any of our restricted subsidiaries, or pay any indebtedness owed to us or any of our restricted subsidiaries;</w:t>
      </w:r>
    </w:p>
    <w:p>
      <w:pPr>
        <w:spacing w:after="0" w:line="199"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loans or advances to us or any of our restricted subsidiaries; or</w:t>
      </w:r>
    </w:p>
    <w:p>
      <w:pPr>
        <w:spacing w:after="0" w:line="203"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any of its properties or assets to us or any of our restricted subsidiaries.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Restrictions in the following will not be affected by this covenant:</w:t>
      </w:r>
    </w:p>
    <w:p>
      <w:pPr>
        <w:spacing w:after="0" w:line="203" w:lineRule="exact"/>
        <w:rPr>
          <w:sz w:val="20"/>
          <w:szCs w:val="20"/>
          <w:color w:val="auto"/>
        </w:rPr>
      </w:pPr>
    </w:p>
    <w:p>
      <w:pPr>
        <w:ind w:left="720" w:right="1979" w:hanging="200"/>
        <w:spacing w:after="0" w:line="246" w:lineRule="auto"/>
        <w:tabs>
          <w:tab w:leader="none" w:pos="7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existing on January 21, 1999 or any refinancings of that existing indebtedness as long as the terms of the refinancing are no more restrictive than these restrictions;</w:t>
      </w:r>
    </w:p>
    <w:p>
      <w:pPr>
        <w:spacing w:after="0" w:line="199"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indenture, the notes and the guarantees;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w:t>
      </w:r>
    </w:p>
    <w:p>
      <w:pPr>
        <w:sectPr>
          <w:pgSz w:w="11900" w:h="16838" w:orient="portrait"/>
          <w:cols w:equalWidth="0" w:num="1">
            <w:col w:w="10219"/>
          </w:cols>
          <w:pgMar w:left="240" w:top="313" w:right="1440" w:bottom="534"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13" w:right="1440" w:bottom="534"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37</w:t>
      </w:r>
    </w:p>
    <w:p>
      <w:pPr>
        <w:spacing w:after="0" w:line="203" w:lineRule="exact"/>
        <w:rPr>
          <w:sz w:val="20"/>
          <w:szCs w:val="20"/>
          <w:color w:val="auto"/>
        </w:rPr>
      </w:pPr>
    </w:p>
    <w:p>
      <w:pPr>
        <w:ind w:left="720" w:right="1979" w:hanging="200"/>
        <w:spacing w:after="0" w:line="246"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existing indebtedness or capital stock of an acquired entity that was not incurred in connection with the acquisition as long as the indebtedness itself could be incurred under the indenture;</w:t>
      </w:r>
    </w:p>
    <w:p>
      <w:pPr>
        <w:spacing w:after="0" w:line="199"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customary non-assignment provisions in leases, licenses, contracts and other agreements entered into in the ordinary course of business and consistent with past practices;</w:t>
      </w:r>
    </w:p>
    <w:p>
      <w:pPr>
        <w:spacing w:after="0" w:line="199"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money obligations for property acquired in the ordinary course of business that impose normal restrictions on the property acquired;</w:t>
      </w:r>
    </w:p>
    <w:p>
      <w:pPr>
        <w:spacing w:after="0" w:line="197" w:lineRule="exact"/>
        <w:rPr>
          <w:rFonts w:ascii="Courier New" w:cs="Courier New" w:eastAsia="Courier New" w:hAnsi="Courier New"/>
          <w:sz w:val="17"/>
          <w:szCs w:val="17"/>
          <w:color w:val="auto"/>
        </w:rPr>
      </w:pPr>
    </w:p>
    <w:p>
      <w:pPr>
        <w:ind w:left="720" w:right="2499" w:hanging="200"/>
        <w:spacing w:after="0" w:line="246"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for the sale or other disposition of a restricted subsidiary that restricts distributions by the restricted subsidiary pending its sale;</w:t>
      </w:r>
    </w:p>
    <w:p>
      <w:pPr>
        <w:spacing w:after="0" w:line="199"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refinanced indebtedness as long as the restrictions governing the refinanced indebtedness are no more restrictive;</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relating to the disposition or distribution of assets or property in joint venture agreements and other similar agreements entered into in the ordinary course of business;</w:t>
      </w:r>
    </w:p>
    <w:p>
      <w:pPr>
        <w:spacing w:after="0" w:line="199"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customary provisions under indebtedness of any foreign subsidiary permitted to be incurred under the indenture;</w:t>
      </w:r>
    </w:p>
    <w:p>
      <w:pPr>
        <w:spacing w:after="0" w:line="197"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cash or other deposits or net worth imposed by customers under contracts entered into in the ordinary course of business; and</w:t>
      </w:r>
    </w:p>
    <w:p>
      <w:pPr>
        <w:spacing w:after="0" w:line="197" w:lineRule="exact"/>
        <w:rPr>
          <w:rFonts w:ascii="Courier New" w:cs="Courier New" w:eastAsia="Courier New" w:hAnsi="Courier New"/>
          <w:sz w:val="17"/>
          <w:szCs w:val="17"/>
          <w:color w:val="auto"/>
        </w:rPr>
      </w:pPr>
    </w:p>
    <w:p>
      <w:pPr>
        <w:ind w:left="720" w:right="2699" w:hanging="200"/>
        <w:spacing w:after="0" w:line="247" w:lineRule="auto"/>
        <w:tabs>
          <w:tab w:leader="none" w:pos="7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created in connection with a qualified securitization transaction.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CONSOLIDATION, OR SALE OF ASSETS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200" w:lineRule="exact"/>
        <w:rPr>
          <w:sz w:val="20"/>
          <w:szCs w:val="20"/>
          <w:color w:val="auto"/>
        </w:rPr>
      </w:pPr>
    </w:p>
    <w:p>
      <w:pPr>
        <w:ind w:left="720" w:right="2399" w:hanging="200"/>
        <w:spacing w:after="0" w:line="247"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we are the surviving corporation or the surviving or acquiring entity is a U.S. corporation;</w:t>
      </w:r>
    </w:p>
    <w:p>
      <w:pPr>
        <w:spacing w:after="0" w:line="197"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surviving or acquiring entity assumes all of our obligations under the notes, the indenture and the registration rights agreement in agreements reasonably satisfactory to the trustee;</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the transaction no default or event of default exists; and</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AFFILIATES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agreed that neither we nor any of our restricted subsidiaries will make any payment to, or enter into purchase or sale agreements or loans with, any of our affiliates, unless:</w:t>
      </w:r>
    </w:p>
    <w:p>
      <w:pPr>
        <w:spacing w:after="0" w:line="200" w:lineRule="exact"/>
        <w:rPr>
          <w:sz w:val="20"/>
          <w:szCs w:val="20"/>
          <w:color w:val="auto"/>
        </w:rPr>
      </w:pPr>
    </w:p>
    <w:p>
      <w:pPr>
        <w:ind w:left="720" w:right="2399" w:hanging="200"/>
        <w:spacing w:after="0" w:line="247" w:lineRule="auto"/>
        <w:tabs>
          <w:tab w:leader="none" w:pos="7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with the affiliate is on no less favorable terms than those that we would have with an unrelated person;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deliver to the trustee, either:</w:t>
      </w:r>
    </w:p>
    <w:p>
      <w:pPr>
        <w:sectPr>
          <w:pgSz w:w="11900" w:h="16838" w:orient="portrait"/>
          <w:cols w:equalWidth="0" w:num="1">
            <w:col w:w="10219"/>
          </w:cols>
          <w:pgMar w:left="240" w:top="313" w:right="1440" w:bottom="1128"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13" w:right="1440" w:bottom="1128"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38</w:t>
      </w:r>
    </w:p>
    <w:p>
      <w:pPr>
        <w:spacing w:after="0" w:line="203" w:lineRule="exact"/>
        <w:rPr>
          <w:sz w:val="20"/>
          <w:szCs w:val="20"/>
          <w:color w:val="auto"/>
        </w:rPr>
      </w:pPr>
    </w:p>
    <w:p>
      <w:pPr>
        <w:ind w:left="1040" w:right="1979" w:hanging="211"/>
        <w:spacing w:after="0" w:line="246" w:lineRule="auto"/>
        <w:tabs>
          <w:tab w:leader="none" w:pos="10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200" w:lineRule="exact"/>
        <w:rPr>
          <w:rFonts w:ascii="Courier New" w:cs="Courier New" w:eastAsia="Courier New" w:hAnsi="Courier New"/>
          <w:sz w:val="17"/>
          <w:szCs w:val="17"/>
          <w:color w:val="auto"/>
        </w:rPr>
      </w:pPr>
    </w:p>
    <w:p>
      <w:pPr>
        <w:ind w:left="1040" w:right="2599" w:hanging="211"/>
        <w:spacing w:after="0" w:line="246" w:lineRule="auto"/>
        <w:tabs>
          <w:tab w:leader="none" w:pos="10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transaction is larger than $10.0 million, a certified resolution and fairness opinion from an accounting, appraisal or investment banking firm of national standing.</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items are not subject to these restrictions:</w:t>
      </w:r>
    </w:p>
    <w:p>
      <w:pPr>
        <w:spacing w:after="0" w:line="203" w:lineRule="exact"/>
        <w:rPr>
          <w:sz w:val="20"/>
          <w:szCs w:val="20"/>
          <w:color w:val="auto"/>
        </w:rPr>
      </w:pPr>
    </w:p>
    <w:p>
      <w:pPr>
        <w:ind w:left="720" w:right="1979" w:hanging="200"/>
        <w:spacing w:after="0" w:line="246" w:lineRule="auto"/>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consulting or similar agreements entered into in the ordinary course of business or any payment of directors' and officers' insurance premiums;</w:t>
      </w:r>
    </w:p>
    <w:p>
      <w:pPr>
        <w:spacing w:after="0" w:line="199"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between or among Scotts and the restricted subsidiaries;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reasonable directors fees to non-affiliate directors;</w:t>
      </w:r>
    </w:p>
    <w:p>
      <w:pPr>
        <w:spacing w:after="0" w:line="203"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or any repurchases of any shares of any series or class of our equity securities;</w:t>
      </w:r>
    </w:p>
    <w:p>
      <w:pPr>
        <w:spacing w:after="0" w:line="197" w:lineRule="exact"/>
        <w:rPr>
          <w:rFonts w:ascii="Courier New" w:cs="Courier New" w:eastAsia="Courier New" w:hAnsi="Courier New"/>
          <w:sz w:val="17"/>
          <w:szCs w:val="17"/>
          <w:color w:val="auto"/>
        </w:rPr>
      </w:pPr>
    </w:p>
    <w:p>
      <w:pPr>
        <w:ind w:left="720" w:right="2999" w:hanging="200"/>
        <w:spacing w:after="0" w:line="247" w:lineRule="auto"/>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payments that are permitted by the provisions of the indenture;</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merger between or among Scotts or any of its restricted subsidiaries solely for the purpose of reincorporating in another jurisdiction for tax purposes; and</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in connection with qualified securitization transactions or an industrial revenue bond financing.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SUBSIDIARY GUARANTEES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AND LEASEBACK TRANSACTIONS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We have agreed that neither we nor any of our restricted subsidiaries will enter into any sale and leaseback transaction, unless:</w:t>
      </w:r>
    </w:p>
    <w:p>
      <w:pPr>
        <w:spacing w:after="0" w:line="198" w:lineRule="exact"/>
        <w:rPr>
          <w:sz w:val="20"/>
          <w:szCs w:val="20"/>
          <w:color w:val="auto"/>
        </w:rPr>
      </w:pPr>
    </w:p>
    <w:p>
      <w:pPr>
        <w:ind w:left="720" w:right="2079" w:hanging="200"/>
        <w:spacing w:after="0" w:line="246" w:lineRule="auto"/>
        <w:tabs>
          <w:tab w:leader="none" w:pos="7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gross cash proceeds of that sale and leaseback transaction are at least equal to the fair market value of the property that is the subject of the sale and leaseback transaction; and</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transfer of assets in the sale and leaseback transaction is permitted by, and we apply the proceeds of the transaction in compliance with, the terms of the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PAYMENTS FOR CONSENT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Whether or not required by the Commission, as long as any notes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we will furnish to you, within the time periods specified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rules and regulations:</w:t>
      </w:r>
    </w:p>
    <w:p>
      <w:pPr>
        <w:spacing w:after="0" w:line="203" w:lineRule="exact"/>
        <w:rPr>
          <w:sz w:val="20"/>
          <w:szCs w:val="20"/>
          <w:color w:val="auto"/>
        </w:rPr>
      </w:pPr>
    </w:p>
    <w:p>
      <w:pPr>
        <w:jc w:val="both"/>
        <w:ind w:left="720" w:right="2079" w:hanging="200"/>
        <w:spacing w:after="0" w:line="247" w:lineRule="auto"/>
        <w:tabs>
          <w:tab w:leader="none" w:pos="7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quarterly and annual financial information that would be required to be contained in a filing with the Commission on Forms 10-Q and 10-K; and</w:t>
      </w:r>
    </w:p>
    <w:p>
      <w:pPr>
        <w:sectPr>
          <w:pgSz w:w="11900" w:h="16838" w:orient="portrait"/>
          <w:cols w:equalWidth="0" w:num="1">
            <w:col w:w="10219"/>
          </w:cols>
          <w:pgMar w:left="240" w:top="313" w:right="1440" w:bottom="732"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13" w:right="1440" w:bottom="732"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39</w:t>
      </w:r>
    </w:p>
    <w:p>
      <w:pPr>
        <w:spacing w:after="0" w:line="203" w:lineRule="exact"/>
        <w:rPr>
          <w:sz w:val="20"/>
          <w:szCs w:val="20"/>
          <w:color w:val="auto"/>
        </w:rPr>
      </w:pPr>
    </w:p>
    <w:p>
      <w:pPr>
        <w:ind w:left="720" w:right="2999" w:hanging="200"/>
        <w:spacing w:after="0" w:line="247" w:lineRule="auto"/>
        <w:tabs>
          <w:tab w:leader="none" w:pos="7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current reports that would be required to be filed with the Commission on Form 8-K.</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AND REMEDIES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Each of the following is an event of default:</w:t>
      </w:r>
    </w:p>
    <w:p>
      <w:pPr>
        <w:spacing w:after="0" w:line="203" w:lineRule="exact"/>
        <w:rPr>
          <w:sz w:val="20"/>
          <w:szCs w:val="20"/>
          <w:color w:val="auto"/>
        </w:rPr>
      </w:pPr>
    </w:p>
    <w:p>
      <w:pPr>
        <w:ind w:left="720" w:right="2179" w:hanging="200"/>
        <w:spacing w:after="0" w:line="247"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fail to pay interest on the notes or liquidated damages within 30 days of the due date for any reason;</w:t>
      </w:r>
    </w:p>
    <w:p>
      <w:pPr>
        <w:spacing w:after="0" w:line="197"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fail to make a payment of the principal of or premium, if any, on the notes when due for any reason;</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200"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fail to comply with any of the other agreements in the indenture for 60 days after notice of the failure;</w:t>
      </w:r>
    </w:p>
    <w:p>
      <w:pPr>
        <w:spacing w:after="0" w:line="197"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default under any one or more mortgage, indenture or other debt instrument of more than $10.0 million, if that default:</w:t>
      </w:r>
    </w:p>
    <w:p>
      <w:pPr>
        <w:spacing w:after="0" w:line="197" w:lineRule="exact"/>
        <w:rPr>
          <w:rFonts w:ascii="Courier New" w:cs="Courier New" w:eastAsia="Courier New" w:hAnsi="Courier New"/>
          <w:sz w:val="17"/>
          <w:szCs w:val="17"/>
          <w:color w:val="auto"/>
        </w:rPr>
      </w:pPr>
    </w:p>
    <w:p>
      <w:pPr>
        <w:jc w:val="both"/>
        <w:ind w:left="1540" w:right="1979" w:hanging="196"/>
        <w:spacing w:after="0" w:line="246" w:lineRule="auto"/>
        <w:tabs>
          <w:tab w:leader="none" w:pos="154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caused by a failure to pay principal of or premium, if any, or interest on the indebtedness prior to the expiration of the grace period provided in the indebtedness; or</w:t>
      </w:r>
    </w:p>
    <w:p>
      <w:pPr>
        <w:spacing w:after="0" w:line="199" w:lineRule="exact"/>
        <w:rPr>
          <w:rFonts w:ascii="Courier New" w:cs="Courier New" w:eastAsia="Courier New" w:hAnsi="Courier New"/>
          <w:sz w:val="17"/>
          <w:szCs w:val="17"/>
          <w:color w:val="auto"/>
        </w:rPr>
      </w:pPr>
    </w:p>
    <w:p>
      <w:pPr>
        <w:ind w:left="1540" w:right="2499" w:hanging="196"/>
        <w:spacing w:after="0" w:line="247" w:lineRule="auto"/>
        <w:tabs>
          <w:tab w:leader="none" w:pos="154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in the acceleration of the indebtedness prior to its express maturity;</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fail to pay final judgments aggregating in excess of $10.0 million within 60 days, unless the judgments are discharged or stayed within that period;</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guarantees of one or more significant subsidiaries or non-significant subsidiaries that collectively would be significant to us 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201" w:lineRule="exact"/>
        <w:rPr>
          <w:rFonts w:ascii="Courier New" w:cs="Courier New" w:eastAsia="Courier New" w:hAnsi="Courier New"/>
          <w:sz w:val="17"/>
          <w:szCs w:val="17"/>
          <w:color w:val="auto"/>
        </w:rPr>
      </w:pPr>
    </w:p>
    <w:p>
      <w:pPr>
        <w:ind w:left="720" w:right="2399" w:hanging="200"/>
        <w:spacing w:after="0" w:line="247" w:lineRule="auto"/>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or any of our significant subsidiaries goes bankrupt or becomes insolvent.</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ectPr>
          <w:pgSz w:w="11900" w:h="16838" w:orient="portrait"/>
          <w:cols w:equalWidth="0" w:num="1">
            <w:col w:w="10219"/>
          </w:cols>
          <w:pgMar w:left="240" w:top="313" w:right="1440" w:bottom="732"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13" w:right="1440" w:bottom="732"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40</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205"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PERSONAL LIABILITY OF DIRECTORS, OFFICERS, EMPLOYEES AND STOCKHOLDERS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DEFEASANCE AND COVENANT DEFEASANCE</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We may at any time elect to have all of our obligations discharged under the notes and the subsidiary guarantees except for:</w:t>
      </w:r>
    </w:p>
    <w:p>
      <w:pPr>
        <w:spacing w:after="0" w:line="198" w:lineRule="exact"/>
        <w:rPr>
          <w:sz w:val="20"/>
          <w:szCs w:val="20"/>
          <w:color w:val="auto"/>
        </w:rPr>
      </w:pPr>
    </w:p>
    <w:p>
      <w:pPr>
        <w:ind w:left="720" w:right="2279" w:hanging="200"/>
        <w:spacing w:after="0" w:line="246" w:lineRule="auto"/>
        <w:tabs>
          <w:tab w:leader="none" w:pos="7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holders of outstanding notes to receive payments of the principal of, premium, if any, and interest and liquidated damages, if any, on the notes when the payments are due from the trust referred to below;</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obligations concerning issuing temporary notes, registration of notes, mutilated, destroyed, lost or stolen notes and the maintenance of an office or agency for payment and money for security payments held in trust;</w:t>
      </w:r>
    </w:p>
    <w:p>
      <w:pPr>
        <w:spacing w:after="0" w:line="200" w:lineRule="exact"/>
        <w:rPr>
          <w:rFonts w:ascii="Courier New" w:cs="Courier New" w:eastAsia="Courier New" w:hAnsi="Courier New"/>
          <w:sz w:val="17"/>
          <w:szCs w:val="17"/>
          <w:color w:val="auto"/>
        </w:rPr>
      </w:pPr>
    </w:p>
    <w:p>
      <w:pPr>
        <w:ind w:left="720" w:right="1979" w:hanging="200"/>
        <w:spacing w:after="0" w:line="247" w:lineRule="auto"/>
        <w:tabs>
          <w:tab w:leader="none" w:pos="7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powers, trusts, duties and immunities of the trustee, and our related obligations;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legal defeasance provisions of the indenture.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order to exercise either type of defeasance described above:</w:t>
      </w:r>
    </w:p>
    <w:p>
      <w:pPr>
        <w:spacing w:after="0" w:line="203" w:lineRule="exact"/>
        <w:rPr>
          <w:sz w:val="20"/>
          <w:szCs w:val="20"/>
          <w:color w:val="auto"/>
        </w:rPr>
      </w:pPr>
    </w:p>
    <w:p>
      <w:pPr>
        <w:ind w:left="720" w:right="2399" w:hanging="200"/>
        <w:spacing w:after="0" w:line="246" w:lineRule="auto"/>
        <w:tabs>
          <w:tab w:leader="none" w:pos="7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ectPr>
          <w:pgSz w:w="11900" w:h="16838" w:orient="portrait"/>
          <w:cols w:equalWidth="0" w:num="1">
            <w:col w:w="10219"/>
          </w:cols>
          <w:pgMar w:left="240" w:top="313" w:right="1440" w:bottom="1128"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13" w:right="1440" w:bottom="1128"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41</w:t>
      </w:r>
    </w:p>
    <w:p>
      <w:pPr>
        <w:spacing w:after="0" w:line="203" w:lineRule="exact"/>
        <w:rPr>
          <w:sz w:val="20"/>
          <w:szCs w:val="20"/>
          <w:color w:val="auto"/>
        </w:rPr>
      </w:pPr>
    </w:p>
    <w:p>
      <w:pPr>
        <w:ind w:left="720" w:right="19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202"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200"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defeasance will not result in a breach or violation of, or constitute a default under, any material agreement or instrument other than the indenture to which we or any of our subsidiaries is a party;</w:t>
      </w:r>
    </w:p>
    <w:p>
      <w:pPr>
        <w:spacing w:after="0" w:line="199"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200"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must deliver to the trustee an officers' certificate and an opinion of counsel stating that we have complied with all conditions precedent relating to the defeasance.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SUPPLEMENT AND WAIVER</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Without the consent of each holder affected, an amendment or waiver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w:t>
      </w:r>
    </w:p>
    <w:p>
      <w:pPr>
        <w:spacing w:after="0" w:line="203" w:lineRule="exact"/>
        <w:rPr>
          <w:sz w:val="20"/>
          <w:szCs w:val="20"/>
          <w:color w:val="auto"/>
        </w:rPr>
      </w:pPr>
    </w:p>
    <w:p>
      <w:pPr>
        <w:ind w:left="720" w:right="2399" w:hanging="200"/>
        <w:spacing w:after="0" w:line="247"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principal amount of notes whose holders must consent to an amendment, supplement or waiver;</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principal of or change the maturity date of any note or alter the redemption provisions other than provisions relating to the covenants described above under the caption "Repurchase at the Option of Holders";</w:t>
      </w:r>
    </w:p>
    <w:p>
      <w:pPr>
        <w:spacing w:after="0" w:line="199" w:lineRule="exact"/>
        <w:rPr>
          <w:rFonts w:ascii="Courier New" w:cs="Courier New" w:eastAsia="Courier New" w:hAnsi="Courier New"/>
          <w:sz w:val="17"/>
          <w:szCs w:val="17"/>
          <w:color w:val="auto"/>
        </w:rPr>
      </w:pPr>
    </w:p>
    <w:p>
      <w:pPr>
        <w:ind w:left="720" w:right="2499" w:hanging="200"/>
        <w:spacing w:after="0" w:line="247"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rate of or change the time for payment of interest on any note;</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200"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note payable in money other than U.S. dollars;</w:t>
      </w:r>
    </w:p>
    <w:p>
      <w:pPr>
        <w:spacing w:after="0" w:line="203"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change in the provisions of the indenture relating to waivers of past defaults or the rights of holders of notes to receive payments of principal, premium, if any, or interest;</w:t>
      </w:r>
    </w:p>
    <w:p>
      <w:pPr>
        <w:spacing w:after="0" w:line="199"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 redemption payment other than a payment required by one of the covenants described above under the caption "Repurchase at the Option of Holders"; or</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change in the preceding amendment and waiver provisions, except as set forth below.</w:t>
      </w:r>
    </w:p>
    <w:p>
      <w:pPr>
        <w:spacing w:after="0" w:line="198"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200"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In any event, without the consent of any holder of notes, Scotts and the trustee may amend or supplement the indenture or the notes:</w:t>
      </w:r>
    </w:p>
    <w:p>
      <w:pPr>
        <w:spacing w:after="0" w:line="198" w:lineRule="exact"/>
        <w:rPr>
          <w:sz w:val="20"/>
          <w:szCs w:val="20"/>
          <w:color w:val="auto"/>
        </w:rPr>
      </w:pPr>
    </w:p>
    <w:p>
      <w:pPr>
        <w:ind w:left="720" w:hanging="200"/>
        <w:spacing w:after="0"/>
        <w:tabs>
          <w:tab w:leader="none" w:pos="72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cure any ambiguity, defect or inconsistency;</w:t>
      </w:r>
    </w:p>
    <w:p>
      <w:pPr>
        <w:spacing w:after="0" w:line="203"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for uncertificated notes in addition to or in place of certificated notes;</w:t>
      </w:r>
    </w:p>
    <w:p>
      <w:pPr>
        <w:sectPr>
          <w:pgSz w:w="11900" w:h="16838" w:orient="portrait"/>
          <w:cols w:equalWidth="0" w:num="1">
            <w:col w:w="10219"/>
          </w:cols>
          <w:pgMar w:left="240" w:top="313" w:right="1440" w:bottom="13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3" w:right="1440" w:bottom="138"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42</w:t>
      </w:r>
    </w:p>
    <w:p>
      <w:pPr>
        <w:spacing w:after="0" w:line="203" w:lineRule="exact"/>
        <w:rPr>
          <w:sz w:val="20"/>
          <w:szCs w:val="20"/>
          <w:color w:val="auto"/>
        </w:rPr>
      </w:pPr>
    </w:p>
    <w:p>
      <w:pPr>
        <w:ind w:left="720" w:right="1979" w:hanging="200"/>
        <w:spacing w:after="0" w:line="246" w:lineRule="auto"/>
        <w:tabs>
          <w:tab w:leader="none" w:pos="7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for the assumption of our obligations to holders of notes in the case of a merger or consolidation or sale of all or substantially all of our assets;</w:t>
      </w:r>
    </w:p>
    <w:p>
      <w:pPr>
        <w:spacing w:after="0" w:line="199"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any change that would provide any additional rights or benefits to the holders of notes or that does not adversely affect the legal rights under the indenture of any holder;</w:t>
      </w:r>
    </w:p>
    <w:p>
      <w:pPr>
        <w:spacing w:after="0" w:line="199"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a guarantor; and</w:t>
      </w:r>
    </w:p>
    <w:p>
      <w:pPr>
        <w:spacing w:after="0" w:line="203" w:lineRule="exact"/>
        <w:rPr>
          <w:rFonts w:ascii="Courier New" w:cs="Courier New" w:eastAsia="Courier New" w:hAnsi="Courier New"/>
          <w:sz w:val="17"/>
          <w:szCs w:val="17"/>
          <w:color w:val="auto"/>
        </w:rPr>
      </w:pPr>
    </w:p>
    <w:p>
      <w:pPr>
        <w:ind w:left="720" w:right="2399" w:hanging="200"/>
        <w:spacing w:after="0" w:line="246" w:lineRule="auto"/>
        <w:tabs>
          <w:tab w:leader="none" w:pos="7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requirements of the Commission in order to effect or maintain the qualification of the indenture under the Trust Indenture 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CONCERNING THE TRUSTEE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DELIVERY AND FORM</w:t>
      </w:r>
    </w:p>
    <w:p>
      <w:pPr>
        <w:spacing w:after="0" w:line="203" w:lineRule="exact"/>
        <w:rPr>
          <w:sz w:val="20"/>
          <w:szCs w:val="20"/>
          <w:color w:val="auto"/>
        </w:rPr>
      </w:pPr>
    </w:p>
    <w:p>
      <w:pPr>
        <w:ind w:right="2899" w:firstLine="515"/>
        <w:spacing w:after="0" w:line="246" w:lineRule="auto"/>
        <w:rPr>
          <w:sz w:val="20"/>
          <w:szCs w:val="20"/>
          <w:color w:val="auto"/>
        </w:rPr>
      </w:pPr>
      <w:r>
        <w:rPr>
          <w:rFonts w:ascii="Courier New" w:cs="Courier New" w:eastAsia="Courier New" w:hAnsi="Courier New"/>
          <w:sz w:val="17"/>
          <w:szCs w:val="17"/>
          <w:color w:val="auto"/>
        </w:rPr>
        <w:t>Except as set forth below, the notes were, and will be, issued in registered, global form in minimum denominations of $1,000 and integral multiples of $1,000 in excess thereof.</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are and will continue to be represented by two permanent notes in registered, global form without interest coupons. The global notes are registered in the name of The Depository Trust Company in New York, New York, or its nominee, for credit to an account of a direct or indirect participant in DTC as described below.</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right="1979" w:firstLine="6"/>
        <w:spacing w:after="0" w:line="246" w:lineRule="auto"/>
        <w:tabs>
          <w:tab w:leader="none" w:pos="206"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Initially, the trustee will act as paying agent and registrar. The notes may be presented for registration of transfer and exchange at the offices of the registrar.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DEPOSITORY PROCEDURES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DTC has advised us that it is a limited-purpose trust company created to hold securities for its participating organizations and to facilitate the clearance and settlement of transactions in those securities</w:t>
      </w:r>
    </w:p>
    <w:p>
      <w:pPr>
        <w:sectPr>
          <w:pgSz w:w="11900" w:h="16838" w:orient="portrait"/>
          <w:cols w:equalWidth="0" w:num="1">
            <w:col w:w="10219"/>
          </w:cols>
          <w:pgMar w:left="240" w:top="313" w:right="1440" w:bottom="534"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13" w:right="1440" w:bottom="534"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43</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203" w:lineRule="exact"/>
        <w:rPr>
          <w:sz w:val="20"/>
          <w:szCs w:val="20"/>
          <w:color w:val="auto"/>
        </w:rPr>
      </w:pPr>
    </w:p>
    <w:p>
      <w:pPr>
        <w:ind w:left="720" w:right="1979" w:hanging="200"/>
        <w:spacing w:after="0" w:line="246" w:lineRule="auto"/>
        <w:tabs>
          <w:tab w:leader="none" w:pos="72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201" w:lineRule="exact"/>
        <w:rPr>
          <w:rFonts w:ascii="Courier New" w:cs="Courier New" w:eastAsia="Courier New" w:hAnsi="Courier New"/>
          <w:sz w:val="17"/>
          <w:szCs w:val="17"/>
          <w:color w:val="auto"/>
        </w:rPr>
      </w:pPr>
    </w:p>
    <w:p>
      <w:pPr>
        <w:ind w:left="720" w:right="2179" w:hanging="200"/>
        <w:spacing w:after="0" w:line="247" w:lineRule="auto"/>
        <w:tabs>
          <w:tab w:leader="none" w:pos="72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matter relating to the actions and practices of DTC or any of its direct or indirect participating organization.</w:t>
      </w:r>
    </w:p>
    <w:p>
      <w:pPr>
        <w:spacing w:after="0" w:line="198"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DTC has advised Scotts that its current practice upon receipt of any payment is to credit the accounts of the relevant participating organizations with the payment on the payment date, in amounts proportionate to their respective holdings in the principal amount of beneficial interest in the relevant security as shown on the records of DTC unless DTC has reason to believe it will not receive payment on the payment date.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203"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Except for trades involving only Euroclear and Cedel participants, interest in the global notes are expected to be eligible to trade in DTC's Same-Day Funds Settlement System. Secondary market trading</w:t>
      </w:r>
    </w:p>
    <w:p>
      <w:pPr>
        <w:sectPr>
          <w:pgSz w:w="11900" w:h="16838" w:orient="portrait"/>
          <w:cols w:equalWidth="0" w:num="1">
            <w:col w:w="10219"/>
          </w:cols>
          <w:pgMar w:left="240" w:top="313" w:right="1440" w:bottom="534"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13" w:right="1440" w:bottom="534"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44</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activity in these interests will settle in immediately available funds, subject in all cases to the rules and procedures of DTC and its participating organizations. See " --Same Day Settlement and Payment."</w:t>
      </w:r>
    </w:p>
    <w:p>
      <w:pPr>
        <w:spacing w:after="0" w:line="200"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 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OF BOOK-ENTRY NOTES FOR CERTIFICATED NOTES</w:t>
      </w:r>
    </w:p>
    <w:p>
      <w:pPr>
        <w:spacing w:after="0" w:line="203" w:lineRule="exact"/>
        <w:rPr>
          <w:sz w:val="20"/>
          <w:szCs w:val="20"/>
          <w:color w:val="auto"/>
        </w:rPr>
      </w:pPr>
    </w:p>
    <w:p>
      <w:pPr>
        <w:ind w:right="3119" w:firstLine="515"/>
        <w:spacing w:after="0" w:line="247" w:lineRule="auto"/>
        <w:rPr>
          <w:sz w:val="20"/>
          <w:szCs w:val="20"/>
          <w:color w:val="auto"/>
        </w:rPr>
      </w:pPr>
      <w:r>
        <w:rPr>
          <w:rFonts w:ascii="Courier New" w:cs="Courier New" w:eastAsia="Courier New" w:hAnsi="Courier New"/>
          <w:sz w:val="17"/>
          <w:szCs w:val="17"/>
          <w:color w:val="auto"/>
        </w:rPr>
        <w:t>A global note is exchangeable for definitive notes in registered certificated form if:</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DTC:</w:t>
      </w:r>
    </w:p>
    <w:p>
      <w:pPr>
        <w:spacing w:after="0" w:line="203" w:lineRule="exact"/>
        <w:rPr>
          <w:sz w:val="20"/>
          <w:szCs w:val="20"/>
          <w:color w:val="auto"/>
        </w:rPr>
      </w:pPr>
    </w:p>
    <w:p>
      <w:pPr>
        <w:ind w:left="1540" w:right="2279" w:hanging="196"/>
        <w:spacing w:after="0" w:line="246" w:lineRule="auto"/>
        <w:tabs>
          <w:tab w:leader="none" w:pos="1540"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notifies us that it is unwilling or unable to continue as depositary for the global notes and we are unable to appoint a successor depositary; or</w:t>
      </w:r>
    </w:p>
    <w:p>
      <w:pPr>
        <w:spacing w:after="0" w:line="199" w:lineRule="exact"/>
        <w:rPr>
          <w:rFonts w:ascii="Courier New" w:cs="Courier New" w:eastAsia="Courier New" w:hAnsi="Courier New"/>
          <w:sz w:val="17"/>
          <w:szCs w:val="17"/>
          <w:color w:val="auto"/>
        </w:rPr>
      </w:pPr>
    </w:p>
    <w:p>
      <w:pPr>
        <w:ind w:left="1540" w:right="2079" w:hanging="196"/>
        <w:spacing w:after="0" w:line="247" w:lineRule="auto"/>
        <w:tabs>
          <w:tab w:leader="none" w:pos="1540"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ceased to be a clearing agency registered under the Exchange Act;</w:t>
      </w:r>
    </w:p>
    <w:p>
      <w:pPr>
        <w:spacing w:after="0" w:line="197" w:lineRule="exact"/>
        <w:rPr>
          <w:rFonts w:ascii="Courier New" w:cs="Courier New" w:eastAsia="Courier New" w:hAnsi="Courier New"/>
          <w:sz w:val="17"/>
          <w:szCs w:val="17"/>
          <w:color w:val="auto"/>
        </w:rPr>
      </w:pPr>
    </w:p>
    <w:p>
      <w:pPr>
        <w:ind w:left="720" w:right="2699" w:hanging="200"/>
        <w:spacing w:after="0" w:line="247" w:lineRule="auto"/>
        <w:tabs>
          <w:tab w:leader="none" w:pos="7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notifies the trustee in writing that it elects to cause the issuance of the certificated notes; or</w:t>
      </w:r>
    </w:p>
    <w:p>
      <w:pPr>
        <w:spacing w:after="0" w:line="197" w:lineRule="exact"/>
        <w:rPr>
          <w:rFonts w:ascii="Courier New" w:cs="Courier New" w:eastAsia="Courier New" w:hAnsi="Courier New"/>
          <w:sz w:val="17"/>
          <w:szCs w:val="17"/>
          <w:color w:val="auto"/>
        </w:rPr>
      </w:pPr>
    </w:p>
    <w:p>
      <w:pPr>
        <w:ind w:left="720" w:right="2799" w:hanging="200"/>
        <w:spacing w:after="0" w:line="247" w:lineRule="auto"/>
        <w:tabs>
          <w:tab w:leader="none" w:pos="7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have occurred and be continuing a default or event of default.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OF CERTIFICATED NOTES FOR BOOK-ENTRY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13" w:right="1440" w:bottom="325"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45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 DAY SETTLEMENT AND PAYMENT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 will be required by DTC to be settled in immediately available funds. Scotts expects that secondary trading in any certificated notes will also be settled in immediately available funds.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RIGHTS; LIQUIDATED DAMAGES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202"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The registration rights agreement requires that we use our reasonable best efforts to cause the applicable registration statement to be declared effective as promptly as possible by the Commission.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registration rights agreement also requires that:</w:t>
      </w:r>
    </w:p>
    <w:p>
      <w:pPr>
        <w:spacing w:after="0" w:line="203" w:lineRule="exact"/>
        <w:rPr>
          <w:sz w:val="20"/>
          <w:szCs w:val="20"/>
          <w:color w:val="auto"/>
        </w:rPr>
      </w:pPr>
    </w:p>
    <w:p>
      <w:pPr>
        <w:ind w:left="720" w:right="2279" w:hanging="200"/>
        <w:spacing w:after="0" w:line="247" w:lineRule="auto"/>
        <w:tabs>
          <w:tab w:leader="none" w:pos="7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file this registration statement with the Commission on or prior to April 21, 1999, which we did;</w:t>
      </w:r>
    </w:p>
    <w:p>
      <w:pPr>
        <w:spacing w:after="0" w:line="197"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use our reasonable best efforts to have this registration statement declared effective by the Commission on or prior to October 18, 1999, which we did not do;</w:t>
      </w:r>
    </w:p>
    <w:p>
      <w:pPr>
        <w:spacing w:after="0" w:line="199"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commence the exchange offer and use our reasonable best efforts to complete the exchange offer within 30 business days after the Commission declares this registration statement effective; and</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registration rights agreement further provides that we must pay liquidated damages in the form of additional interest to each holder of original notes if:</w:t>
      </w:r>
    </w:p>
    <w:p>
      <w:pPr>
        <w:spacing w:after="0" w:line="200" w:lineRule="exact"/>
        <w:rPr>
          <w:sz w:val="20"/>
          <w:szCs w:val="20"/>
          <w:color w:val="auto"/>
        </w:rPr>
      </w:pPr>
    </w:p>
    <w:p>
      <w:pPr>
        <w:ind w:left="720" w:right="1979" w:hanging="200"/>
        <w:spacing w:after="0" w:line="247" w:lineRule="auto"/>
        <w:tabs>
          <w:tab w:leader="none" w:pos="7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fail to file any of the registration statements required by the registration rights agreement on or before the date specified for filing;</w:t>
      </w:r>
    </w:p>
    <w:p>
      <w:pPr>
        <w:sectPr>
          <w:pgSz w:w="11900" w:h="16838" w:orient="portrait"/>
          <w:cols w:equalWidth="0" w:num="1">
            <w:col w:w="10219"/>
          </w:cols>
          <w:pgMar w:left="240" w:top="313" w:right="1440" w:bottom="732"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13" w:right="1440" w:bottom="732"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46</w:t>
      </w:r>
    </w:p>
    <w:p>
      <w:pPr>
        <w:spacing w:after="0" w:line="203" w:lineRule="exact"/>
        <w:rPr>
          <w:sz w:val="20"/>
          <w:szCs w:val="20"/>
          <w:color w:val="auto"/>
        </w:rPr>
      </w:pPr>
    </w:p>
    <w:p>
      <w:pPr>
        <w:ind w:left="720" w:right="2599" w:hanging="200"/>
        <w:spacing w:after="0" w:line="247" w:lineRule="auto"/>
        <w:tabs>
          <w:tab w:leader="none" w:pos="7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the registration statements is not declared effective by the Commission on or prior to the date specified for effectiveness;</w:t>
      </w:r>
    </w:p>
    <w:p>
      <w:pPr>
        <w:spacing w:after="0" w:line="197"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fail to consummate the exchange offer within 30 business days of December 12, 2000, the date on which the registration statement of which this prospectus is a part was declared effective; or</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of the registration statements is declared effective but ceases to be effective or usable in connection with resales of original notes during the periods specified in the registration rights agreement.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Because we were unable to have the registration statement of which this prospectus is a part declared effective by October 18, 1999, we began accruing liquidated damages as of October 19, 1999. As of December 12, 2000 the total amount of liquidated damages was approximately $2.8 million, all of which has been or will be paid out in accordance with the terms of the indenture. The liquidated damages stopped accruing on December 12, 2000, the effective date of the registration statement of which this prospectus is a part.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"Asset Sale" means:</w:t>
      </w:r>
    </w:p>
    <w:p>
      <w:pPr>
        <w:spacing w:after="0" w:line="203" w:lineRule="exact"/>
        <w:rPr>
          <w:sz w:val="20"/>
          <w:szCs w:val="20"/>
          <w:color w:val="auto"/>
        </w:rPr>
      </w:pPr>
    </w:p>
    <w:p>
      <w:pPr>
        <w:ind w:left="1040" w:right="2499" w:hanging="211"/>
        <w:spacing w:after="0" w:line="246" w:lineRule="auto"/>
        <w:tabs>
          <w:tab w:leader="none" w:pos="10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lease, conveyance or other disposition of any assets or rights, other than sales of inventory in the ordinary course of business consistent with past practices; and</w:t>
      </w:r>
    </w:p>
    <w:p>
      <w:pPr>
        <w:spacing w:after="0" w:line="199" w:lineRule="exact"/>
        <w:rPr>
          <w:rFonts w:ascii="Courier New" w:cs="Courier New" w:eastAsia="Courier New" w:hAnsi="Courier New"/>
          <w:sz w:val="17"/>
          <w:szCs w:val="17"/>
          <w:color w:val="auto"/>
        </w:rPr>
      </w:pPr>
    </w:p>
    <w:p>
      <w:pPr>
        <w:ind w:left="1040" w:right="1979" w:hanging="211"/>
        <w:spacing w:after="0" w:line="247" w:lineRule="auto"/>
        <w:tabs>
          <w:tab w:leader="none" w:pos="10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issuance of equity interests by any of our restricted subsidiaries or the sale of equity interests in any of our subsidiaries.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Despite this definition, the following do not constitute "Asset Sales":</w:t>
      </w:r>
    </w:p>
    <w:p>
      <w:pPr>
        <w:spacing w:after="0" w:line="203" w:lineRule="exact"/>
        <w:rPr>
          <w:sz w:val="20"/>
          <w:szCs w:val="20"/>
          <w:color w:val="auto"/>
        </w:rPr>
      </w:pPr>
    </w:p>
    <w:p>
      <w:pPr>
        <w:jc w:val="both"/>
        <w:ind w:left="1040" w:right="1979" w:hanging="211"/>
        <w:spacing w:after="0" w:line="246" w:lineRule="auto"/>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single transaction or series of related transactions that involves assets having a fair market value of less than $2.5 million or results in net proceeds of less than $2.5 million;</w:t>
      </w:r>
    </w:p>
    <w:p>
      <w:pPr>
        <w:spacing w:after="0" w:line="199" w:lineRule="exact"/>
        <w:rPr>
          <w:rFonts w:ascii="Courier New" w:cs="Courier New" w:eastAsia="Courier New" w:hAnsi="Courier New"/>
          <w:sz w:val="17"/>
          <w:szCs w:val="17"/>
          <w:color w:val="auto"/>
        </w:rPr>
      </w:pPr>
    </w:p>
    <w:p>
      <w:pPr>
        <w:ind w:left="1040" w:right="1979" w:hanging="211"/>
        <w:spacing w:after="0" w:line="247" w:lineRule="auto"/>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most transfers of assets within the group consisting of Scotts and its restricted subsidiaries;</w:t>
      </w:r>
    </w:p>
    <w:p>
      <w:pPr>
        <w:spacing w:after="0" w:line="197"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issuance of equity interests by a restricted subsidiary to Scotts Company or to a another restricted subsidiary as long as it is wholly owned by Scotts;</w:t>
      </w:r>
    </w:p>
    <w:p>
      <w:pPr>
        <w:spacing w:after="0" w:line="199"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transfer or discount of any receivables to lenders under any of our credit facilities or to special purpose entities formed to borrow from lenders under credit facilities against the receivables;</w:t>
      </w:r>
    </w:p>
    <w:p>
      <w:pPr>
        <w:spacing w:after="0" w:line="199"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200" w:lineRule="exact"/>
        <w:rPr>
          <w:rFonts w:ascii="Courier New" w:cs="Courier New" w:eastAsia="Courier New" w:hAnsi="Courier New"/>
          <w:sz w:val="17"/>
          <w:szCs w:val="17"/>
          <w:color w:val="auto"/>
        </w:rPr>
      </w:pPr>
    </w:p>
    <w:p>
      <w:pPr>
        <w:ind w:left="1540" w:hanging="196"/>
        <w:spacing w:after="0"/>
        <w:tabs>
          <w:tab w:leader="none" w:pos="154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$25,000,000 for fiscal 1999, and</w:t>
      </w:r>
    </w:p>
    <w:p>
      <w:pPr>
        <w:sectPr>
          <w:pgSz w:w="11900" w:h="16838" w:orient="portrait"/>
          <w:cols w:equalWidth="0" w:num="1">
            <w:col w:w="10219"/>
          </w:cols>
          <w:pgMar w:left="240" w:top="313" w:right="1440" w:bottom="1128" w:gutter="0" w:footer="0" w:header="0"/>
        </w:sect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13" w:right="1440" w:bottom="1128"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47</w:t>
      </w:r>
    </w:p>
    <w:p>
      <w:pPr>
        <w:spacing w:after="0" w:line="203" w:lineRule="exact"/>
        <w:rPr>
          <w:sz w:val="20"/>
          <w:szCs w:val="20"/>
          <w:color w:val="auto"/>
        </w:rPr>
      </w:pPr>
    </w:p>
    <w:p>
      <w:pPr>
        <w:ind w:left="1540" w:right="1979" w:hanging="196"/>
        <w:spacing w:after="0" w:line="246" w:lineRule="auto"/>
        <w:tabs>
          <w:tab w:leader="none" w:pos="154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200" w:lineRule="exact"/>
        <w:rPr>
          <w:rFonts w:ascii="Courier New" w:cs="Courier New" w:eastAsia="Courier New" w:hAnsi="Courier New"/>
          <w:sz w:val="17"/>
          <w:szCs w:val="17"/>
          <w:color w:val="auto"/>
        </w:rPr>
      </w:pPr>
    </w:p>
    <w:p>
      <w:pPr>
        <w:ind w:left="1040" w:right="1979" w:hanging="211"/>
        <w:spacing w:after="0" w:line="247" w:lineRule="auto"/>
        <w:tabs>
          <w:tab w:leader="none" w:pos="10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restricted payment that is permitted by the covenant described above under the caption " -- Restricted Payments"; and</w:t>
      </w:r>
    </w:p>
    <w:p>
      <w:pPr>
        <w:spacing w:after="0" w:line="197" w:lineRule="exact"/>
        <w:rPr>
          <w:rFonts w:ascii="Courier New" w:cs="Courier New" w:eastAsia="Courier New" w:hAnsi="Courier New"/>
          <w:sz w:val="17"/>
          <w:szCs w:val="17"/>
          <w:color w:val="auto"/>
        </w:rPr>
      </w:pPr>
    </w:p>
    <w:p>
      <w:pPr>
        <w:ind w:left="1040" w:right="2399" w:hanging="211"/>
        <w:spacing w:after="0" w:line="246" w:lineRule="auto"/>
        <w:tabs>
          <w:tab w:leader="none" w:pos="10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disposition of inventory in the ordinary course of business or a disposition of obsolete equipment or equipment that is no longer useful and that is disposed of in the ordinary course of business.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"Capital Lease Obligation" means, at the time of determination, the amount of the liability for a capital lease that would at that time be required to be capitalized on a balance sheet in accordance with GAAP.</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"Change of Control" means the occurrence of any of the following:</w:t>
      </w:r>
    </w:p>
    <w:p>
      <w:pPr>
        <w:spacing w:after="0" w:line="203" w:lineRule="exact"/>
        <w:rPr>
          <w:sz w:val="20"/>
          <w:szCs w:val="20"/>
          <w:color w:val="auto"/>
        </w:rPr>
      </w:pPr>
    </w:p>
    <w:p>
      <w:pPr>
        <w:ind w:left="1040" w:right="1979" w:hanging="211"/>
        <w:spacing w:after="0" w:line="246" w:lineRule="auto"/>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200" w:lineRule="exact"/>
        <w:rPr>
          <w:rFonts w:ascii="Courier New" w:cs="Courier New" w:eastAsia="Courier New" w:hAnsi="Courier New"/>
          <w:sz w:val="17"/>
          <w:szCs w:val="17"/>
          <w:color w:val="auto"/>
        </w:rPr>
      </w:pPr>
    </w:p>
    <w:p>
      <w:pPr>
        <w:ind w:left="1040" w:right="2179" w:hanging="211"/>
        <w:spacing w:after="0" w:line="247" w:lineRule="auto"/>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adoption of a plan relating to the liquidation or dissolution of Scotts;</w:t>
      </w:r>
    </w:p>
    <w:p>
      <w:pPr>
        <w:spacing w:after="0" w:line="197"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200" w:lineRule="exact"/>
        <w:rPr>
          <w:rFonts w:ascii="Courier New" w:cs="Courier New" w:eastAsia="Courier New" w:hAnsi="Courier New"/>
          <w:sz w:val="17"/>
          <w:szCs w:val="17"/>
          <w:color w:val="auto"/>
        </w:rPr>
      </w:pPr>
    </w:p>
    <w:p>
      <w:pPr>
        <w:ind w:left="1040" w:right="2599" w:hanging="211"/>
        <w:spacing w:after="0" w:line="247" w:lineRule="auto"/>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on which a majority of the members of the Board of Directors of Scotts are not "Continuing Directors"; or</w:t>
      </w:r>
    </w:p>
    <w:p>
      <w:pPr>
        <w:spacing w:after="0" w:line="197"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consolidation or merger of Scotts with or into any entity, or the consolidation or merger of any entity with or into the Scotts, in 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202" w:lineRule="exact"/>
        <w:rPr>
          <w:sz w:val="20"/>
          <w:szCs w:val="20"/>
          <w:color w:val="auto"/>
        </w:rPr>
      </w:pPr>
    </w:p>
    <w:p>
      <w:pPr>
        <w:jc w:val="both"/>
        <w:ind w:right="2179" w:firstLine="515"/>
        <w:spacing w:after="0" w:line="246" w:lineRule="auto"/>
        <w:rPr>
          <w:sz w:val="20"/>
          <w:szCs w:val="20"/>
          <w:color w:val="auto"/>
        </w:rPr>
      </w:pPr>
      <w:r>
        <w:rPr>
          <w:rFonts w:ascii="Courier New" w:cs="Courier New" w:eastAsia="Courier New" w:hAnsi="Courier New"/>
          <w:sz w:val="17"/>
          <w:szCs w:val="17"/>
          <w:color w:val="auto"/>
        </w:rPr>
        <w:t>"Consolidated Cash Flow" is similar to EBITDA before extraordinary items. Specifically, it means, as applied to Scotts, the "Consolidated Net Income" of Scotts for the applicable period plus:</w:t>
      </w:r>
    </w:p>
    <w:p>
      <w:pPr>
        <w:spacing w:after="0" w:line="200" w:lineRule="exact"/>
        <w:rPr>
          <w:sz w:val="20"/>
          <w:szCs w:val="20"/>
          <w:color w:val="auto"/>
        </w:rPr>
      </w:pPr>
    </w:p>
    <w:p>
      <w:pPr>
        <w:ind w:left="1040" w:right="1979" w:hanging="211"/>
        <w:spacing w:after="0" w:line="246" w:lineRule="auto"/>
        <w:tabs>
          <w:tab w:leader="none" w:pos="10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200" w:lineRule="exact"/>
        <w:rPr>
          <w:rFonts w:ascii="Courier New" w:cs="Courier New" w:eastAsia="Courier New" w:hAnsi="Courier New"/>
          <w:sz w:val="17"/>
          <w:szCs w:val="17"/>
          <w:color w:val="auto"/>
        </w:rPr>
      </w:pPr>
    </w:p>
    <w:p>
      <w:pPr>
        <w:jc w:val="both"/>
        <w:ind w:left="1040" w:right="2079" w:hanging="211"/>
        <w:spacing w:after="0" w:line="246" w:lineRule="auto"/>
        <w:tabs>
          <w:tab w:leader="none" w:pos="10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 for income taxes for Scotts and its restricted subsidiaries for the applicable period to the extent that this provision for taxes was deducted in computing "Consolidated Net Income"; plus</w:t>
      </w:r>
    </w:p>
    <w:p>
      <w:pPr>
        <w:spacing w:after="0" w:line="199" w:lineRule="exact"/>
        <w:rPr>
          <w:rFonts w:ascii="Courier New" w:cs="Courier New" w:eastAsia="Courier New" w:hAnsi="Courier New"/>
          <w:sz w:val="17"/>
          <w:szCs w:val="17"/>
          <w:color w:val="auto"/>
        </w:rPr>
      </w:pPr>
    </w:p>
    <w:p>
      <w:pPr>
        <w:ind w:left="1040" w:right="2279" w:hanging="211"/>
        <w:spacing w:after="0" w:line="246" w:lineRule="auto"/>
        <w:tabs>
          <w:tab w:leader="none" w:pos="10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200"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w:t>
      </w:r>
    </w:p>
    <w:p>
      <w:pPr>
        <w:sectPr>
          <w:pgSz w:w="11900" w:h="16838" w:orient="portrait"/>
          <w:cols w:equalWidth="0" w:num="1">
            <w:col w:w="10219"/>
          </w:cols>
          <w:pgMar w:left="240" w:top="313" w:right="1440" w:bottom="336"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13" w:right="1440" w:bottom="336"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7"/>
          <w:szCs w:val="17"/>
          <w:color w:val="auto"/>
        </w:rPr>
        <w:t>48</w:t>
      </w:r>
    </w:p>
    <w:p>
      <w:pPr>
        <w:spacing w:after="0" w:line="203" w:lineRule="exact"/>
        <w:rPr>
          <w:sz w:val="20"/>
          <w:szCs w:val="20"/>
          <w:color w:val="auto"/>
        </w:rPr>
      </w:pPr>
    </w:p>
    <w:p>
      <w:pPr>
        <w:ind w:left="1040" w:right="1979"/>
        <w:spacing w:after="0" w:line="246" w:lineRule="auto"/>
        <w:rPr>
          <w:sz w:val="20"/>
          <w:szCs w:val="20"/>
          <w:color w:val="auto"/>
        </w:rPr>
      </w:pPr>
      <w:r>
        <w:rPr>
          <w:rFonts w:ascii="Courier New" w:cs="Courier New" w:eastAsia="Courier New" w:hAnsi="Courier New"/>
          <w:sz w:val="17"/>
          <w:szCs w:val="17"/>
          <w:color w:val="auto"/>
        </w:rPr>
        <w:t>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pacing w:after="0" w:line="202" w:lineRule="exact"/>
        <w:rPr>
          <w:sz w:val="20"/>
          <w:szCs w:val="20"/>
          <w:color w:val="auto"/>
        </w:rPr>
      </w:pPr>
    </w:p>
    <w:p>
      <w:pPr>
        <w:ind w:left="1040" w:right="1979" w:hanging="211"/>
        <w:spacing w:after="0" w:line="246" w:lineRule="auto"/>
        <w:tabs>
          <w:tab w:leader="none" w:pos="104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non-cash items increasing "Consolidated Net Income" for the applicable period, other than items that were accrued in the ordinary course of business on a consolidated basis and determined in accordance with GAAP.</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204"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"Consolidated Net Income" means, as to Scotts, the aggregate of the "Net Income" of Scotts and its restricted subsidiaries on a consolidated basis determined in accordance with GAAP, with the following exceptions:</w:t>
      </w:r>
    </w:p>
    <w:p>
      <w:pPr>
        <w:spacing w:after="0" w:line="200" w:lineRule="exact"/>
        <w:rPr>
          <w:sz w:val="20"/>
          <w:szCs w:val="20"/>
          <w:color w:val="auto"/>
        </w:rPr>
      </w:pPr>
    </w:p>
    <w:p>
      <w:pPr>
        <w:ind w:left="1040" w:right="1979" w:hanging="211"/>
        <w:spacing w:after="0" w:line="246"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200"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Income" of any restricted subsidiary will be excluded to the extent that the restricted subsidiary could not dividend or distribute its "Net Income" to Scotts under applicable law, its agreements or the indenture;</w:t>
      </w:r>
    </w:p>
    <w:p>
      <w:pPr>
        <w:spacing w:after="0" w:line="200"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Income" of any entity acquired in a pooling of interests transaction for any period prior to the date of the acquisition shall be excluded;</w:t>
      </w:r>
    </w:p>
    <w:p>
      <w:pPr>
        <w:spacing w:after="0" w:line="199" w:lineRule="exact"/>
        <w:rPr>
          <w:rFonts w:ascii="Courier New" w:cs="Courier New" w:eastAsia="Courier New" w:hAnsi="Courier New"/>
          <w:sz w:val="17"/>
          <w:szCs w:val="17"/>
          <w:color w:val="auto"/>
        </w:rPr>
      </w:pPr>
    </w:p>
    <w:p>
      <w:pPr>
        <w:ind w:left="1040" w:right="2179" w:hanging="211"/>
        <w:spacing w:after="0" w:line="247"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Income" but not loss of any unrestricted subsidiary will be excluded, whether or not distributed to the Scotts;</w:t>
      </w:r>
    </w:p>
    <w:p>
      <w:pPr>
        <w:spacing w:after="0" w:line="197" w:lineRule="exact"/>
        <w:rPr>
          <w:rFonts w:ascii="Courier New" w:cs="Courier New" w:eastAsia="Courier New" w:hAnsi="Courier New"/>
          <w:sz w:val="17"/>
          <w:szCs w:val="17"/>
          <w:color w:val="auto"/>
        </w:rPr>
      </w:pPr>
    </w:p>
    <w:p>
      <w:pPr>
        <w:ind w:left="1040" w:right="2399" w:hanging="211"/>
        <w:spacing w:after="0" w:line="246"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charges and write-offs recorded prior to January 21, 2000, in an aggregate amount of $12.5 million or less will be excluded; and</w:t>
      </w:r>
    </w:p>
    <w:p>
      <w:pPr>
        <w:spacing w:after="0" w:line="199" w:lineRule="exact"/>
        <w:rPr>
          <w:rFonts w:ascii="Courier New" w:cs="Courier New" w:eastAsia="Courier New" w:hAnsi="Courier New"/>
          <w:sz w:val="17"/>
          <w:szCs w:val="17"/>
          <w:color w:val="auto"/>
        </w:rPr>
      </w:pPr>
    </w:p>
    <w:p>
      <w:pPr>
        <w:ind w:left="1040" w:right="2399" w:hanging="211"/>
        <w:spacing w:after="0" w:line="247" w:lineRule="auto"/>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cumulative effect of a change in accounting principles will be excluded.</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"Continuing Directors" means any member of the Board of Directors of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w:t>
      </w:r>
    </w:p>
    <w:p>
      <w:pPr>
        <w:spacing w:after="0" w:line="203" w:lineRule="exact"/>
        <w:rPr>
          <w:sz w:val="20"/>
          <w:szCs w:val="20"/>
          <w:color w:val="auto"/>
        </w:rPr>
      </w:pPr>
    </w:p>
    <w:p>
      <w:pPr>
        <w:ind w:left="1040" w:hanging="211"/>
        <w:spacing w:after="0"/>
        <w:tabs>
          <w:tab w:leader="none" w:pos="10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 a member of the Board of Directors on January 21, 1999; or</w:t>
      </w:r>
    </w:p>
    <w:p>
      <w:pPr>
        <w:spacing w:after="0" w:line="203" w:lineRule="exact"/>
        <w:rPr>
          <w:rFonts w:ascii="Courier New" w:cs="Courier New" w:eastAsia="Courier New" w:hAnsi="Courier New"/>
          <w:sz w:val="17"/>
          <w:szCs w:val="17"/>
          <w:color w:val="auto"/>
        </w:rPr>
      </w:pPr>
    </w:p>
    <w:p>
      <w:pPr>
        <w:ind w:left="1040" w:right="2179" w:hanging="211"/>
        <w:spacing w:after="0" w:line="246" w:lineRule="auto"/>
        <w:tabs>
          <w:tab w:leader="none" w:pos="10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 nominated for election or elected to the Board of Directors with the approval of a majority of the "Continuing Directors" who were members of the Board at the time of the nomination or election.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"Fixed Charges" means, as applied to Scotts, the sum, without duplication,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ind w:left="1040" w:right="1979" w:hanging="211"/>
        <w:spacing w:after="0" w:line="246" w:lineRule="auto"/>
        <w:tabs>
          <w:tab w:leader="none" w:pos="104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ectPr>
          <w:pgSz w:w="11900" w:h="16838" w:orient="portrait"/>
          <w:cols w:equalWidth="0" w:num="1">
            <w:col w:w="10219"/>
          </w:cols>
          <w:pgMar w:left="240" w:top="313" w:right="1440" w:bottom="138" w:gutter="0" w:footer="0" w:header="0"/>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13" w:right="1440" w:bottom="138"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49</w:t>
      </w:r>
    </w:p>
    <w:p>
      <w:pPr>
        <w:spacing w:after="0" w:line="203" w:lineRule="exact"/>
        <w:rPr>
          <w:sz w:val="20"/>
          <w:szCs w:val="20"/>
          <w:color w:val="auto"/>
        </w:rPr>
      </w:pPr>
    </w:p>
    <w:p>
      <w:pPr>
        <w:ind w:left="1040" w:right="2279" w:hanging="211"/>
        <w:spacing w:after="0" w:line="247" w:lineRule="auto"/>
        <w:tabs>
          <w:tab w:leader="none" w:pos="10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interest of Scotts and its restricted subsidiaries that was capitalized during the applicable period; plus</w:t>
      </w:r>
    </w:p>
    <w:p>
      <w:pPr>
        <w:spacing w:after="0" w:line="197"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interest expense on indebtedness of another entity that is guaranteed by Scotts or one of its restricted subsidiaries or secured by a lien on assets of Scotts or one of its restricted subsidiaries; plus</w:t>
      </w:r>
    </w:p>
    <w:p>
      <w:pPr>
        <w:spacing w:after="0" w:line="200"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of:</w:t>
      </w:r>
    </w:p>
    <w:p>
      <w:pPr>
        <w:spacing w:after="0" w:line="203"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200" w:lineRule="exact"/>
        <w:rPr>
          <w:rFonts w:ascii="Courier New" w:cs="Courier New" w:eastAsia="Courier New" w:hAnsi="Courier New"/>
          <w:sz w:val="17"/>
          <w:szCs w:val="17"/>
          <w:color w:val="auto"/>
        </w:rPr>
      </w:pPr>
    </w:p>
    <w:p>
      <w:pPr>
        <w:ind w:left="1540" w:right="2079" w:hanging="196"/>
        <w:spacing w:after="0" w:line="246" w:lineRule="auto"/>
        <w:tabs>
          <w:tab w:leader="none" w:pos="154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addition, for purposes of calculating the "Fixed Charge Coverage Ratio":</w:t>
      </w:r>
    </w:p>
    <w:p>
      <w:pPr>
        <w:spacing w:after="0" w:line="203" w:lineRule="exact"/>
        <w:rPr>
          <w:sz w:val="20"/>
          <w:szCs w:val="20"/>
          <w:color w:val="auto"/>
        </w:rPr>
      </w:pPr>
    </w:p>
    <w:p>
      <w:pPr>
        <w:ind w:left="1040" w:right="2179" w:hanging="211"/>
        <w:spacing w:after="0" w:line="246" w:lineRule="auto"/>
        <w:tabs>
          <w:tab w:leader="none" w:pos="104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200"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200"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200" w:lineRule="exact"/>
        <w:rPr>
          <w:sz w:val="20"/>
          <w:szCs w:val="20"/>
          <w:color w:val="auto"/>
        </w:rPr>
      </w:pPr>
    </w:p>
    <w:p>
      <w:pPr>
        <w:ind w:left="1040" w:right="2599" w:hanging="211"/>
        <w:spacing w:after="0" w:line="247" w:lineRule="auto"/>
        <w:tabs>
          <w:tab w:leader="none" w:pos="104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gain or loss, together with any related provision for taxes, realized in connection with:</w:t>
      </w:r>
    </w:p>
    <w:p>
      <w:pPr>
        <w:spacing w:after="0" w:line="197" w:lineRule="exact"/>
        <w:rPr>
          <w:rFonts w:ascii="Courier New" w:cs="Courier New" w:eastAsia="Courier New" w:hAnsi="Courier New"/>
          <w:sz w:val="17"/>
          <w:szCs w:val="17"/>
          <w:color w:val="auto"/>
        </w:rPr>
      </w:pPr>
    </w:p>
    <w:p>
      <w:pPr>
        <w:ind w:left="1340" w:right="2179" w:hanging="202"/>
        <w:spacing w:after="0" w:line="246" w:lineRule="auto"/>
        <w:tabs>
          <w:tab w:leader="none" w:pos="1340"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 Sale" or any other asset sale involving more than $2.5 million, other than sales of inventory in the ordinary course of business; or</w:t>
      </w:r>
    </w:p>
    <w:p>
      <w:pPr>
        <w:spacing w:after="0" w:line="199" w:lineRule="exact"/>
        <w:rPr>
          <w:rFonts w:ascii="Courier New" w:cs="Courier New" w:eastAsia="Courier New" w:hAnsi="Courier New"/>
          <w:sz w:val="17"/>
          <w:szCs w:val="17"/>
          <w:color w:val="auto"/>
        </w:rPr>
      </w:pPr>
    </w:p>
    <w:p>
      <w:pPr>
        <w:ind w:left="1340" w:right="2179" w:hanging="202"/>
        <w:spacing w:after="0" w:line="246" w:lineRule="auto"/>
        <w:tabs>
          <w:tab w:leader="none" w:pos="1340"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disposition of any securities by Scotts or any of its restricted subsidiaries or the extinguishment of any indebtedness of Scotts or any of its restricted subsidiaries; and</w:t>
      </w:r>
    </w:p>
    <w:p>
      <w:pPr>
        <w:spacing w:after="0" w:line="199" w:lineRule="exact"/>
        <w:rPr>
          <w:rFonts w:ascii="Courier New" w:cs="Courier New" w:eastAsia="Courier New" w:hAnsi="Courier New"/>
          <w:sz w:val="17"/>
          <w:szCs w:val="17"/>
          <w:color w:val="auto"/>
        </w:rPr>
      </w:pPr>
    </w:p>
    <w:p>
      <w:pPr>
        <w:ind w:left="1040" w:right="2279" w:hanging="211"/>
        <w:spacing w:after="0" w:line="247" w:lineRule="auto"/>
        <w:tabs>
          <w:tab w:leader="none" w:pos="104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extraordinary gain or loss, together with any related provision for taxes; and</w:t>
      </w:r>
    </w:p>
    <w:p>
      <w:pPr>
        <w:spacing w:after="0" w:line="197" w:lineRule="exact"/>
        <w:rPr>
          <w:rFonts w:ascii="Courier New" w:cs="Courier New" w:eastAsia="Courier New" w:hAnsi="Courier New"/>
          <w:sz w:val="17"/>
          <w:szCs w:val="17"/>
          <w:color w:val="auto"/>
        </w:rPr>
      </w:pPr>
    </w:p>
    <w:p>
      <w:pPr>
        <w:ind w:left="1040" w:right="2079" w:hanging="211"/>
        <w:spacing w:after="0" w:line="247" w:lineRule="auto"/>
        <w:tabs>
          <w:tab w:leader="none" w:pos="104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non-cash expenses attributable to grants or exercises of employee stock options.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"Permitted Liens" means:</w:t>
      </w:r>
    </w:p>
    <w:p>
      <w:pPr>
        <w:spacing w:after="0" w:line="203" w:lineRule="exact"/>
        <w:rPr>
          <w:sz w:val="20"/>
          <w:szCs w:val="20"/>
          <w:color w:val="auto"/>
        </w:rPr>
      </w:pPr>
    </w:p>
    <w:p>
      <w:pPr>
        <w:ind w:left="1040" w:right="2499" w:hanging="211"/>
        <w:spacing w:after="0" w:line="247" w:lineRule="auto"/>
        <w:tabs>
          <w:tab w:leader="none" w:pos="10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securing senior debt that was permitted by the terms of the indenture to be incurred;</w:t>
      </w:r>
    </w:p>
    <w:p>
      <w:pPr>
        <w:spacing w:after="0" w:line="197"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in favor of Scotts or the subsidiary guarantors;</w:t>
      </w:r>
    </w:p>
    <w:p>
      <w:pPr>
        <w:sectPr>
          <w:pgSz w:w="11900" w:h="16838" w:orient="portrait"/>
          <w:cols w:equalWidth="0" w:num="1">
            <w:col w:w="10219"/>
          </w:cols>
          <w:pgMar w:left="240" w:top="313" w:right="1440" w:bottom="0" w:gutter="0" w:footer="0" w:header="0"/>
        </w:sectPr>
      </w:pPr>
    </w:p>
    <w:bookmarkStart w:id="52" w:name="page53"/>
    <w:bookmarkEnd w:id="52"/>
    <w:p>
      <w:pPr>
        <w:ind w:left="28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019"/>
          </w:cols>
          <w:pgMar w:left="1440" w:top="340"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50</w:t>
      </w:r>
    </w:p>
    <w:p>
      <w:pPr>
        <w:spacing w:after="0" w:line="203" w:lineRule="exact"/>
        <w:rPr>
          <w:sz w:val="20"/>
          <w:szCs w:val="20"/>
          <w:color w:val="auto"/>
        </w:rPr>
      </w:pPr>
    </w:p>
    <w:p>
      <w:pPr>
        <w:ind w:left="1040" w:right="2279" w:hanging="211"/>
        <w:spacing w:after="0" w:line="247"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pre-existing liens on property of acquired entities, as long as the liens were not entered into in contemplation of the acquisition;</w:t>
      </w:r>
    </w:p>
    <w:p>
      <w:pPr>
        <w:spacing w:after="0" w:line="197"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to secure the performance of statutory obligations, surety or appeal bonds, performance bonds or other obligations of a like nature incurred in the ordinary course of business;</w:t>
      </w:r>
    </w:p>
    <w:p>
      <w:pPr>
        <w:spacing w:after="0" w:line="199" w:lineRule="exact"/>
        <w:rPr>
          <w:rFonts w:ascii="Courier New" w:cs="Courier New" w:eastAsia="Courier New" w:hAnsi="Courier New"/>
          <w:sz w:val="17"/>
          <w:szCs w:val="17"/>
          <w:color w:val="auto"/>
        </w:rPr>
      </w:pPr>
    </w:p>
    <w:p>
      <w:pPr>
        <w:ind w:left="1040" w:right="2279" w:hanging="211"/>
        <w:spacing w:after="0" w:line="246"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to secure indebtedness, including "Capital Lease Obligations" permitted by the covenant entitled "Incurrence of Indebtedness and Issuance of Preferred Stock" covering only the assets acquired with the indebtedness;</w:t>
      </w:r>
    </w:p>
    <w:p>
      <w:pPr>
        <w:spacing w:after="0" w:line="200"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existing on January 21, 1999;</w:t>
      </w:r>
    </w:p>
    <w:p>
      <w:pPr>
        <w:spacing w:after="0" w:line="203"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on assets of subsidiary guarantors to secure senior debt of that subsidiary guarantor that was permitted by the indenture to be incurred;</w:t>
      </w:r>
    </w:p>
    <w:p>
      <w:pPr>
        <w:spacing w:after="0" w:line="199" w:lineRule="exact"/>
        <w:rPr>
          <w:rFonts w:ascii="Courier New" w:cs="Courier New" w:eastAsia="Courier New" w:hAnsi="Courier New"/>
          <w:sz w:val="17"/>
          <w:szCs w:val="17"/>
          <w:color w:val="auto"/>
        </w:rPr>
      </w:pPr>
    </w:p>
    <w:p>
      <w:pPr>
        <w:ind w:left="1040" w:right="2079" w:hanging="211"/>
        <w:spacing w:after="0" w:line="246"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200" w:lineRule="exact"/>
        <w:rPr>
          <w:rFonts w:ascii="Courier New" w:cs="Courier New" w:eastAsia="Courier New" w:hAnsi="Courier New"/>
          <w:sz w:val="17"/>
          <w:szCs w:val="17"/>
          <w:color w:val="auto"/>
        </w:rPr>
      </w:pPr>
    </w:p>
    <w:p>
      <w:pPr>
        <w:ind w:left="1040" w:right="2279" w:hanging="211"/>
        <w:spacing w:after="0" w:line="247"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incurred in the ordinary course of business on obligations of $5.0 million or less at any one time outstanding; and</w:t>
      </w:r>
    </w:p>
    <w:p>
      <w:pPr>
        <w:spacing w:after="0" w:line="197" w:lineRule="exact"/>
        <w:rPr>
          <w:rFonts w:ascii="Courier New" w:cs="Courier New" w:eastAsia="Courier New" w:hAnsi="Courier New"/>
          <w:sz w:val="17"/>
          <w:szCs w:val="17"/>
          <w:color w:val="auto"/>
        </w:rPr>
      </w:pPr>
    </w:p>
    <w:p>
      <w:pPr>
        <w:ind w:left="1040" w:right="2079" w:hanging="211"/>
        <w:spacing w:after="0" w:line="247" w:lineRule="auto"/>
        <w:tabs>
          <w:tab w:leader="none" w:pos="10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on assets of unrestricted subsidiaries that secure non-recourse debt of unrestricted subsidiaries.</w:t>
      </w:r>
    </w:p>
    <w:p>
      <w:pPr>
        <w:spacing w:after="0" w:line="198"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UNITED STATES FEDERAL TAX CONSIDERATIONS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LEGAL MATTERS</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Legal matters relating to the exchange offer are being passed upon for Scotts by Vorys, Sater, Seymour and Pease LLP, Columbus, Ohio, our outside counsel.</w:t>
      </w:r>
    </w:p>
    <w:p>
      <w:pPr>
        <w:spacing w:after="0" w:line="20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INDEPENDENT PUBLIC ACCOUNTANTS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ectPr>
          <w:pgSz w:w="11900" w:h="16838" w:orient="portrait"/>
          <w:cols w:equalWidth="0" w:num="1">
            <w:col w:w="10219"/>
          </w:cols>
          <w:pgMar w:left="240" w:top="31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313" w:right="1440" w:bottom="144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51</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202" w:lineRule="exact"/>
        <w:rPr>
          <w:sz w:val="20"/>
          <w:szCs w:val="20"/>
          <w:color w:val="auto"/>
        </w:rPr>
      </w:pPr>
    </w:p>
    <w:p>
      <w:pPr>
        <w:ind w:left="720" w:right="2599" w:hanging="200"/>
        <w:spacing w:after="0" w:line="247" w:lineRule="auto"/>
        <w:tabs>
          <w:tab w:leader="none" w:pos="7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amended current reports on Form 8-K/A dated October 7, 1998 and January 21, 1999;</w:t>
      </w:r>
    </w:p>
    <w:p>
      <w:pPr>
        <w:spacing w:after="0" w:line="197"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amended Quarterly Reports on Form 10-Q/A for the three month periods ending January 1, 2000 and April 1 and July 1, 2000;</w:t>
      </w:r>
    </w:p>
    <w:p>
      <w:pPr>
        <w:spacing w:after="0" w:line="197" w:lineRule="exact"/>
        <w:rPr>
          <w:rFonts w:ascii="Courier New" w:cs="Courier New" w:eastAsia="Courier New" w:hAnsi="Courier New"/>
          <w:sz w:val="17"/>
          <w:szCs w:val="17"/>
          <w:color w:val="auto"/>
        </w:rPr>
      </w:pPr>
    </w:p>
    <w:p>
      <w:pPr>
        <w:ind w:left="720" w:right="2699" w:hanging="200"/>
        <w:spacing w:after="0" w:line="247" w:lineRule="auto"/>
        <w:tabs>
          <w:tab w:leader="none" w:pos="7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amended Annual Report on Form 10-K/A for the fiscal year ended September 30, 1999;</w:t>
      </w:r>
    </w:p>
    <w:p>
      <w:pPr>
        <w:spacing w:after="0" w:line="197" w:lineRule="exact"/>
        <w:rPr>
          <w:rFonts w:ascii="Courier New" w:cs="Courier New" w:eastAsia="Courier New" w:hAnsi="Courier New"/>
          <w:sz w:val="17"/>
          <w:szCs w:val="17"/>
          <w:color w:val="auto"/>
        </w:rPr>
      </w:pPr>
    </w:p>
    <w:p>
      <w:pPr>
        <w:ind w:left="720" w:right="1979" w:hanging="200"/>
        <w:spacing w:after="0" w:line="247" w:lineRule="auto"/>
        <w:tabs>
          <w:tab w:leader="none" w:pos="7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proxy statement for our 2000 annual meeting of shareholders, as filed with the Commission on January 14, 2000; and</w:t>
      </w:r>
    </w:p>
    <w:p>
      <w:pPr>
        <w:spacing w:after="0" w:line="197" w:lineRule="exact"/>
        <w:rPr>
          <w:rFonts w:ascii="Courier New" w:cs="Courier New" w:eastAsia="Courier New" w:hAnsi="Courier New"/>
          <w:sz w:val="17"/>
          <w:szCs w:val="17"/>
          <w:color w:val="auto"/>
        </w:rPr>
      </w:pPr>
    </w:p>
    <w:p>
      <w:pPr>
        <w:ind w:left="720" w:right="1979" w:hanging="200"/>
        <w:spacing w:after="0" w:line="247" w:lineRule="auto"/>
        <w:tabs>
          <w:tab w:leader="none" w:pos="7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documents that we file under Sections 13(a), 13(c), 14 or 15(d) of the Exchange Act prior to the consummation of the exchange offer.</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207"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DISCLOSURE REGARDING FORWARD-LOOKING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 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ectPr>
          <w:pgSz w:w="11900" w:h="16838" w:orient="portrait"/>
          <w:cols w:equalWidth="0" w:num="1">
            <w:col w:w="10219"/>
          </w:cols>
          <w:pgMar w:left="240" w:top="313" w:right="1440" w:bottom="1440" w:gutter="0" w:footer="0" w:header="0"/>
        </w:sect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13"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52</w:t>
      </w:r>
    </w:p>
    <w:p>
      <w:pPr>
        <w:spacing w:after="0" w:line="20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$330,000,000</w:t>
      </w:r>
    </w:p>
    <w:p>
      <w:pPr>
        <w:spacing w:after="0" w:line="20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8.625% SENIOR SUBORDINATED NOTES DUE 2009</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REGISTERED UNDER THE SECURITIES ACT OF 1933, AS AMENDED</w:t>
      </w:r>
    </w:p>
    <w:p>
      <w:pPr>
        <w:spacing w:after="0" w:line="203"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[THE SCOTTS COMPANY LOGO]</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PROSPECTUS</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December 12, 2000</w:t>
      </w:r>
    </w:p>
    <w:p>
      <w:pPr>
        <w:sectPr>
          <w:pgSz w:w="11900" w:h="16838" w:orient="portrait"/>
          <w:cols w:equalWidth="0" w:num="1">
            <w:col w:w="9899"/>
          </w:cols>
          <w:pgMar w:left="560" w:top="31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7"/>
          <w:szCs w:val="17"/>
          <w:color w:val="auto"/>
        </w:rPr>
        <w:t>53</w:t>
      </w:r>
    </w:p>
    <w:p>
      <w:pPr>
        <w:spacing w:after="0" w:line="203"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7"/>
          <w:szCs w:val="17"/>
          <w:color w:val="auto"/>
        </w:rPr>
        <w:t>[THIS PAGE INTENTIONALLY LEFT BLANK]</w:t>
      </w:r>
    </w:p>
    <w:sectPr>
      <w:pgSz w:w="11900" w:h="16838" w:orient="portrait"/>
      <w:cols w:equalWidth="0" w:num="1">
        <w:col w:w="9899"/>
      </w:cols>
      <w:pgMar w:left="56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lvl w:ilvl="1">
      <w:lvlJc w:val="left"/>
      <w:lvlText w:val="-"/>
      <w:numFmt w:val="bullet"/>
      <w:start w:val="1"/>
    </w:lvl>
  </w:abstractNum>
  <w:abstractNum w:abstractNumId="14">
    <w:nsid w:val="4F4EF005"/>
    <w:multiLevelType w:val="hybridMultilevel"/>
    <w:lvl w:ilvl="0">
      <w:lvlJc w:val="left"/>
      <w:lvlText w:val="-"/>
      <w:numFmt w:val="bullet"/>
      <w:start w:val="1"/>
    </w:lvl>
    <w:lvl w:ilvl="1">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lvl w:ilvl="1">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lvl w:ilvl="1">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lvl w:ilvl="1">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lvl w:ilvl="1">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617"/>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lvl w:ilvl="1">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lvl w:ilvl="1">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lvl w:ilvl="1">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lvl w:ilvl="1">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lvl w:ilvl="1">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quot;"/>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lvl w:ilvl="1">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lvl w:ilvl="1">
      <w:lvlJc w:val="left"/>
      <w:lvlText w:val="-"/>
      <w:numFmt w:val="bullet"/>
      <w:start w:val="1"/>
    </w:lvl>
  </w:abstractNum>
  <w:abstractNum w:abstractNumId="81">
    <w:nsid w:val="1716703B"/>
    <w:multiLevelType w:val="hybridMultilevel"/>
    <w:lvl w:ilvl="0">
      <w:lvlJc w:val="left"/>
      <w:lvlText w:val="-"/>
      <w:numFmt w:val="bullet"/>
      <w:start w:val="1"/>
    </w:lvl>
    <w:lvl w:ilvl="1">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lvl w:ilvl="1">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lvl w:ilvl="1">
      <w:lvlJc w:val="left"/>
      <w:lvlText w:val="-"/>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2019-12-20T06:14:30Z</dcterms:created>
  <dcterms:modified xsi:type="dcterms:W3CDTF">2019-12-20T06:14:30Z</dcterms:modified>
</cp:coreProperties>
</file>