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417"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417"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3, 2025 (August 28,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The Scotts Miracle-Gro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40" w:before="0" w:after="60"/>
        <w:jc w:val="center"/>
        <w:rPr>
          <w:rFonts w:ascii="Times New Roman;serif" w:hAnsi="Times New Roman;serif"/>
          <w:b/>
          <w:color w:val="000000"/>
          <w:sz w:val="20"/>
        </w:rPr>
      </w:pPr>
      <w:r>
        <w:rPr>
          <w:rFonts w:ascii="Times New Roman;serif" w:hAnsi="Times New Roman;serif"/>
          <w:b/>
          <w:color w:val="000000"/>
          <w:sz w:val="20"/>
        </w:rPr>
        <w:t>_________________________________</w:t>
      </w:r>
    </w:p>
    <w:tbl>
      <w:tblPr>
        <w:tblW w:w="5668" w:type="dxa"/>
        <w:jc w:val="center"/>
        <w:tblInd w:w="0" w:type="dxa"/>
        <w:tblLayout w:type="fixed"/>
        <w:tblCellMar>
          <w:top w:w="28" w:type="dxa"/>
          <w:left w:w="28" w:type="dxa"/>
          <w:bottom w:w="28" w:type="dxa"/>
          <w:right w:w="28" w:type="dxa"/>
        </w:tblCellMar>
      </w:tblPr>
      <w:tblGrid>
        <w:gridCol w:w="1010"/>
        <w:gridCol w:w="884"/>
        <w:gridCol w:w="895"/>
        <w:gridCol w:w="408"/>
        <w:gridCol w:w="408"/>
        <w:gridCol w:w="413"/>
        <w:gridCol w:w="482"/>
        <w:gridCol w:w="482"/>
        <w:gridCol w:w="686"/>
      </w:tblGrid>
      <w:tr>
        <w:trPr/>
        <w:tc>
          <w:tcPr>
            <w:tcW w:w="101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001-11593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31-1414921</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5897" w:type="dxa"/>
        <w:jc w:val="center"/>
        <w:tblInd w:w="0" w:type="dxa"/>
        <w:tblLayout w:type="fixed"/>
        <w:tblCellMar>
          <w:top w:w="28" w:type="dxa"/>
          <w:left w:w="28" w:type="dxa"/>
          <w:bottom w:w="28" w:type="dxa"/>
          <w:right w:w="28" w:type="dxa"/>
        </w:tblCellMar>
      </w:tblPr>
      <w:tblGrid>
        <w:gridCol w:w="1195"/>
        <w:gridCol w:w="1051"/>
        <w:gridCol w:w="1054"/>
        <w:gridCol w:w="345"/>
        <w:gridCol w:w="345"/>
        <w:gridCol w:w="346"/>
        <w:gridCol w:w="175"/>
        <w:gridCol w:w="175"/>
        <w:gridCol w:w="17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14111 Scottslawn Road</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Marysville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Ohio</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43041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(937) 644-0011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ind w:left="0" w:right="0" w:hanging="7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ind w:left="0" w:right="0" w:hanging="720"/>
        <w:jc w:val="both"/>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339" w:type="dxa"/>
        <w:jc w:val="center"/>
        <w:tblInd w:w="0" w:type="dxa"/>
        <w:tblLayout w:type="fixed"/>
        <w:tblCellMar>
          <w:top w:w="28" w:type="dxa"/>
          <w:left w:w="28" w:type="dxa"/>
          <w:bottom w:w="28" w:type="dxa"/>
          <w:right w:w="28" w:type="dxa"/>
        </w:tblCellMar>
      </w:tblPr>
      <w:tblGrid>
        <w:gridCol w:w="1092"/>
        <w:gridCol w:w="956"/>
        <w:gridCol w:w="967"/>
        <w:gridCol w:w="539"/>
        <w:gridCol w:w="539"/>
        <w:gridCol w:w="541"/>
        <w:gridCol w:w="1085"/>
        <w:gridCol w:w="1085"/>
        <w:gridCol w:w="1535"/>
      </w:tblGrid>
      <w:tr>
        <w:trPr/>
        <w:tc>
          <w:tcPr>
            <w:tcW w:w="1092"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$0.01 stated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SMG</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 of this chapter).  Emerging growth company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 of the Exchange Act. ☐</w:t>
      </w:r>
    </w:p>
    <w:p>
      <w:pPr>
        <w:pStyle w:val="TextBody"/>
        <w:bidi w:val="0"/>
        <w:spacing w:before="0" w:after="0"/>
        <w:ind w:left="0" w:right="0" w:hanging="7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28, 2025, The Scotts Miracle-Gro Company, in its capacity as seller representative (the “Company”), entered into that certain Second Amendment to Master Receivables Purchase Agreement (the “Amendment”), by and among the Company and JPMorgan Chase Bank, N.A. (the “Purchaser”) to amend that certain Master Receivables Purchase Agreement (as previously amended, the “Master Receivables Purchase Agreement”), by and among The Scotts Company LLC, in its capacity as seller and servicer (the “Seller”), the other subsidiaries of the Company that from time to time become party thereto as a seller and servicer (the “Additional Sellers” and together with the Seller, the “Sellers”), the Purchaser, and, for the limited purpose of a performance undertaking and, as “Seller Representative” (as defined in the Master Receivables Purchase Agreement), the Company, by extending the “Purchase Termination Date” (as defined in the Master Receivables Purchase Agreement) of September 1, 2025 to a new Purchase Termination Date of September 1, 2026, as provided for and permitted under the Master Receivables Purchase Agreement.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Master Receivables Purchase Agreement, as amended to date, the Sellers may sell, and the Purchaser may purchase on an uncommitted and weekly basis, up to $750 million of a portfolio of available and eligible outstanding customer accounts receivable (as so amended, the “Receivables Facility”). The eligible accounts receivable to be sold under the Receivables Facility consist of up to $750 million in accounts receivable generated by sales to five specified customers of the Company. The Seller, as the servicer under the Receivables Facility (the “Servicer”), will continue to service the account receivables sold to the Purchaser for a servicer fee of 20 basis points. The Receivables Facility, after giving effect to the Amendment, is an uncommitted facility with a term that expires on September 1, 2026, unless earlier terminated by the Purchaser.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Receivables Facility and the Master Receivables Purchase Agreement continue to contain customary representations and warranties and covenants for facilities of this nature, including as to the eligibility of the account receivables being sold, and continue to contain customary repurchase events and indemnification provisions for facilities of this nature.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Receivables Facility continues to be non-recourse to the Sellers and the Company, other than with respect to customary, limited recourse to the Sellers in the form of (i) repurchase obligations and indemnification obligations for any violations by the Sellers or the Servicer of their respective representations or obligations as seller or servicer under the Master Receivables Purchase Agreement and (ii) certain repurchase or payment obligations arising from any dilution of, or dispute with respect to, any purchased receivables that arise after the sale of such purchased receivables to the Purchaser and not contemplated in the applicable purchase price of such purchased receivable (clauses (i) and (ii) together referred to herein as the “Recourse Obligations”).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Recourse Obligations of the Sellers and the Servicer that may arise from time to time continue to be supported by standby letters of credit of $75 million issued pursuant to the Company’s senior secured revolving facility. The Recourse Obligations and other obligations of the Sellers and the Servicer under the Receivables Facility continue to be guaranteed by the Company under a Performance Undertaking (the “Performance Undertaking”), dated as of October 27, 2023, made by the Company in favor of the Purchaser.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expect to use the proceeds from receivables sales under the Receivables Facility for general corporate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summary of the material terms of the Amendment is qualified in its entirety by reference to the Second Amendment to Master Receivables Purchase Agreement which is filed as Exhibit 10.1 to this Current Report on Form-8-K. The description of the material terms of the Master Receivables Purchase Agreement and the Performance Undertaking is qualified in its entirety by the full text of such agreements, copies of which are attached as Exhibits 10.1 and 10.2 to the Form 8-K filed with the SEC on November 1, 2023.</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u w:val="single"/>
        </w:rPr>
      </w:pPr>
      <w:r>
        <w:rPr>
          <w:rFonts w:ascii="Times New Roman;serif" w:hAnsi="Times New Roman;serif"/>
          <w:b/>
          <w:color w:val="000000"/>
          <w:sz w:val="20"/>
          <w:u w:val="single"/>
        </w:rPr>
        <w:t>Item 9.01. Financial Statements and Exhibits.</w:t>
      </w:r>
    </w:p>
    <w:p>
      <w:pPr>
        <w:pStyle w:val="TextBody"/>
        <w:bidi w:val="0"/>
        <w:spacing w:lineRule="auto" w:line="288" w:before="180" w:after="283"/>
        <w:jc w:val="both"/>
        <w:rPr/>
      </w:pPr>
      <w:r>
        <w:rPr>
          <w:rFonts w:ascii="Times New Roman;serif" w:hAnsi="Times New Roman;serif"/>
          <w:b w:val="false"/>
          <w:color w:val="000000"/>
          <w:sz w:val="20"/>
        </w:rPr>
        <w:t xml:space="preserve">(a) </w:t>
      </w:r>
      <w:r>
        <w:rPr>
          <w:rFonts w:ascii="Times New Roman;serif" w:hAnsi="Times New Roman;serif"/>
          <w:b w:val="false"/>
          <w:color w:val="000000"/>
          <w:sz w:val="20"/>
          <w:u w:val="single"/>
        </w:rPr>
        <w:t>Financial statements of businesses acquired:</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(b) </w:t>
      </w:r>
      <w:r>
        <w:rPr>
          <w:rFonts w:ascii="Times New Roman;serif" w:hAnsi="Times New Roman;serif"/>
          <w:b w:val="false"/>
          <w:color w:val="000000"/>
          <w:sz w:val="20"/>
          <w:u w:val="single"/>
        </w:rPr>
        <w:t>Pro forma financial information:</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lineRule="auto" w:line="288" w:before="180" w:after="283"/>
        <w:jc w:val="both"/>
        <w:rPr/>
      </w:pPr>
      <w:r>
        <w:rPr>
          <w:rFonts w:ascii="Times New Roman;serif" w:hAnsi="Times New Roman;serif"/>
          <w:b w:val="false"/>
          <w:color w:val="000000"/>
          <w:sz w:val="20"/>
        </w:rPr>
        <w:t xml:space="preserve">(c) </w:t>
      </w:r>
      <w:r>
        <w:rPr>
          <w:rFonts w:ascii="Times New Roman;serif" w:hAnsi="Times New Roman;serif"/>
          <w:b w:val="false"/>
          <w:color w:val="000000"/>
          <w:sz w:val="20"/>
          <w:u w:val="single"/>
        </w:rPr>
        <w:t>Shell company transactions:</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347"/>
        <w:gridCol w:w="305"/>
        <w:gridCol w:w="306"/>
        <w:gridCol w:w="2698"/>
        <w:gridCol w:w="2698"/>
        <w:gridCol w:w="385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4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Master Receivables Purchase Agreement, dated August 28, 2025, by and between The Scotts Miracle-Gro Company to JPMorgan Chase Bank, N.A.</w:t>
            </w:r>
          </w:p>
        </w:tc>
      </w:tr>
      <w:tr>
        <w:trPr/>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r>
    </w:p>
    <w:tbl>
      <w:tblPr>
        <w:tblW w:w="8862" w:type="dxa"/>
        <w:jc w:val="left"/>
        <w:tblInd w:w="0" w:type="dxa"/>
        <w:tblLayout w:type="fixed"/>
        <w:tblCellMar>
          <w:top w:w="28" w:type="dxa"/>
          <w:left w:w="28" w:type="dxa"/>
          <w:bottom w:w="28" w:type="dxa"/>
          <w:right w:w="28" w:type="dxa"/>
        </w:tblCellMar>
      </w:tblPr>
      <w:tblGrid>
        <w:gridCol w:w="238"/>
        <w:gridCol w:w="210"/>
        <w:gridCol w:w="212"/>
        <w:gridCol w:w="539"/>
        <w:gridCol w:w="539"/>
        <w:gridCol w:w="541"/>
        <w:gridCol w:w="134"/>
        <w:gridCol w:w="134"/>
        <w:gridCol w:w="136"/>
        <w:gridCol w:w="1807"/>
        <w:gridCol w:w="1807"/>
        <w:gridCol w:w="256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56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SCOTTS MIRACLE-GRO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September 3,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Printed Name: Dimiter Todorov</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c>
          <w:tcPr>
            <w:tcW w:w="617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Title: Executive Vice President, Chief Legal Officer &amp; Corporate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INDEX TO EXHIBITS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Current Report on Form 8-K</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Dated September 3, 2025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Scotts Miracle-Gro Company</w:t>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7"/>
        <w:gridCol w:w="305"/>
        <w:gridCol w:w="306"/>
        <w:gridCol w:w="2698"/>
        <w:gridCol w:w="2698"/>
        <w:gridCol w:w="3851"/>
      </w:tblGrid>
      <w:tr>
        <w:trPr/>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51" w:type="dxa"/>
            <w:tcBorders/>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247"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smg2025-09x038xkxexhibit101.htm">
              <w:r>
                <w:rPr>
                  <w:rStyle w:val="InternetLink"/>
                  <w:rFonts w:ascii="Times New Roman;serif" w:hAnsi="Times New Roman;serif"/>
                  <w:b w:val="false"/>
                  <w:color w:val="0000FF"/>
                  <w:sz w:val="20"/>
                  <w:u w:val="single"/>
                </w:rPr>
                <w:t>Second Amendment to Master Receivables Purchase Agreement, dated August 28, 2025, by and between The Scotts Miracle-Gro Company to JPMorgan Chase Bank, N.A.</w:t>
              </w:r>
            </w:hyperlink>
          </w:p>
        </w:tc>
      </w:tr>
      <w:tr>
        <w:trPr/>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2"/>
        <w:jc w:val="right"/>
        <w:rPr>
          <w:rFonts w:ascii="Times New Roman;serif" w:hAnsi="Times New Roman;serif"/>
          <w:b w:val="false"/>
          <w:color w:val="000000"/>
          <w:sz w:val="24"/>
          <w:u w:val="single"/>
        </w:rPr>
      </w:pPr>
      <w:r>
        <w:rPr>
          <w:rFonts w:ascii="Times New Roman;serif" w:hAnsi="Times New Roman;serif"/>
          <w:b w:val="false"/>
          <w:color w:val="000000"/>
          <w:sz w:val="24"/>
          <w:u w:val="single"/>
        </w:rPr>
        <w:t>Exhibit 10.1</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 xml:space="preserve">SECOND AMENDMENT TO </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MASTER RECEIVABLES PURCHASE AGREEMENT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4"/>
        </w:rPr>
        <w:t>This Second Amendment dated as of August 28, 2025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is to that certain Master Receivables Purchase Agreement dated as of October 27, 2023, among The Scotts Miracle-Gro Company, as the Seller Representative and JPMorgan Chase Bank, N.A., as Purchaser (as amended, extended, modified, supplemented, restated, renewed and/or replaced, the “</w:t>
      </w:r>
      <w:r>
        <w:rPr>
          <w:rFonts w:ascii="Times New Roman;serif" w:hAnsi="Times New Roman;serif"/>
          <w:b w:val="false"/>
          <w:color w:val="000000"/>
          <w:sz w:val="24"/>
          <w:u w:val="single"/>
        </w:rPr>
        <w:t>RPA</w:t>
      </w:r>
      <w:r>
        <w:rPr>
          <w:color w:val="000000"/>
        </w:rPr>
        <w:t>”</w:t>
      </w:r>
      <w:r>
        <w:rPr>
          <w:rFonts w:ascii="Times New Roman;serif" w:hAnsi="Times New Roman;serif"/>
          <w:b w:val="false"/>
          <w:color w:val="000000"/>
          <w:sz w:val="24"/>
        </w:rPr>
        <w:t>). Unless otherwise defined herein, capitalized terms shall have the meanings assigned to them in the RPA.</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for mutual consideration, the receipt of which is hereby acknowledged by the parties, the Purchaser and Seller Representative hereby agree to amend the RPA as follows:</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1.    The definition of Purchase Termination Date is hereby deleted in its entirety and replaced with the following:</w:t>
      </w:r>
    </w:p>
    <w:p>
      <w:pPr>
        <w:pStyle w:val="TextBody"/>
        <w:bidi w:val="0"/>
        <w:spacing w:before="0" w:after="0"/>
        <w:ind w:left="0" w:right="0" w:firstLine="720"/>
        <w:jc w:val="both"/>
        <w:rPr/>
      </w:pPr>
      <w:r>
        <w:rPr/>
      </w:r>
    </w:p>
    <w:p>
      <w:pPr>
        <w:pStyle w:val="TextBody"/>
        <w:bidi w:val="0"/>
        <w:spacing w:lineRule="auto" w:line="268" w:before="0" w:after="0"/>
        <w:jc w:val="both"/>
        <w:rPr>
          <w:color w:val="000000"/>
        </w:rPr>
      </w:pPr>
      <w:r>
        <w:rPr>
          <w:color w:val="000000"/>
        </w:rPr>
        <w:t>“</w:t>
      </w:r>
      <w:r>
        <w:rPr>
          <w:rFonts w:ascii="Times New Roman;serif" w:hAnsi="Times New Roman;serif"/>
          <w:b w:val="false"/>
          <w:color w:val="000000"/>
          <w:sz w:val="24"/>
        </w:rPr>
        <w:t>Purchase Termination Date” means September 1, 2026, as such date may be extended in accordance with the terms set forth in Section 1(b)(ii).”</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2.    Schedule I, Account Debtor Information, is hereby deleted in its entirety and replaced with the Schedule I attached hereto as Exhibit A.</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3.    Except as specifically amended by this Amendment, the provisions of the RPA remain in full force and effect, including without limitation, the uncommitted nature of the receivables purchase facility documented under the RPA.</w:t>
      </w:r>
    </w:p>
    <w:p>
      <w:pPr>
        <w:pStyle w:val="TextBody"/>
        <w:bidi w:val="0"/>
        <w:spacing w:before="0" w:after="0"/>
        <w:ind w:left="0" w:right="0" w:firstLine="720"/>
        <w:jc w:val="both"/>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4.    Within 30 days of execution of this Amendment, the Seller Representative will provide to the Purchaser a favorable “bring down” opinion from outside counsel to Seller in form and substance satisfactory to the Purchaser and addressing the “true sale” of the Receivables.</w:t>
      </w:r>
    </w:p>
    <w:p>
      <w:pPr>
        <w:pStyle w:val="TextBody"/>
        <w:bidi w:val="0"/>
        <w:spacing w:before="0" w:after="0"/>
        <w:jc w:val="left"/>
        <w:rPr/>
      </w:pPr>
      <w:r>
        <w:rPr/>
      </w:r>
    </w:p>
    <w:p>
      <w:pPr>
        <w:pStyle w:val="TextBody"/>
        <w:bidi w:val="0"/>
        <w:spacing w:lineRule="auto" w:line="268" w:before="0" w:after="0"/>
        <w:ind w:left="0" w:right="0" w:hanging="540"/>
        <w:jc w:val="both"/>
        <w:rPr>
          <w:rFonts w:ascii="Times New Roman;serif" w:hAnsi="Times New Roman;serif"/>
          <w:b w:val="false"/>
          <w:color w:val="000000"/>
          <w:sz w:val="24"/>
        </w:rPr>
      </w:pPr>
      <w:r>
        <w:rPr>
          <w:rFonts w:ascii="Times New Roman;serif" w:hAnsi="Times New Roman;serif"/>
          <w:b w:val="false"/>
          <w:color w:val="000000"/>
          <w:sz w:val="24"/>
        </w:rPr>
        <w:t>5.    This Amendment shall become effective only after it is fully executed and delivered by the Seller Representative and the Purchaser and shall be governed by, and construed in accordance with, the laws of the State of New York. This Amendment may be executed in counterparts, each of which shall be considered an original, but all of which shall be considered one and the same agreement.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283"/>
        <w:jc w:val="left"/>
        <w:rPr/>
      </w:pPr>
      <w:r>
        <w:rPr/>
      </w:r>
    </w:p>
    <w:p>
      <w:pPr>
        <w:pStyle w:val="TextBody"/>
        <w:bidi w:val="0"/>
        <w:spacing w:before="0" w:after="1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Amendment to be duly executed by their respective authorized officers as of the day and year as indicated above.</w:t>
      </w:r>
    </w:p>
    <w:p>
      <w:pPr>
        <w:pStyle w:val="TextBody"/>
        <w:bidi w:val="0"/>
        <w:spacing w:before="0" w:after="0"/>
        <w:jc w:val="left"/>
        <w:rPr/>
      </w:pPr>
      <w:r>
        <w:rPr/>
      </w:r>
    </w:p>
    <w:p>
      <w:pPr>
        <w:pStyle w:val="TextBody"/>
        <w:bidi w:val="0"/>
        <w:spacing w:before="0" w:after="0"/>
        <w:jc w:val="left"/>
        <w:rPr/>
      </w:pPr>
      <w:r>
        <w:rPr/>
      </w:r>
    </w:p>
    <w:tbl>
      <w:tblPr>
        <w:tblW w:w="7689" w:type="dxa"/>
        <w:jc w:val="left"/>
        <w:tblInd w:w="0" w:type="dxa"/>
        <w:tblLayout w:type="fixed"/>
        <w:tblCellMar>
          <w:top w:w="28" w:type="dxa"/>
          <w:left w:w="28" w:type="dxa"/>
          <w:bottom w:w="28" w:type="dxa"/>
          <w:right w:w="28" w:type="dxa"/>
        </w:tblCellMar>
      </w:tblPr>
      <w:tblGrid>
        <w:gridCol w:w="868"/>
        <w:gridCol w:w="765"/>
        <w:gridCol w:w="765"/>
        <w:gridCol w:w="765"/>
        <w:gridCol w:w="765"/>
        <w:gridCol w:w="765"/>
        <w:gridCol w:w="765"/>
        <w:gridCol w:w="765"/>
        <w:gridCol w:w="767"/>
        <w:gridCol w:w="109"/>
        <w:gridCol w:w="109"/>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90"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THE SCOTTS MIRACLE-GRO COMPANY, as Seller Representative</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BRADFORD K. CHELTON</w:t>
            </w:r>
            <w:r>
              <w:rPr>
                <w:rFonts w:ascii="Times New Roman;serif" w:hAnsi="Times New Roman;serif"/>
                <w:b w:val="false"/>
                <w:color w:val="000000"/>
                <w:sz w:val="24"/>
              </w:rPr>
              <w:t>____________</w:t>
            </w:r>
          </w:p>
          <w:p>
            <w:pPr>
              <w:pStyle w:val="TableContents"/>
              <w:bidi w:val="0"/>
              <w:spacing w:lineRule="auto" w:line="288" w:before="0" w:after="0"/>
              <w:jc w:val="left"/>
              <w:rPr/>
            </w:pPr>
            <w:r>
              <w:rPr>
                <w:rFonts w:ascii="Times New Roman;serif" w:hAnsi="Times New Roman;serif"/>
                <w:b w:val="false"/>
                <w:color w:val="000000"/>
                <w:sz w:val="24"/>
              </w:rPr>
              <w:t>Name: _</w:t>
            </w:r>
            <w:r>
              <w:rPr>
                <w:rFonts w:ascii="Times New Roman;serif" w:hAnsi="Times New Roman;serif"/>
                <w:b w:val="false"/>
                <w:color w:val="000000"/>
                <w:sz w:val="24"/>
                <w:u w:val="single"/>
              </w:rPr>
              <w:t>Bradford K. Chelton</w:t>
            </w:r>
            <w:r>
              <w:rPr>
                <w:rFonts w:ascii="Times New Roman;serif" w:hAnsi="Times New Roman;serif"/>
                <w:b w:val="false"/>
                <w:color w:val="000000"/>
                <w:sz w:val="24"/>
              </w:rPr>
              <w:t>_____________________</w:t>
            </w:r>
          </w:p>
          <w:p>
            <w:pPr>
              <w:pStyle w:val="TableContents"/>
              <w:bidi w:val="0"/>
              <w:spacing w:lineRule="auto" w:line="288" w:before="0" w:after="0"/>
              <w:jc w:val="left"/>
              <w:rPr/>
            </w:pPr>
            <w:r>
              <w:rPr>
                <w:rFonts w:ascii="Times New Roman;serif" w:hAnsi="Times New Roman;serif"/>
                <w:b w:val="false"/>
                <w:color w:val="000000"/>
                <w:sz w:val="24"/>
              </w:rPr>
              <w:t>Title: _</w:t>
            </w:r>
            <w:r>
              <w:rPr>
                <w:rFonts w:ascii="Times New Roman;serif" w:hAnsi="Times New Roman;serif"/>
                <w:b w:val="false"/>
                <w:color w:val="000000"/>
                <w:sz w:val="24"/>
                <w:u w:val="single"/>
              </w:rPr>
              <w:t>Vice President, Investor Relations &amp; Treasurer</w:t>
            </w:r>
            <w:r>
              <w:rPr>
                <w:rFonts w:ascii="Times New Roman;serif" w:hAnsi="Times New Roman;serif"/>
                <w:b w:val="false"/>
                <w:color w:val="000000"/>
                <w:sz w:val="24"/>
              </w:rPr>
              <w:t>_</w:t>
            </w:r>
          </w:p>
        </w:tc>
        <w:tc>
          <w:tcPr>
            <w:tcW w:w="699" w:type="dxa"/>
            <w:gridSpan w:val="6"/>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bl>
      <w:tblPr>
        <w:tblW w:w="6153" w:type="dxa"/>
        <w:jc w:val="left"/>
        <w:tblInd w:w="0" w:type="dxa"/>
        <w:tblLayout w:type="fixed"/>
        <w:tblCellMar>
          <w:top w:w="28" w:type="dxa"/>
          <w:left w:w="28" w:type="dxa"/>
          <w:bottom w:w="28" w:type="dxa"/>
          <w:right w:w="28" w:type="dxa"/>
        </w:tblCellMar>
      </w:tblPr>
      <w:tblGrid>
        <w:gridCol w:w="678"/>
        <w:gridCol w:w="596"/>
        <w:gridCol w:w="596"/>
        <w:gridCol w:w="596"/>
        <w:gridCol w:w="596"/>
        <w:gridCol w:w="596"/>
        <w:gridCol w:w="596"/>
        <w:gridCol w:w="596"/>
        <w:gridCol w:w="604"/>
        <w:gridCol w:w="109"/>
        <w:gridCol w:w="109"/>
        <w:gridCol w:w="109"/>
        <w:gridCol w:w="109"/>
        <w:gridCol w:w="109"/>
        <w:gridCol w:w="154"/>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4"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JPMORGAN CHASE BANK, N.A., as Purchaser</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By: _</w:t>
            </w:r>
            <w:r>
              <w:rPr>
                <w:rFonts w:ascii="Times New Roman;serif" w:hAnsi="Times New Roman;serif"/>
                <w:b w:val="false"/>
                <w:color w:val="000000"/>
                <w:sz w:val="24"/>
                <w:u w:val="single"/>
              </w:rPr>
              <w:t>/s/ MICHAEL GILHULEY</w:t>
            </w:r>
            <w:r>
              <w:rPr>
                <w:rFonts w:ascii="Times New Roman;serif" w:hAnsi="Times New Roman;serif"/>
                <w:b w:val="false"/>
                <w:color w:val="000000"/>
                <w:sz w:val="24"/>
              </w:rPr>
              <w:t>________________</w:t>
            </w:r>
          </w:p>
          <w:p>
            <w:pPr>
              <w:pStyle w:val="TableContents"/>
              <w:bidi w:val="0"/>
              <w:spacing w:lineRule="auto" w:line="288" w:before="0" w:after="0"/>
              <w:jc w:val="left"/>
              <w:rPr/>
            </w:pPr>
            <w:r>
              <w:rPr>
                <w:rFonts w:ascii="Times New Roman;serif" w:hAnsi="Times New Roman;serif"/>
                <w:b w:val="false"/>
                <w:color w:val="000000"/>
                <w:sz w:val="24"/>
              </w:rPr>
              <w:t>Name: _</w:t>
            </w:r>
            <w:r>
              <w:rPr>
                <w:rFonts w:ascii="Times New Roman;serif" w:hAnsi="Times New Roman;serif"/>
                <w:b w:val="false"/>
                <w:color w:val="000000"/>
                <w:sz w:val="24"/>
                <w:u w:val="single"/>
              </w:rPr>
              <w:t>Michael Gilhuley</w:t>
            </w:r>
            <w:r>
              <w:rPr>
                <w:rFonts w:ascii="Times New Roman;serif" w:hAnsi="Times New Roman;serif"/>
                <w:b w:val="false"/>
                <w:color w:val="000000"/>
                <w:sz w:val="24"/>
              </w:rPr>
              <w:t>________________________</w:t>
            </w:r>
          </w:p>
          <w:p>
            <w:pPr>
              <w:pStyle w:val="TableContents"/>
              <w:bidi w:val="0"/>
              <w:spacing w:lineRule="auto" w:line="288" w:before="0" w:after="0"/>
              <w:jc w:val="left"/>
              <w:rPr/>
            </w:pPr>
            <w:r>
              <w:rPr>
                <w:rFonts w:ascii="Times New Roman;serif" w:hAnsi="Times New Roman;serif"/>
                <w:b w:val="false"/>
                <w:color w:val="000000"/>
                <w:sz w:val="24"/>
              </w:rPr>
              <w:t>Title: _</w:t>
            </w:r>
            <w:r>
              <w:rPr>
                <w:rFonts w:ascii="Times New Roman;serif" w:hAnsi="Times New Roman;serif"/>
                <w:b w:val="false"/>
                <w:color w:val="000000"/>
                <w:sz w:val="24"/>
                <w:u w:val="single"/>
              </w:rPr>
              <w:t>Executive Director</w:t>
            </w:r>
            <w:r>
              <w:rPr>
                <w:rFonts w:ascii="Times New Roman;serif" w:hAnsi="Times New Roman;serif"/>
                <w:b w:val="false"/>
                <w:color w:val="000000"/>
                <w:sz w:val="24"/>
              </w:rPr>
              <w:t>_______________________</w:t>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right"/>
        <w:rPr/>
      </w:pPr>
      <w:r>
        <w:rPr/>
      </w:r>
    </w:p>
    <w:p>
      <w:pPr>
        <w:pStyle w:val="TextBody"/>
        <w:bidi w:val="0"/>
        <w:spacing w:lineRule="auto" w:line="288"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Schedule I</w:t>
      </w:r>
    </w:p>
    <w:p>
      <w:pPr>
        <w:pStyle w:val="TextBody"/>
        <w:bidi w:val="0"/>
        <w:spacing w:before="0" w:after="2"/>
        <w:jc w:val="center"/>
        <w:rPr/>
      </w:pPr>
      <w:r>
        <w:rPr/>
      </w:r>
    </w:p>
    <w:p>
      <w:pPr>
        <w:pStyle w:val="TextBody"/>
        <w:bidi w:val="0"/>
        <w:spacing w:lineRule="auto" w:line="288" w:before="0" w:after="240"/>
        <w:ind w:left="0" w:right="0" w:hanging="720"/>
        <w:jc w:val="center"/>
        <w:rPr>
          <w:rFonts w:ascii="Times New Roman;serif" w:hAnsi="Times New Roman;serif"/>
          <w:b/>
          <w:color w:val="000000"/>
          <w:sz w:val="24"/>
        </w:rPr>
      </w:pPr>
      <w:r>
        <w:rPr>
          <w:rFonts w:ascii="Times New Roman;serif" w:hAnsi="Times New Roman;serif"/>
          <w:b/>
          <w:color w:val="000000"/>
          <w:sz w:val="24"/>
        </w:rPr>
        <w:t>Account Debtor Information</w:t>
      </w:r>
    </w:p>
    <w:p>
      <w:pPr>
        <w:pStyle w:val="TextBody"/>
        <w:bidi w:val="0"/>
        <w:spacing w:before="0" w:after="240"/>
        <w:ind w:left="0" w:right="0" w:hanging="720"/>
        <w:jc w:val="center"/>
        <w:rPr/>
      </w:pPr>
      <w:r>
        <w:rPr/>
      </w:r>
    </w:p>
    <w:tbl>
      <w:tblPr>
        <w:tblW w:w="6914" w:type="dxa"/>
        <w:jc w:val="left"/>
        <w:tblInd w:w="0" w:type="dxa"/>
        <w:tblLayout w:type="fixed"/>
        <w:tblCellMar>
          <w:top w:w="28" w:type="dxa"/>
          <w:left w:w="28" w:type="dxa"/>
          <w:bottom w:w="28" w:type="dxa"/>
          <w:right w:w="28" w:type="dxa"/>
        </w:tblCellMar>
      </w:tblPr>
      <w:tblGrid>
        <w:gridCol w:w="635"/>
        <w:gridCol w:w="559"/>
        <w:gridCol w:w="561"/>
        <w:gridCol w:w="1259"/>
        <w:gridCol w:w="1259"/>
        <w:gridCol w:w="1262"/>
        <w:gridCol w:w="403"/>
        <w:gridCol w:w="403"/>
        <w:gridCol w:w="573"/>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Account Debtor</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Account Debtor Credit Limit (USD)</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erif" w:hAnsi="Times New Roman;serif"/>
                <w:b/>
                <w:color w:val="000000"/>
                <w:sz w:val="24"/>
              </w:rPr>
            </w:pPr>
            <w:r>
              <w:rPr>
                <w:rFonts w:ascii="Times New Roman;serif" w:hAnsi="Times New Roman;serif"/>
                <w:b/>
                <w:color w:val="000000"/>
                <w:sz w:val="24"/>
              </w:rPr>
              <w:t>Buffer Days</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r>
      <w:tr>
        <w:trPr/>
        <w:tc>
          <w:tcPr>
            <w:tcW w:w="175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37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c>
          <w:tcPr>
            <w:tcW w:w="1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xxx</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1610</Words>
  <Characters>9191</Characters>
  <CharactersWithSpaces>10704</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