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Free Writing Prospectus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Preliminary Prospectus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Supplement dated January 11, 2010)</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433 under the Securities Act</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333-163330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-2094230</wp:posOffset>
            </wp:positionH>
            <wp:positionV relativeFrom="paragraph">
              <wp:posOffset>348615</wp:posOffset>
            </wp:positionV>
            <wp:extent cx="195516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360045"/>
                    </a:xfrm>
                    <a:prstGeom prst="rect">
                      <a:avLst/>
                    </a:prstGeom>
                    <a:noFill/>
                  </pic:spPr>
                </pic:pic>
              </a:graphicData>
            </a:graphic>
          </wp:anchor>
        </w:drawing>
      </w:r>
    </w:p>
    <w:p>
      <w:pPr>
        <w:spacing w:after="0" w:line="393" w:lineRule="exact"/>
        <w:rPr>
          <w:sz w:val="24"/>
          <w:szCs w:val="24"/>
          <w:color w:val="auto"/>
        </w:rPr>
      </w:pPr>
    </w:p>
    <w:p>
      <w:pPr>
        <w:sectPr>
          <w:pgSz w:w="11900" w:h="16838" w:orient="portrait"/>
          <w:cols w:equalWidth="0" w:num="2">
            <w:col w:w="6760" w:space="720"/>
            <w:col w:w="3940"/>
          </w:cols>
          <w:pgMar w:left="240" w:top="44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800" w:type="dxa"/>
            <w:vAlign w:val="bottom"/>
            <w:gridSpan w:val="2"/>
          </w:tcPr>
          <w:p>
            <w:pPr>
              <w:jc w:val="center"/>
              <w:ind w:right="1851"/>
              <w:spacing w:after="0"/>
              <w:rPr>
                <w:sz w:val="20"/>
                <w:szCs w:val="20"/>
                <w:color w:val="auto"/>
              </w:rPr>
            </w:pPr>
            <w:r>
              <w:rPr>
                <w:rFonts w:ascii="Arial" w:cs="Arial" w:eastAsia="Arial" w:hAnsi="Arial"/>
                <w:sz w:val="18"/>
                <w:szCs w:val="18"/>
                <w:color w:val="auto"/>
                <w:w w:val="89"/>
              </w:rPr>
              <w:t>$200,000,000 7.25% Senior Notes due 2018</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06"/>
        </w:trPr>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20" w:type="dxa"/>
            <w:vAlign w:val="bottom"/>
          </w:tcPr>
          <w:p>
            <w:pPr>
              <w:jc w:val="center"/>
              <w:ind w:right="2911"/>
              <w:spacing w:after="0"/>
              <w:rPr>
                <w:sz w:val="20"/>
                <w:szCs w:val="20"/>
                <w:color w:val="auto"/>
              </w:rPr>
            </w:pPr>
            <w:r>
              <w:rPr>
                <w:rFonts w:ascii="Arial" w:cs="Arial" w:eastAsia="Arial" w:hAnsi="Arial"/>
                <w:sz w:val="18"/>
                <w:szCs w:val="18"/>
                <w:b w:val="1"/>
                <w:bCs w:val="1"/>
                <w:color w:val="auto"/>
                <w:w w:val="89"/>
              </w:rPr>
              <w:t>Term Sheet</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3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tcPr>
          <w:p>
            <w:pPr>
              <w:jc w:val="center"/>
              <w:ind w:right="2931"/>
              <w:spacing w:after="0"/>
              <w:rPr>
                <w:sz w:val="20"/>
                <w:szCs w:val="20"/>
                <w:color w:val="auto"/>
              </w:rPr>
            </w:pPr>
            <w:r>
              <w:rPr>
                <w:rFonts w:ascii="Arial" w:cs="Arial" w:eastAsia="Arial" w:hAnsi="Arial"/>
                <w:sz w:val="18"/>
                <w:szCs w:val="18"/>
                <w:b w:val="1"/>
                <w:bCs w:val="1"/>
                <w:color w:val="auto"/>
                <w:w w:val="90"/>
              </w:rPr>
              <w:t>January 11, 2010</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The Scotts Miracle-Gro Company (“Scotts”)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6800" w:type="dxa"/>
            <w:vAlign w:val="bottom"/>
            <w:gridSpan w:val="2"/>
          </w:tcPr>
          <w:p>
            <w:pPr>
              <w:ind w:left="1080"/>
              <w:spacing w:after="0"/>
              <w:rPr>
                <w:sz w:val="20"/>
                <w:szCs w:val="20"/>
                <w:color w:val="auto"/>
              </w:rPr>
            </w:pPr>
            <w:r>
              <w:rPr>
                <w:rFonts w:ascii="Arial" w:cs="Arial" w:eastAsia="Arial" w:hAnsi="Arial"/>
                <w:sz w:val="18"/>
                <w:szCs w:val="18"/>
                <w:color w:val="auto"/>
              </w:rPr>
              <w:t>$200,000,000</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7.25% Senior Notes due 2018</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January 15, 2018</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Offering Price:</w:t>
            </w:r>
          </w:p>
        </w:tc>
        <w:tc>
          <w:tcPr>
            <w:tcW w:w="6800" w:type="dxa"/>
            <w:vAlign w:val="bottom"/>
            <w:gridSpan w:val="2"/>
          </w:tcPr>
          <w:p>
            <w:pPr>
              <w:ind w:left="1080"/>
              <w:spacing w:after="0"/>
              <w:rPr>
                <w:sz w:val="20"/>
                <w:szCs w:val="20"/>
                <w:color w:val="auto"/>
              </w:rPr>
            </w:pPr>
            <w:r>
              <w:rPr>
                <w:rFonts w:ascii="Arial" w:cs="Arial" w:eastAsia="Arial" w:hAnsi="Arial"/>
                <w:sz w:val="18"/>
                <w:szCs w:val="18"/>
                <w:color w:val="auto"/>
              </w:rPr>
              <w:t>99.254%</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Coupon:</w:t>
            </w:r>
          </w:p>
        </w:tc>
        <w:tc>
          <w:tcPr>
            <w:tcW w:w="6800" w:type="dxa"/>
            <w:vAlign w:val="bottom"/>
            <w:gridSpan w:val="2"/>
          </w:tcPr>
          <w:p>
            <w:pPr>
              <w:ind w:left="1080"/>
              <w:spacing w:after="0"/>
              <w:rPr>
                <w:sz w:val="20"/>
                <w:szCs w:val="20"/>
                <w:color w:val="auto"/>
              </w:rPr>
            </w:pPr>
            <w:r>
              <w:rPr>
                <w:rFonts w:ascii="Arial" w:cs="Arial" w:eastAsia="Arial" w:hAnsi="Arial"/>
                <w:sz w:val="18"/>
                <w:szCs w:val="18"/>
                <w:color w:val="auto"/>
              </w:rPr>
              <w:t>7.250%</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6800" w:type="dxa"/>
            <w:vAlign w:val="bottom"/>
            <w:gridSpan w:val="2"/>
          </w:tcPr>
          <w:p>
            <w:pPr>
              <w:ind w:left="1080"/>
              <w:spacing w:after="0"/>
              <w:rPr>
                <w:sz w:val="20"/>
                <w:szCs w:val="20"/>
                <w:color w:val="auto"/>
              </w:rPr>
            </w:pPr>
            <w:r>
              <w:rPr>
                <w:rFonts w:ascii="Arial" w:cs="Arial" w:eastAsia="Arial" w:hAnsi="Arial"/>
                <w:sz w:val="18"/>
                <w:szCs w:val="18"/>
                <w:color w:val="auto"/>
              </w:rPr>
              <w:t>7.375%</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January 15 and July 15, commencing July 15, 2010</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January 1 and July 1</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Make-whole call at T+50 until January 15, 2014.</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8"/>
        </w:trPr>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w w:val="90"/>
              </w:rPr>
              <w:t>On or after January 15, 2014, at the prices set forth below for the years beginning on the dates set</w:t>
            </w:r>
          </w:p>
        </w:tc>
      </w:tr>
      <w:tr>
        <w:trPr>
          <w:trHeight w:val="230"/>
        </w:trPr>
        <w:tc>
          <w:tcPr>
            <w:tcW w:w="3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forth below, plus accrued and unpaid interest:</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5"/>
        </w:trPr>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24"/>
                <w:szCs w:val="24"/>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Price</w:t>
            </w:r>
          </w:p>
        </w:tc>
      </w:tr>
      <w:tr>
        <w:trPr>
          <w:trHeight w:val="210"/>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103.625%</w:t>
            </w:r>
          </w:p>
        </w:tc>
      </w:tr>
      <w:tr>
        <w:trPr>
          <w:trHeight w:val="216"/>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2015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101.813%</w:t>
            </w:r>
          </w:p>
        </w:tc>
      </w:tr>
      <w:tr>
        <w:trPr>
          <w:trHeight w:val="216"/>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2016 and thereafter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Equity Clawback:</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Up to 35% at 107.250% prior to January 15, 2013.</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Banc of America Securities LLC</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Senior Co-Managers:</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BMO Capital Markets Corp.</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Rabo Securities USA, Inc.</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Scotia Capital (USA) Inc.</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10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Calyon Securities (USA) Inc.</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Fifth Third Securities, Inc.</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RBS Securities Inc.</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2"/>
        </w:trPr>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20" w:type="dxa"/>
            <w:vAlign w:val="bottom"/>
          </w:tcPr>
          <w:p>
            <w:pPr>
              <w:jc w:val="center"/>
              <w:ind w:right="2931"/>
              <w:spacing w:after="0"/>
              <w:rPr>
                <w:sz w:val="20"/>
                <w:szCs w:val="20"/>
                <w:color w:val="auto"/>
              </w:rPr>
            </w:pPr>
            <w:r>
              <w:rPr>
                <w:rFonts w:ascii="Arial" w:cs="Arial" w:eastAsia="Arial" w:hAnsi="Arial"/>
                <w:sz w:val="18"/>
                <w:szCs w:val="18"/>
                <w:color w:val="auto"/>
                <w:w w:val="93"/>
              </w:rPr>
              <w:t>1 of 2</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11, 2010</w:t>
      </w:r>
    </w:p>
    <w:p>
      <w:pPr>
        <w:spacing w:after="0" w:line="207" w:lineRule="exact"/>
        <w:rPr>
          <w:sz w:val="20"/>
          <w:szCs w:val="20"/>
          <w:color w:val="auto"/>
        </w:rPr>
      </w:pPr>
    </w:p>
    <w:p>
      <w:pPr>
        <w:sectPr>
          <w:pgSz w:w="11900" w:h="16838" w:orient="portrait"/>
          <w:cols w:equalWidth="0" w:num="2">
            <w:col w:w="3980" w:space="720"/>
            <w:col w:w="6680"/>
          </w:cols>
          <w:pgMar w:left="240" w:top="1148" w:right="27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14, 2010 (T+3)</w:t>
      </w:r>
    </w:p>
    <w:p>
      <w:pPr>
        <w:spacing w:after="0" w:line="200" w:lineRule="exact"/>
        <w:rPr>
          <w:sz w:val="20"/>
          <w:szCs w:val="20"/>
          <w:color w:val="auto"/>
        </w:rPr>
      </w:pPr>
    </w:p>
    <w:p>
      <w:pPr>
        <w:sectPr>
          <w:pgSz w:w="11900" w:h="16838" w:orient="portrait"/>
          <w:cols w:equalWidth="0" w:num="2">
            <w:col w:w="3980" w:space="720"/>
            <w:col w:w="6680"/>
          </w:cols>
          <w:pgMar w:left="240" w:top="1148" w:right="2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Registered Offering</w:t>
      </w:r>
    </w:p>
    <w:p>
      <w:pPr>
        <w:spacing w:after="0" w:line="200" w:lineRule="exact"/>
        <w:rPr>
          <w:sz w:val="20"/>
          <w:szCs w:val="20"/>
          <w:color w:val="auto"/>
        </w:rPr>
      </w:pPr>
    </w:p>
    <w:p>
      <w:pPr>
        <w:sectPr>
          <w:pgSz w:w="11900" w:h="16838" w:orient="portrait"/>
          <w:cols w:equalWidth="0" w:num="2">
            <w:col w:w="3980" w:space="720"/>
            <w:col w:w="6680"/>
          </w:cols>
          <w:pgMar w:left="240" w:top="1148" w:right="2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that the net proceeds of this offering will be approximately $193.3 million, after deducting commissions payable to the underwriters and estimated offering expenses payable by us.</w:t>
      </w:r>
    </w:p>
    <w:p>
      <w:pPr>
        <w:spacing w:after="0" w:line="177" w:lineRule="exact"/>
        <w:rPr>
          <w:sz w:val="20"/>
          <w:szCs w:val="20"/>
          <w:color w:val="auto"/>
        </w:rPr>
      </w:pPr>
    </w:p>
    <w:p>
      <w:pPr>
        <w:sectPr>
          <w:pgSz w:w="11900" w:h="16838" w:orient="portrait"/>
          <w:cols w:equalWidth="0" w:num="2">
            <w:col w:w="3980" w:space="720"/>
            <w:col w:w="6680"/>
          </w:cols>
          <w:pgMar w:left="240" w:top="1148" w:right="2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810186 AH9</w:t>
      </w:r>
    </w:p>
    <w:p>
      <w:pPr>
        <w:spacing w:after="0" w:line="207" w:lineRule="exact"/>
        <w:rPr>
          <w:sz w:val="20"/>
          <w:szCs w:val="20"/>
          <w:color w:val="auto"/>
        </w:rPr>
      </w:pPr>
    </w:p>
    <w:p>
      <w:pPr>
        <w:sectPr>
          <w:pgSz w:w="11900" w:h="16838" w:orient="portrait"/>
          <w:cols w:equalWidth="0" w:num="2">
            <w:col w:w="3980" w:space="720"/>
            <w:col w:w="6680"/>
          </w:cols>
          <w:pgMar w:left="240" w:top="1148"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ISIN Number: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US810186AH90</w:t>
      </w:r>
    </w:p>
    <w:p>
      <w:pPr>
        <w:spacing w:after="0" w:line="140" w:lineRule="exact"/>
        <w:rPr>
          <w:sz w:val="20"/>
          <w:szCs w:val="20"/>
          <w:color w:val="auto"/>
        </w:rPr>
      </w:pPr>
    </w:p>
    <w:p>
      <w:pPr>
        <w:sectPr>
          <w:pgSz w:w="11900" w:h="16838" w:orient="portrait"/>
          <w:cols w:equalWidth="0" w:num="2">
            <w:col w:w="3980" w:space="720"/>
            <w:col w:w="6680"/>
          </w:cols>
          <w:pgMar w:left="240" w:top="1148" w:right="279" w:bottom="1440" w:gutter="0" w:footer="0" w:header="0"/>
          <w:type w:val="continuous"/>
        </w:sectPr>
      </w:pPr>
    </w:p>
    <w:p>
      <w:pPr>
        <w:ind w:right="180"/>
        <w:spacing w:after="0" w:line="276" w:lineRule="auto"/>
        <w:rPr>
          <w:sz w:val="20"/>
          <w:szCs w:val="20"/>
          <w:color w:val="auto"/>
        </w:rPr>
      </w:pPr>
      <w:r>
        <w:rPr>
          <w:rFonts w:ascii="Arial" w:cs="Arial" w:eastAsia="Arial" w:hAnsi="Arial"/>
          <w:sz w:val="17"/>
          <w:szCs w:val="17"/>
          <w:color w:val="auto"/>
        </w:rPr>
        <w:t xml:space="preserve">The issuer has filed a registration statement (including a prospectus) with the Securities and Exchange Commission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the Next-Generation EDGAR System on the SEC web site at </w:t>
      </w:r>
      <w:r>
        <w:rPr>
          <w:rFonts w:ascii="Arial" w:cs="Arial" w:eastAsia="Arial" w:hAnsi="Arial"/>
          <w:sz w:val="17"/>
          <w:szCs w:val="17"/>
          <w:i w:val="1"/>
          <w:iCs w:val="1"/>
          <w:color w:val="auto"/>
        </w:rPr>
        <w:t>www.sec.gov</w:t>
      </w:r>
      <w:r>
        <w:rPr>
          <w:rFonts w:ascii="Arial" w:cs="Arial" w:eastAsia="Arial" w:hAnsi="Arial"/>
          <w:sz w:val="17"/>
          <w:szCs w:val="17"/>
          <w:color w:val="auto"/>
        </w:rPr>
        <w:t>. Alternatively, the issuer or any underwriter will arrange to send you the prospectus if you request it by calling either of the Book-Running Managers at the numbers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Banc of America Securities LLC</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800-294-1322</w:t>
            </w: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(toll free)</w:t>
            </w:r>
          </w:p>
        </w:tc>
      </w:t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J.P. Morgan Securities Inc.</w:t>
            </w: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212-834-4533</w:t>
            </w: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w w:val="86"/>
              </w:rPr>
              <w:t>(call collect)</w:t>
            </w:r>
          </w:p>
        </w:tc>
      </w:tr>
    </w:tbl>
    <w:p>
      <w:pPr>
        <w:spacing w:after="0" w:line="90"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email or another communication system.</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 of 2</w:t>
      </w:r>
    </w:p>
    <w:sectPr>
      <w:pgSz w:w="11900" w:h="16838" w:orient="portrait"/>
      <w:cols w:equalWidth="0" w:num="1">
        <w:col w:w="11380"/>
      </w:cols>
      <w:pgMar w:left="240" w:top="114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2019-12-10T07:52:56Z</dcterms:created>
  <dcterms:modified xsi:type="dcterms:W3CDTF">2019-12-10T07:52:56Z</dcterms:modified>
</cp:coreProperties>
</file>