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60"/>
        <w:spacing w:after="0"/>
        <w:rPr>
          <w:sz w:val="20"/>
          <w:szCs w:val="20"/>
          <w:color w:val="auto"/>
        </w:rPr>
      </w:pPr>
      <w:r>
        <w:rPr>
          <w:rFonts w:ascii="Arial" w:cs="Arial" w:eastAsia="Arial" w:hAnsi="Arial"/>
          <w:sz w:val="16"/>
          <w:szCs w:val="16"/>
          <w:color w:val="auto"/>
        </w:rPr>
        <w:t>As filed with the Securities and Exchange Commission on February 28, 2017</w:t>
      </w:r>
    </w:p>
    <w:p>
      <w:pPr>
        <w:spacing w:after="0" w:line="46" w:lineRule="exact"/>
        <w:rPr>
          <w:sz w:val="24"/>
          <w:szCs w:val="24"/>
          <w:color w:val="auto"/>
        </w:rPr>
      </w:pPr>
    </w:p>
    <w:p>
      <w:pPr>
        <w:ind w:left="8860"/>
        <w:spacing w:after="0"/>
        <w:rPr>
          <w:sz w:val="20"/>
          <w:szCs w:val="20"/>
          <w:color w:val="auto"/>
        </w:rPr>
      </w:pPr>
      <w:r>
        <w:rPr>
          <w:rFonts w:ascii="Arial" w:cs="Arial" w:eastAsia="Arial" w:hAnsi="Arial"/>
          <w:sz w:val="16"/>
          <w:szCs w:val="16"/>
          <w:color w:val="auto"/>
        </w:rPr>
        <w:t>Registration No. 333 -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SCOTTS MIRACLE-GRO COMPANY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Co-registrants are listed on the following page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3" w:lineRule="exact"/>
        <w:rPr>
          <w:sz w:val="24"/>
          <w:szCs w:val="24"/>
          <w:color w:val="auto"/>
        </w:rPr>
      </w:pPr>
    </w:p>
    <w:tbl>
      <w:tblPr>
        <w:tblLayout w:type="fixed"/>
        <w:tblInd w:w="980" w:type="dxa"/>
        <w:tblCellMar>
          <w:top w:w="0" w:type="dxa"/>
          <w:left w:w="0" w:type="dxa"/>
          <w:bottom w:w="0" w:type="dxa"/>
          <w:right w:w="0" w:type="dxa"/>
        </w:tblCellMar>
      </w:tblPr>
      <w:tr>
        <w:trPr>
          <w:trHeight w:val="216"/>
        </w:trPr>
        <w:tc>
          <w:tcPr>
            <w:tcW w:w="2880" w:type="dxa"/>
            <w:vAlign w:val="bottom"/>
          </w:tcPr>
          <w:p>
            <w:pPr>
              <w:ind w:left="900"/>
              <w:spacing w:after="0"/>
              <w:rPr>
                <w:sz w:val="20"/>
                <w:szCs w:val="20"/>
                <w:color w:val="auto"/>
              </w:rPr>
            </w:pPr>
            <w:r>
              <w:rPr>
                <w:rFonts w:ascii="Arial" w:cs="Arial" w:eastAsia="Arial" w:hAnsi="Arial"/>
                <w:sz w:val="18"/>
                <w:szCs w:val="18"/>
                <w:b w:val="1"/>
                <w:bCs w:val="1"/>
                <w:color w:val="auto"/>
              </w:rPr>
              <w:t>Ohio</w:t>
            </w:r>
          </w:p>
        </w:tc>
        <w:tc>
          <w:tcPr>
            <w:tcW w:w="326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2875</w:t>
            </w:r>
          </w:p>
        </w:tc>
        <w:tc>
          <w:tcPr>
            <w:tcW w:w="182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31-1414921</w:t>
            </w:r>
          </w:p>
        </w:tc>
        <w:tc>
          <w:tcPr>
            <w:tcW w:w="0" w:type="dxa"/>
            <w:vAlign w:val="bottom"/>
          </w:tcPr>
          <w:p>
            <w:pPr>
              <w:spacing w:after="0"/>
              <w:rPr>
                <w:sz w:val="1"/>
                <w:szCs w:val="1"/>
                <w:color w:val="auto"/>
              </w:rPr>
            </w:pPr>
          </w:p>
        </w:tc>
      </w:tr>
      <w:tr>
        <w:trPr>
          <w:trHeight w:val="181"/>
        </w:trPr>
        <w:tc>
          <w:tcPr>
            <w:tcW w:w="2880" w:type="dxa"/>
            <w:vAlign w:val="bottom"/>
          </w:tcPr>
          <w:p>
            <w:pPr>
              <w:ind w:left="20"/>
              <w:spacing w:after="0" w:line="181" w:lineRule="exact"/>
              <w:rPr>
                <w:sz w:val="20"/>
                <w:szCs w:val="20"/>
                <w:color w:val="auto"/>
              </w:rPr>
            </w:pPr>
            <w:r>
              <w:rPr>
                <w:rFonts w:ascii="Arial" w:cs="Arial" w:eastAsia="Arial" w:hAnsi="Arial"/>
                <w:sz w:val="18"/>
                <w:szCs w:val="18"/>
                <w:color w:val="auto"/>
              </w:rPr>
              <w:t>(State or other jurisdiction of</w:t>
            </w:r>
          </w:p>
        </w:tc>
        <w:tc>
          <w:tcPr>
            <w:tcW w:w="3260" w:type="dxa"/>
            <w:vAlign w:val="bottom"/>
          </w:tcPr>
          <w:p>
            <w:pPr>
              <w:jc w:val="center"/>
              <w:ind w:left="150"/>
              <w:spacing w:after="0" w:line="181" w:lineRule="exact"/>
              <w:rPr>
                <w:sz w:val="20"/>
                <w:szCs w:val="20"/>
                <w:color w:val="auto"/>
              </w:rPr>
            </w:pPr>
            <w:r>
              <w:rPr>
                <w:rFonts w:ascii="Arial" w:cs="Arial" w:eastAsia="Arial" w:hAnsi="Arial"/>
                <w:sz w:val="18"/>
                <w:szCs w:val="18"/>
                <w:color w:val="auto"/>
                <w:w w:val="91"/>
              </w:rPr>
              <w:t>(Primary Standard Industrial</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2880" w:type="dxa"/>
            <w:vAlign w:val="bottom"/>
            <w:vMerge w:val="restart"/>
          </w:tcPr>
          <w:p>
            <w:pPr>
              <w:spacing w:after="0"/>
              <w:rPr>
                <w:sz w:val="20"/>
                <w:szCs w:val="20"/>
                <w:color w:val="auto"/>
              </w:rPr>
            </w:pPr>
            <w:r>
              <w:rPr>
                <w:rFonts w:ascii="Arial" w:cs="Arial" w:eastAsia="Arial" w:hAnsi="Arial"/>
                <w:sz w:val="18"/>
                <w:szCs w:val="18"/>
                <w:color w:val="auto"/>
              </w:rPr>
              <w:t>incorporation or organization)</w:t>
            </w:r>
          </w:p>
        </w:tc>
        <w:tc>
          <w:tcPr>
            <w:tcW w:w="3260" w:type="dxa"/>
            <w:vAlign w:val="bottom"/>
            <w:vMerge w:val="restart"/>
          </w:tcPr>
          <w:p>
            <w:pPr>
              <w:jc w:val="center"/>
              <w:ind w:left="150"/>
              <w:spacing w:after="0"/>
              <w:rPr>
                <w:sz w:val="20"/>
                <w:szCs w:val="20"/>
                <w:color w:val="auto"/>
              </w:rPr>
            </w:pPr>
            <w:r>
              <w:rPr>
                <w:rFonts w:ascii="Arial" w:cs="Arial" w:eastAsia="Arial" w:hAnsi="Arial"/>
                <w:sz w:val="18"/>
                <w:szCs w:val="18"/>
                <w:color w:val="auto"/>
                <w:w w:val="92"/>
              </w:rPr>
              <w:t>Classification Code Number</w:t>
            </w:r>
          </w:p>
        </w:tc>
        <w:tc>
          <w:tcPr>
            <w:tcW w:w="1820" w:type="dxa"/>
            <w:vAlign w:val="bottom"/>
          </w:tcPr>
          <w:p>
            <w:pPr>
              <w:jc w:val="center"/>
              <w:ind w:left="402"/>
              <w:spacing w:after="0"/>
              <w:rPr>
                <w:sz w:val="20"/>
                <w:szCs w:val="20"/>
                <w:color w:val="auto"/>
              </w:rPr>
            </w:pPr>
            <w:r>
              <w:rPr>
                <w:rFonts w:ascii="Arial" w:cs="Arial" w:eastAsia="Arial" w:hAnsi="Arial"/>
                <w:sz w:val="14"/>
                <w:szCs w:val="14"/>
                <w:color w:val="auto"/>
                <w:w w:val="97"/>
              </w:rPr>
              <w:t>Identification Number)</w:t>
            </w:r>
          </w:p>
        </w:tc>
        <w:tc>
          <w:tcPr>
            <w:tcW w:w="0" w:type="dxa"/>
            <w:vAlign w:val="bottom"/>
          </w:tcPr>
          <w:p>
            <w:pPr>
              <w:spacing w:after="0"/>
              <w:rPr>
                <w:sz w:val="1"/>
                <w:szCs w:val="1"/>
                <w:color w:val="auto"/>
              </w:rPr>
            </w:pPr>
          </w:p>
        </w:tc>
      </w:tr>
      <w:tr>
        <w:trPr>
          <w:trHeight w:val="88"/>
        </w:trPr>
        <w:tc>
          <w:tcPr>
            <w:tcW w:w="288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14111 Scottslawn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 644-0011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of registrant’s principal executive offices)</w:t>
      </w:r>
    </w:p>
    <w:p>
      <w:pPr>
        <w:spacing w:after="0" w:line="3"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Ivan C. Smith, Esq.</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Copy to:</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Adam L. Miller, Esq.</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Secretary and Chief Compliance Officer</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Vorys, Sater, Seymour and Pease LLP</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The Scotts Miracle-Gro Company</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52 E Gay Street</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7"/>
              </w:rPr>
              <w:t>14111 Scottslawn Road</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Columbus, Ohio 43216</w:t>
            </w:r>
          </w:p>
        </w:tc>
      </w:tr>
      <w:tr>
        <w:trPr>
          <w:trHeight w:val="216"/>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Marysville, Ohio 43041</w:t>
            </w:r>
          </w:p>
        </w:tc>
        <w:tc>
          <w:tcPr>
            <w:tcW w:w="39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(614) 464-6400</w:t>
            </w:r>
          </w:p>
        </w:tc>
      </w:tr>
      <w:tr>
        <w:trPr>
          <w:trHeight w:val="234"/>
        </w:trPr>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0"/>
              </w:rPr>
              <w:t>(937) 644-0011</w:t>
            </w:r>
          </w:p>
        </w:tc>
        <w:tc>
          <w:tcPr>
            <w:tcW w:w="3920" w:type="dxa"/>
            <w:vAlign w:val="bottom"/>
          </w:tcPr>
          <w:p>
            <w:pPr>
              <w:spacing w:after="0"/>
              <w:rPr>
                <w:sz w:val="20"/>
                <w:szCs w:val="20"/>
                <w:color w:val="auto"/>
              </w:rPr>
            </w:pPr>
          </w:p>
        </w:tc>
      </w:tr>
      <w:tr>
        <w:trPr>
          <w:trHeight w:val="206"/>
        </w:trPr>
        <w:tc>
          <w:tcPr>
            <w:tcW w:w="5920" w:type="dxa"/>
            <w:vAlign w:val="bottom"/>
          </w:tcPr>
          <w:p>
            <w:pPr>
              <w:spacing w:after="0"/>
              <w:rPr>
                <w:sz w:val="20"/>
                <w:szCs w:val="20"/>
                <w:color w:val="auto"/>
              </w:rPr>
            </w:pPr>
            <w:r>
              <w:rPr>
                <w:rFonts w:ascii="Arial" w:cs="Arial" w:eastAsia="Arial" w:hAnsi="Arial"/>
                <w:sz w:val="16"/>
                <w:szCs w:val="16"/>
                <w:color w:val="auto"/>
              </w:rPr>
              <w:t>(Name, address, including zip code, and telephone number,</w:t>
            </w:r>
          </w:p>
        </w:tc>
        <w:tc>
          <w:tcPr>
            <w:tcW w:w="3920" w:type="dxa"/>
            <w:vAlign w:val="bottom"/>
          </w:tcPr>
          <w:p>
            <w:pPr>
              <w:spacing w:after="0"/>
              <w:rPr>
                <w:sz w:val="17"/>
                <w:szCs w:val="17"/>
                <w:color w:val="auto"/>
              </w:rPr>
            </w:pPr>
          </w:p>
        </w:tc>
      </w:tr>
      <w:tr>
        <w:trPr>
          <w:trHeight w:val="203"/>
        </w:trPr>
        <w:tc>
          <w:tcPr>
            <w:tcW w:w="5920" w:type="dxa"/>
            <w:vAlign w:val="bottom"/>
          </w:tcPr>
          <w:p>
            <w:pPr>
              <w:ind w:left="660"/>
              <w:spacing w:after="0"/>
              <w:rPr>
                <w:sz w:val="20"/>
                <w:szCs w:val="20"/>
                <w:color w:val="auto"/>
              </w:rPr>
            </w:pPr>
            <w:r>
              <w:rPr>
                <w:rFonts w:ascii="Arial" w:cs="Arial" w:eastAsia="Arial" w:hAnsi="Arial"/>
                <w:sz w:val="16"/>
                <w:szCs w:val="16"/>
                <w:color w:val="auto"/>
              </w:rPr>
              <w:t>including area code, of agent for service)</w:t>
            </w:r>
          </w:p>
        </w:tc>
        <w:tc>
          <w:tcPr>
            <w:tcW w:w="3920" w:type="dxa"/>
            <w:vAlign w:val="bottom"/>
          </w:tcPr>
          <w:p>
            <w:pPr>
              <w:spacing w:after="0"/>
              <w:rPr>
                <w:sz w:val="17"/>
                <w:szCs w:val="17"/>
                <w:color w:val="auto"/>
              </w:rPr>
            </w:pPr>
          </w:p>
        </w:tc>
      </w:tr>
    </w:tbl>
    <w:p>
      <w:pPr>
        <w:ind w:left="4340"/>
        <w:spacing w:after="0"/>
        <w:rPr>
          <w:sz w:val="20"/>
          <w:szCs w:val="20"/>
          <w:color w:val="auto"/>
        </w:rPr>
      </w:pPr>
      <w:r>
        <w:rPr>
          <w:rFonts w:ascii="Arial" w:cs="Arial" w:eastAsia="Arial" w:hAnsi="Arial"/>
          <w:sz w:val="16"/>
          <w:szCs w:val="16"/>
          <w:color w:val="auto"/>
        </w:rPr>
        <w:t>__________________________________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As soon as practicable after this registration statement becomes effective.</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w:t>
      </w:r>
    </w:p>
    <w:p>
      <w:pPr>
        <w:spacing w:after="0" w:line="6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38" w:lineRule="exact"/>
        <w:rPr>
          <w:sz w:val="24"/>
          <w:szCs w:val="24"/>
          <w:color w:val="auto"/>
        </w:rPr>
      </w:pPr>
    </w:p>
    <w:p>
      <w:pPr>
        <w:ind w:left="660"/>
        <w:spacing w:after="0" w:line="264" w:lineRule="auto"/>
        <w:rPr>
          <w:sz w:val="20"/>
          <w:szCs w:val="20"/>
          <w:color w:val="auto"/>
        </w:rPr>
      </w:pPr>
      <w:r>
        <w:rPr>
          <w:rFonts w:ascii="Arial" w:cs="Arial" w:eastAsia="Arial" w:hAnsi="Arial"/>
          <w:sz w:val="18"/>
          <w:szCs w:val="18"/>
          <w:color w:val="auto"/>
        </w:rPr>
        <w:t>Large accelerated filer S Accelerated filer £ Non-accelerated filer £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86" w:lineRule="exact"/>
        <w:rPr>
          <w:sz w:val="24"/>
          <w:szCs w:val="24"/>
          <w:color w:val="auto"/>
        </w:rPr>
      </w:pPr>
    </w:p>
    <w:p>
      <w:pPr>
        <w:sectPr>
          <w:pgSz w:w="11900" w:h="16838" w:orient="portrait"/>
          <w:cols w:equalWidth="0" w:num="2">
            <w:col w:w="4960" w:space="180"/>
            <w:col w:w="62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Exchange Act Rule 13e-4(i) (Cross-Border Issuer Tender Offer) £</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Exchange Act Rule 14d-1(d) (Cross-Border Third-Party Tender Offer) £</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Borders>
              <w:right w:val="single" w:sz="8" w:color="auto"/>
            </w:tcBorders>
          </w:tcPr>
          <w:p>
            <w:pPr>
              <w:spacing w:after="0"/>
              <w:rPr>
                <w:sz w:val="19"/>
                <w:szCs w:val="19"/>
                <w:color w:val="auto"/>
              </w:rPr>
            </w:pPr>
          </w:p>
        </w:tc>
        <w:tc>
          <w:tcPr>
            <w:tcW w:w="3360" w:type="dxa"/>
            <w:vAlign w:val="bottom"/>
            <w:tcBorders>
              <w:top w:val="single" w:sz="8" w:color="auto"/>
              <w:right w:val="single" w:sz="8" w:color="auto"/>
            </w:tcBorders>
          </w:tcPr>
          <w:p>
            <w:pPr>
              <w:spacing w:after="0"/>
              <w:rPr>
                <w:sz w:val="19"/>
                <w:szCs w:val="19"/>
                <w:color w:val="auto"/>
              </w:rPr>
            </w:pPr>
          </w:p>
        </w:tc>
        <w:tc>
          <w:tcPr>
            <w:tcW w:w="164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7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maximum</w:t>
            </w: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960"/>
              <w:spacing w:after="0"/>
              <w:rPr>
                <w:sz w:val="20"/>
                <w:szCs w:val="20"/>
                <w:color w:val="auto"/>
              </w:rPr>
            </w:pPr>
            <w:r>
              <w:rPr>
                <w:rFonts w:ascii="Arial" w:cs="Arial" w:eastAsia="Arial" w:hAnsi="Arial"/>
                <w:sz w:val="16"/>
                <w:szCs w:val="16"/>
                <w:b w:val="1"/>
                <w:bCs w:val="1"/>
                <w:color w:val="auto"/>
              </w:rPr>
              <w:t>Title of each class of</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to be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 price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aggregate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of registration</w:t>
            </w:r>
          </w:p>
        </w:tc>
        <w:tc>
          <w:tcPr>
            <w:tcW w:w="0" w:type="dxa"/>
            <w:vAlign w:val="bottom"/>
          </w:tcPr>
          <w:p>
            <w:pPr>
              <w:spacing w:after="0"/>
              <w:rPr>
                <w:sz w:val="1"/>
                <w:szCs w:val="1"/>
                <w:color w:val="auto"/>
              </w:rPr>
            </w:pPr>
          </w:p>
        </w:tc>
      </w:tr>
      <w:tr>
        <w:trPr>
          <w:trHeight w:val="210"/>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780"/>
              <w:spacing w:after="0"/>
              <w:rPr>
                <w:sz w:val="20"/>
                <w:szCs w:val="20"/>
                <w:color w:val="auto"/>
              </w:rPr>
            </w:pPr>
            <w:r>
              <w:rPr>
                <w:rFonts w:ascii="Arial" w:cs="Arial" w:eastAsia="Arial" w:hAnsi="Arial"/>
                <w:sz w:val="16"/>
                <w:szCs w:val="16"/>
                <w:b w:val="1"/>
                <w:bCs w:val="1"/>
                <w:color w:val="auto"/>
              </w:rPr>
              <w:t>securities to be registered</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per unit(1)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 price(1)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The Scotts Miracle-Gro Company 5.250% Senior</w:t>
            </w:r>
          </w:p>
        </w:tc>
        <w:tc>
          <w:tcPr>
            <w:tcW w:w="1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right"/>
              <w:ind w:right="599"/>
              <w:spacing w:after="0"/>
              <w:rPr>
                <w:sz w:val="20"/>
                <w:szCs w:val="20"/>
                <w:color w:val="auto"/>
              </w:rPr>
            </w:pPr>
            <w:r>
              <w:rPr>
                <w:rFonts w:ascii="Arial" w:cs="Arial" w:eastAsia="Arial" w:hAnsi="Arial"/>
                <w:sz w:val="16"/>
                <w:szCs w:val="16"/>
                <w:color w:val="auto"/>
              </w:rPr>
              <w:t>100%</w:t>
            </w: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60" w:type="dxa"/>
            <w:vAlign w:val="bottom"/>
            <w:tcBorders>
              <w:right w:val="single" w:sz="8" w:color="auto"/>
            </w:tcBorders>
          </w:tcPr>
          <w:p>
            <w:pPr>
              <w:spacing w:after="0"/>
              <w:rPr>
                <w:sz w:val="13"/>
                <w:szCs w:val="13"/>
                <w:color w:val="auto"/>
              </w:rPr>
            </w:pPr>
          </w:p>
        </w:tc>
        <w:tc>
          <w:tcPr>
            <w:tcW w:w="3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Notes due 2026</w:t>
            </w:r>
          </w:p>
        </w:tc>
        <w:tc>
          <w:tcPr>
            <w:tcW w:w="1640" w:type="dxa"/>
            <w:vAlign w:val="bottom"/>
            <w:tcBorders>
              <w:right w:val="single" w:sz="8" w:color="auto"/>
            </w:tcBorders>
            <w:vMerge w:val="restart"/>
          </w:tcPr>
          <w:p>
            <w:pPr>
              <w:jc w:val="right"/>
              <w:ind w:right="319"/>
              <w:spacing w:after="0"/>
              <w:rPr>
                <w:sz w:val="20"/>
                <w:szCs w:val="20"/>
                <w:color w:val="auto"/>
              </w:rPr>
            </w:pPr>
            <w:r>
              <w:rPr>
                <w:rFonts w:ascii="Arial" w:cs="Arial" w:eastAsia="Arial" w:hAnsi="Arial"/>
                <w:sz w:val="16"/>
                <w:szCs w:val="16"/>
                <w:color w:val="auto"/>
              </w:rPr>
              <w:t>$250,000,000</w:t>
            </w:r>
          </w:p>
        </w:tc>
        <w:tc>
          <w:tcPr>
            <w:tcW w:w="172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restart"/>
          </w:tcPr>
          <w:p>
            <w:pPr>
              <w:jc w:val="right"/>
              <w:ind w:right="339"/>
              <w:spacing w:after="0"/>
              <w:rPr>
                <w:sz w:val="20"/>
                <w:szCs w:val="20"/>
                <w:color w:val="auto"/>
              </w:rPr>
            </w:pPr>
            <w:r>
              <w:rPr>
                <w:rFonts w:ascii="Arial" w:cs="Arial" w:eastAsia="Arial" w:hAnsi="Arial"/>
                <w:sz w:val="16"/>
                <w:szCs w:val="16"/>
                <w:color w:val="auto"/>
              </w:rPr>
              <w:t>$250,000,000</w:t>
            </w:r>
          </w:p>
        </w:tc>
        <w:tc>
          <w:tcPr>
            <w:tcW w:w="172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color w:val="auto"/>
              </w:rPr>
              <w:t>$28,975.00</w:t>
            </w:r>
          </w:p>
        </w:tc>
        <w:tc>
          <w:tcPr>
            <w:tcW w:w="0" w:type="dxa"/>
            <w:vAlign w:val="bottom"/>
          </w:tcPr>
          <w:p>
            <w:pPr>
              <w:spacing w:after="0"/>
              <w:rPr>
                <w:sz w:val="1"/>
                <w:szCs w:val="1"/>
                <w:color w:val="auto"/>
              </w:rPr>
            </w:pPr>
          </w:p>
        </w:tc>
      </w:tr>
      <w:tr>
        <w:trPr>
          <w:trHeight w:val="54"/>
        </w:trPr>
        <w:tc>
          <w:tcPr>
            <w:tcW w:w="660" w:type="dxa"/>
            <w:vAlign w:val="bottom"/>
            <w:tcBorders>
              <w:right w:val="single" w:sz="8" w:color="auto"/>
            </w:tcBorders>
          </w:tcPr>
          <w:p>
            <w:pPr>
              <w:spacing w:after="0"/>
              <w:rPr>
                <w:sz w:val="4"/>
                <w:szCs w:val="4"/>
                <w:color w:val="auto"/>
              </w:rPr>
            </w:pPr>
          </w:p>
        </w:tc>
        <w:tc>
          <w:tcPr>
            <w:tcW w:w="3360" w:type="dxa"/>
            <w:vAlign w:val="bottom"/>
            <w:tcBorders>
              <w:right w:val="single" w:sz="8" w:color="auto"/>
            </w:tcBorders>
            <w:vMerge w:val="continue"/>
          </w:tcPr>
          <w:p>
            <w:pPr>
              <w:spacing w:after="0"/>
              <w:rPr>
                <w:sz w:val="4"/>
                <w:szCs w:val="4"/>
                <w:color w:val="auto"/>
              </w:rPr>
            </w:pPr>
          </w:p>
        </w:tc>
        <w:tc>
          <w:tcPr>
            <w:tcW w:w="164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0" w:type="dxa"/>
            <w:vAlign w:val="bottom"/>
            <w:tcBorders>
              <w:right w:val="single" w:sz="8" w:color="auto"/>
            </w:tcBorders>
          </w:tcPr>
          <w:p>
            <w:pPr>
              <w:spacing w:after="0"/>
              <w:rPr>
                <w:sz w:val="18"/>
                <w:szCs w:val="18"/>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Guarantees of 5.250% Senior Notes due 2026 by</w:t>
            </w:r>
          </w:p>
        </w:tc>
        <w:tc>
          <w:tcPr>
            <w:tcW w:w="16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certain subsidiaries of The Scotts Miracle-Gro</w:t>
            </w:r>
          </w:p>
        </w:tc>
        <w:tc>
          <w:tcPr>
            <w:tcW w:w="16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Company(2)</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660" w:type="dxa"/>
            <w:vAlign w:val="bottom"/>
            <w:tcBorders>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020" w:type="dxa"/>
            <w:vAlign w:val="bottom"/>
            <w:gridSpan w:val="2"/>
          </w:tcPr>
          <w:p>
            <w:pPr>
              <w:jc w:val="right"/>
              <w:ind w:right="1979"/>
              <w:spacing w:after="0"/>
              <w:rPr>
                <w:sz w:val="20"/>
                <w:szCs w:val="20"/>
                <w:color w:val="auto"/>
              </w:rPr>
            </w:pPr>
            <w:r>
              <w:rPr>
                <w:rFonts w:ascii="Arial" w:cs="Arial" w:eastAsia="Arial" w:hAnsi="Arial"/>
                <w:sz w:val="13"/>
                <w:szCs w:val="13"/>
                <w:color w:val="auto"/>
                <w:w w:val="86"/>
              </w:rPr>
              <w:t>_______________________________</w:t>
            </w:r>
          </w:p>
        </w:tc>
        <w:tc>
          <w:tcPr>
            <w:tcW w:w="1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40" w:right="440" w:hanging="332"/>
        <w:spacing w:after="0" w:line="21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Exclusive of accrued interest, if any, and estimated solely for the purpose of calculating the amount of the registration fee in accordance with Rule 457(f) under the Securities Act of 1933, as amended.</w:t>
      </w:r>
    </w:p>
    <w:p>
      <w:pPr>
        <w:spacing w:after="0" w:line="91" w:lineRule="exact"/>
        <w:rPr>
          <w:rFonts w:ascii="Arial" w:cs="Arial" w:eastAsia="Arial" w:hAnsi="Arial"/>
          <w:sz w:val="22"/>
          <w:szCs w:val="22"/>
          <w:color w:val="auto"/>
          <w:vertAlign w:val="superscript"/>
        </w:rPr>
      </w:pPr>
    </w:p>
    <w:p>
      <w:pPr>
        <w:ind w:left="340" w:right="320" w:hanging="332"/>
        <w:spacing w:after="0" w:line="239" w:lineRule="auto"/>
        <w:tabs>
          <w:tab w:leader="none" w:pos="340" w:val="left"/>
        </w:tabs>
        <w:numPr>
          <w:ilvl w:val="0"/>
          <w:numId w:val="1"/>
        </w:numPr>
        <w:rPr>
          <w:rFonts w:ascii="Arial" w:cs="Arial" w:eastAsia="Arial" w:hAnsi="Arial"/>
          <w:sz w:val="21"/>
          <w:szCs w:val="21"/>
          <w:color w:val="auto"/>
          <w:vertAlign w:val="superscript"/>
        </w:rPr>
      </w:pPr>
      <w:r>
        <w:rPr>
          <w:rFonts w:ascii="Arial" w:cs="Arial" w:eastAsia="Arial" w:hAnsi="Arial"/>
          <w:sz w:val="15"/>
          <w:szCs w:val="15"/>
          <w:color w:val="auto"/>
        </w:rPr>
        <w:t>The guarantees are the full and unconditional guarantee of The Scotts Miracle-Gro Company’s obligations under the 5.250% Senior Notes due 2026 by its direct and indirect wholly-owned subsidiaries listed on the following page under the caption “Table of Co-Registrants.” No separate consideration will be received for the guarantees. No additional registration fee is payable with respect to the guarantees pursuant to Rule 457(n) under the Securities Act of 1933, as amended.</w:t>
      </w:r>
    </w:p>
    <w:p>
      <w:pPr>
        <w:spacing w:after="0" w:line="38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74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CO-REGISTRANTS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5.250% Senior Notes due 2026 and are co-registrants under this registration statement.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State or Other Jurisdiction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Exact Name of Additional Registrant as</w:t>
            </w:r>
          </w:p>
        </w:tc>
        <w:tc>
          <w:tcPr>
            <w:tcW w:w="42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3"/>
              </w:rPr>
              <w:t>of Incorporation or</w:t>
            </w:r>
          </w:p>
        </w:tc>
        <w:tc>
          <w:tcPr>
            <w:tcW w:w="26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3"/>
              </w:rPr>
              <w:t>I.R.S. Employer</w:t>
            </w:r>
          </w:p>
        </w:tc>
      </w:tr>
      <w:tr>
        <w:trPr>
          <w:trHeight w:val="194"/>
        </w:trPr>
        <w:tc>
          <w:tcPr>
            <w:tcW w:w="1460" w:type="dxa"/>
            <w:vAlign w:val="bottom"/>
          </w:tcPr>
          <w:p>
            <w:pPr>
              <w:spacing w:after="0"/>
              <w:rPr>
                <w:sz w:val="16"/>
                <w:szCs w:val="16"/>
                <w:color w:val="auto"/>
              </w:rPr>
            </w:pPr>
          </w:p>
        </w:tc>
        <w:tc>
          <w:tcPr>
            <w:tcW w:w="3080" w:type="dxa"/>
            <w:vAlign w:val="bottom"/>
            <w:gridSpan w:val="2"/>
          </w:tcPr>
          <w:p>
            <w:pPr>
              <w:jc w:val="center"/>
              <w:ind w:right="1300"/>
              <w:spacing w:after="0" w:line="194" w:lineRule="exact"/>
              <w:rPr>
                <w:sz w:val="20"/>
                <w:szCs w:val="20"/>
                <w:color w:val="auto"/>
              </w:rPr>
            </w:pPr>
            <w:r>
              <w:rPr>
                <w:rFonts w:ascii="Arial" w:cs="Arial" w:eastAsia="Arial" w:hAnsi="Arial"/>
                <w:sz w:val="18"/>
                <w:szCs w:val="18"/>
                <w:b w:val="1"/>
                <w:bCs w:val="1"/>
                <w:color w:val="auto"/>
                <w:w w:val="90"/>
              </w:rPr>
              <w:t>Specified in its Charter</w:t>
            </w:r>
          </w:p>
        </w:tc>
        <w:tc>
          <w:tcPr>
            <w:tcW w:w="1180" w:type="dxa"/>
            <w:vAlign w:val="bottom"/>
          </w:tcPr>
          <w:p>
            <w:pPr>
              <w:spacing w:after="0"/>
              <w:rPr>
                <w:sz w:val="16"/>
                <w:szCs w:val="16"/>
                <w:color w:val="auto"/>
              </w:rPr>
            </w:pPr>
          </w:p>
        </w:tc>
        <w:tc>
          <w:tcPr>
            <w:tcW w:w="3020" w:type="dxa"/>
            <w:vAlign w:val="bottom"/>
            <w:gridSpan w:val="2"/>
          </w:tcPr>
          <w:p>
            <w:pPr>
              <w:jc w:val="center"/>
              <w:ind w:right="2000"/>
              <w:spacing w:after="0" w:line="194" w:lineRule="exact"/>
              <w:rPr>
                <w:sz w:val="20"/>
                <w:szCs w:val="20"/>
                <w:color w:val="auto"/>
              </w:rPr>
            </w:pPr>
            <w:r>
              <w:rPr>
                <w:rFonts w:ascii="Arial" w:cs="Arial" w:eastAsia="Arial" w:hAnsi="Arial"/>
                <w:sz w:val="18"/>
                <w:szCs w:val="18"/>
                <w:b w:val="1"/>
                <w:bCs w:val="1"/>
                <w:color w:val="auto"/>
                <w:w w:val="92"/>
              </w:rPr>
              <w:t>Organization</w:t>
            </w:r>
          </w:p>
        </w:tc>
        <w:tc>
          <w:tcPr>
            <w:tcW w:w="2680" w:type="dxa"/>
            <w:vAlign w:val="bottom"/>
            <w:gridSpan w:val="2"/>
          </w:tcPr>
          <w:p>
            <w:pPr>
              <w:jc w:val="center"/>
              <w:ind w:right="960"/>
              <w:spacing w:after="0" w:line="194" w:lineRule="exact"/>
              <w:rPr>
                <w:sz w:val="20"/>
                <w:szCs w:val="20"/>
                <w:color w:val="auto"/>
              </w:rPr>
            </w:pPr>
            <w:r>
              <w:rPr>
                <w:rFonts w:ascii="Arial" w:cs="Arial" w:eastAsia="Arial" w:hAnsi="Arial"/>
                <w:sz w:val="18"/>
                <w:szCs w:val="18"/>
                <w:b w:val="1"/>
                <w:bCs w:val="1"/>
                <w:color w:val="auto"/>
                <w:w w:val="92"/>
              </w:rPr>
              <w:t>Identification Number</w:t>
            </w:r>
          </w:p>
        </w:tc>
      </w:tr>
      <w:tr>
        <w:trPr>
          <w:trHeight w:val="264"/>
        </w:trPr>
        <w:tc>
          <w:tcPr>
            <w:tcW w:w="1460" w:type="dxa"/>
            <w:vAlign w:val="bottom"/>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GenSource, Inc.(1)</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47-3691890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Gutwein &amp; Co., Inc.(2)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1"/>
              </w:rPr>
              <w:t>Indiana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35-0864689</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Hawthorne Hydroponics LLC(3)</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46-5720038</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HGCI, Inc.(4)</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86"/>
              </w:rPr>
              <w:t>Nevada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47-3426969</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Hyponex Corporation(2)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31-1254519</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Miracle-Gro Lawn Products, Inc.(2)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4"/>
              </w:rPr>
              <w:t>New York</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11-3186421</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OMS Investments, Inc.(5)</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51-0357374</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Rod McLellan Company(2)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7"/>
              </w:rPr>
              <w:t>California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94-1439564</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Sanford Scientific, Inc.(2)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4"/>
              </w:rPr>
              <w:t>New York</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16-1279959</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Scotts Manufacturing Company(2)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42-1508875</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 Products Co.(2)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31-1269080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Scotts Professional Products Co.(2)</w:t>
            </w:r>
          </w:p>
        </w:tc>
        <w:tc>
          <w:tcPr>
            <w:tcW w:w="11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31-1269066</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Scotts-Sierra Investments LLC(2)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51-0371209</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Scotts Temecula Operations, LLC(2)</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33-0978312</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SLS Holdings, Inc.(2)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81-2077880</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SMG Growing Media, Inc.(2)</w:t>
            </w:r>
          </w:p>
        </w:tc>
        <w:tc>
          <w:tcPr>
            <w:tcW w:w="11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20-3544126</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SMGM LLC(2)</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31-1414921</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Swiss Farms Products, Inc.(4)</w:t>
            </w:r>
          </w:p>
        </w:tc>
        <w:tc>
          <w:tcPr>
            <w:tcW w:w="1180" w:type="dxa"/>
            <w:vAlign w:val="bottom"/>
          </w:tcPr>
          <w:p>
            <w:pPr>
              <w:spacing w:after="0"/>
              <w:rPr>
                <w:sz w:val="21"/>
                <w:szCs w:val="21"/>
                <w:color w:val="auto"/>
              </w:rPr>
            </w:pPr>
          </w:p>
        </w:tc>
        <w:tc>
          <w:tcPr>
            <w:tcW w:w="3020" w:type="dxa"/>
            <w:vAlign w:val="bottom"/>
            <w:gridSpan w:val="2"/>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88-0407223</w:t>
            </w:r>
          </w:p>
        </w:tc>
        <w:tc>
          <w:tcPr>
            <w:tcW w:w="960" w:type="dxa"/>
            <w:vAlign w:val="bottom"/>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 Hawthorne Gardening Company(3)</w:t>
            </w:r>
          </w:p>
        </w:tc>
        <w:tc>
          <w:tcPr>
            <w:tcW w:w="1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8"/>
                <w:szCs w:val="18"/>
                <w:color w:val="auto"/>
                <w:w w:val="92"/>
              </w:rPr>
              <w:t>Delaware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46-5720038</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The Scotts Company LLC(2)</w:t>
            </w:r>
          </w:p>
        </w:tc>
        <w:tc>
          <w:tcPr>
            <w:tcW w:w="1180" w:type="dxa"/>
            <w:vAlign w:val="bottom"/>
          </w:tcPr>
          <w:p>
            <w:pPr>
              <w:spacing w:after="0"/>
              <w:rPr>
                <w:sz w:val="21"/>
                <w:szCs w:val="21"/>
                <w:color w:val="auto"/>
              </w:rPr>
            </w:pPr>
          </w:p>
        </w:tc>
        <w:tc>
          <w:tcPr>
            <w:tcW w:w="3020" w:type="dxa"/>
            <w:vAlign w:val="bottom"/>
            <w:gridSpan w:val="2"/>
          </w:tcPr>
          <w:p>
            <w:pPr>
              <w:jc w:val="center"/>
              <w:ind w:right="1980"/>
              <w:spacing w:after="0"/>
              <w:rPr>
                <w:sz w:val="20"/>
                <w:szCs w:val="20"/>
                <w:color w:val="auto"/>
              </w:rPr>
            </w:pPr>
            <w:r>
              <w:rPr>
                <w:rFonts w:ascii="Arial" w:cs="Arial" w:eastAsia="Arial" w:hAnsi="Arial"/>
                <w:sz w:val="18"/>
                <w:szCs w:val="18"/>
                <w:color w:val="auto"/>
                <w:w w:val="94"/>
              </w:rPr>
              <w:t>Ohio</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31-1414921</w:t>
            </w:r>
          </w:p>
        </w:tc>
        <w:tc>
          <w:tcPr>
            <w:tcW w:w="960" w:type="dxa"/>
            <w:vAlign w:val="bottom"/>
          </w:tcPr>
          <w:p>
            <w:pPr>
              <w:spacing w:after="0"/>
              <w:rPr>
                <w:sz w:val="21"/>
                <w:szCs w:val="21"/>
                <w:color w:val="auto"/>
              </w:rPr>
            </w:pPr>
          </w:p>
        </w:tc>
      </w:tr>
      <w:tr>
        <w:trPr>
          <w:trHeight w:val="351"/>
        </w:trPr>
        <w:tc>
          <w:tcPr>
            <w:tcW w:w="3240" w:type="dxa"/>
            <w:vAlign w:val="bottom"/>
            <w:gridSpan w:val="2"/>
          </w:tcPr>
          <w:p>
            <w:pPr>
              <w:spacing w:after="0"/>
              <w:rPr>
                <w:sz w:val="20"/>
                <w:szCs w:val="20"/>
                <w:color w:val="auto"/>
              </w:rPr>
            </w:pPr>
            <w:r>
              <w:rPr>
                <w:rFonts w:ascii="Arial" w:cs="Arial" w:eastAsia="Arial" w:hAnsi="Arial"/>
                <w:sz w:val="18"/>
                <w:szCs w:val="18"/>
                <w:color w:val="auto"/>
              </w:rPr>
              <w:t>________________________</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128"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spacing w:after="0" w:line="62"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pacing w:after="0" w:line="62"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ectPr>
          <w:pgSz w:w="11900" w:h="16838" w:orient="portrait"/>
          <w:cols w:equalWidth="0" w:num="1">
            <w:col w:w="11420"/>
          </w:cols>
          <w:pgMar w:left="240" w:top="364" w:right="239" w:bottom="1440" w:gutter="0" w:footer="0" w:header="0"/>
        </w:sectPr>
      </w:pPr>
    </w:p>
    <w:bookmarkStart w:id="3" w:name="page4"/>
    <w:bookmarkEnd w:id="3"/>
    <w:p>
      <w:pPr>
        <w:jc w:val="both"/>
        <w:ind w:right="160"/>
        <w:spacing w:after="0" w:line="266" w:lineRule="auto"/>
        <w:rPr>
          <w:sz w:val="20"/>
          <w:szCs w:val="20"/>
          <w:color w:val="auto"/>
        </w:rPr>
      </w:pPr>
      <w:r>
        <w:rPr>
          <w:rFonts w:ascii="Arial" w:cs="Arial" w:eastAsia="Arial" w:hAnsi="Arial"/>
          <w:sz w:val="18"/>
          <w:szCs w:val="18"/>
          <w:b w:val="1"/>
          <w:bCs w:val="1"/>
          <w:color w:val="CC062A"/>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w:t>
      </w:r>
      <w:r>
        <w:rPr>
          <w:rFonts w:ascii="Arial" w:cs="Arial" w:eastAsia="Arial" w:hAnsi="Arial"/>
          <w:sz w:val="18"/>
          <w:szCs w:val="18"/>
          <w:b w:val="1"/>
          <w:bCs w:val="1"/>
          <w:color w:val="DE1A1E"/>
        </w:rPr>
        <w:t>or a solicitation of an offer to buy these</w:t>
      </w:r>
      <w:r>
        <w:rPr>
          <w:rFonts w:ascii="Arial" w:cs="Arial" w:eastAsia="Arial" w:hAnsi="Arial"/>
          <w:sz w:val="18"/>
          <w:szCs w:val="18"/>
          <w:b w:val="1"/>
          <w:bCs w:val="1"/>
          <w:color w:val="CC062A"/>
        </w:rPr>
        <w:t xml:space="preserve"> </w:t>
      </w:r>
      <w:r>
        <w:rPr>
          <w:rFonts w:ascii="Arial" w:cs="Arial" w:eastAsia="Arial" w:hAnsi="Arial"/>
          <w:sz w:val="18"/>
          <w:szCs w:val="18"/>
          <w:b w:val="1"/>
          <w:bCs w:val="1"/>
          <w:color w:val="DE1A1E"/>
        </w:rPr>
        <w:t>securities in any jurisdiction where the offer or sale is not permitted</w:t>
      </w:r>
      <w:r>
        <w:rPr>
          <w:rFonts w:ascii="Arial" w:cs="Arial" w:eastAsia="Arial" w:hAnsi="Arial"/>
          <w:sz w:val="18"/>
          <w:szCs w:val="18"/>
          <w:b w:val="1"/>
          <w:bCs w:val="1"/>
          <w:color w:val="CC062A"/>
        </w:rPr>
        <w: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CC062A"/>
        </w:rPr>
        <w:t>SUBJECT TO COMPLETION, DATED FEBRUARY 28, 2017</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20320</wp:posOffset>
            </wp:positionV>
            <wp:extent cx="277876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$250,000,000</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The Scotts Miracle-Gro Company</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Offer to exchange</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up to $250 million aggregate principal amount of outstanding unregistered 5.250% Senior Notes due 2026</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for</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 equal principal amount of 5.250% Senior Notes due 2026 which have been registered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under the Securities Act of 1933, as amended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6"/>
          <w:szCs w:val="16"/>
          <w:color w:val="auto"/>
        </w:rPr>
        <w:t>The Scotts Miracle-Gro Company hereby offers, upon the terms and subject to the conditions set forth in this prospectus, to exchange any and all of its outstanding unregistered 5.250% Senior Notes due 2026 (the “original notes”) for an equal principal amount of its registered 5.250% Senior Notes due 2026 (the “exchange notes”). The terms of the exchange notes are substantially identical to the terms of the original notes, except that the exchange notes will not be subject to the transfer restrictions, registration rights and additional interest provisions applicable to the original notes. We are offering the exchange notes pursuant to a registration rights agreement that we entered into in connection with the issuance of the original notes. The exchange notes will be fully and unconditionally guaranteed on a senior unsecured basis by all of our subsidiaries that have guaranteed the original notes.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Terms of the Exchange Offer:</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will expire at 11:59 p.m., New York City time, on , 2017, unless extended (the “expiration time”).</w:t>
      </w:r>
    </w:p>
    <w:p>
      <w:pPr>
        <w:spacing w:after="0" w:line="5" w:lineRule="exact"/>
        <w:rPr>
          <w:rFonts w:ascii="Arial" w:cs="Arial" w:eastAsia="Arial" w:hAnsi="Arial"/>
          <w:sz w:val="16"/>
          <w:szCs w:val="16"/>
          <w:color w:val="auto"/>
        </w:rPr>
      </w:pPr>
    </w:p>
    <w:p>
      <w:pPr>
        <w:ind w:left="660" w:right="40" w:hanging="328"/>
        <w:spacing w:after="0" w:line="24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consummation of the exchange offer, all original notes that are validly tendered and not validly withdrawn will be exchanged for an equal principal amount of the exchange notes that have been registered under the Securities Act of 1933, as amended (the “Securities Act”).</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You may withdraw tenders of original notes at any time prior to the expiration time.</w:t>
      </w:r>
    </w:p>
    <w:p>
      <w:pPr>
        <w:spacing w:after="0" w:line="6" w:lineRule="exact"/>
        <w:rPr>
          <w:rFonts w:ascii="Arial" w:cs="Arial" w:eastAsia="Arial" w:hAnsi="Arial"/>
          <w:sz w:val="18"/>
          <w:szCs w:val="18"/>
          <w:color w:val="auto"/>
        </w:rPr>
      </w:pPr>
    </w:p>
    <w:p>
      <w:pPr>
        <w:ind w:left="660" w:right="60" w:hanging="328"/>
        <w:spacing w:after="0" w:line="24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is subject to certain customary conditions described in this prospectus, but is not conditioned upon the tender of any minimum principal amount of original notes.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your original notes for exchange notes will not be a taxable event for U.S. federal income tax purposes.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 and we will pay all expenses of the exchange offer.</w:t>
      </w:r>
    </w:p>
    <w:p>
      <w:pPr>
        <w:spacing w:after="0" w:line="5" w:lineRule="exact"/>
        <w:rPr>
          <w:rFonts w:ascii="Arial" w:cs="Arial" w:eastAsia="Arial" w:hAnsi="Arial"/>
          <w:sz w:val="16"/>
          <w:szCs w:val="16"/>
          <w:color w:val="auto"/>
        </w:rPr>
      </w:pPr>
    </w:p>
    <w:p>
      <w:pPr>
        <w:ind w:left="660" w:right="540" w:hanging="328"/>
        <w:spacing w:after="0" w:line="24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will be a new issue of securities for which no public market currently exists. We do not intend to list the exchange notes on any national securities exchange or seek their quotation on any automated quotation system.</w:t>
      </w:r>
    </w:p>
    <w:p>
      <w:pPr>
        <w:spacing w:after="0" w:line="1"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See “The Exchange Offer” beginning on page 31 of this prospectus for information on how to exchange your original notes for exchange notes.</w:t>
      </w:r>
    </w:p>
    <w:p>
      <w:pPr>
        <w:spacing w:after="0" w:line="6" w:lineRule="exact"/>
        <w:rPr>
          <w:rFonts w:ascii="Arial" w:cs="Arial" w:eastAsia="Arial" w:hAnsi="Arial"/>
          <w:sz w:val="18"/>
          <w:szCs w:val="18"/>
          <w:color w:val="auto"/>
        </w:rPr>
      </w:pPr>
    </w:p>
    <w:p>
      <w:pPr>
        <w:ind w:left="660" w:hanging="328"/>
        <w:spacing w:after="0" w:line="28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broker-dealer that receives exchange notes for its own account in the exchange offer must acknowledge that it will deliver a prospectus in connection with any resale of such exchange notes. The accompanying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exchange notes were acquired by such broker-dealer as a result of market-making activities or other trading activities. We have agreed that, for the one-year period following the consummation of the exchange offer, we will make this prospectus available to any broker-dealer for use in connection with any such resale. See “Plan of Distribution.”</w:t>
      </w:r>
    </w:p>
    <w:p>
      <w:pPr>
        <w:spacing w:after="0" w:line="3"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252" w:lineRule="exact"/>
        <w:rPr>
          <w:sz w:val="20"/>
          <w:szCs w:val="20"/>
          <w:color w:val="auto"/>
        </w:rPr>
      </w:pPr>
    </w:p>
    <w:p>
      <w:pPr>
        <w:ind w:right="360" w:firstLine="432"/>
        <w:spacing w:after="0" w:line="281" w:lineRule="auto"/>
        <w:rPr>
          <w:sz w:val="20"/>
          <w:szCs w:val="20"/>
          <w:color w:val="auto"/>
        </w:rPr>
      </w:pPr>
      <w:r>
        <w:rPr>
          <w:rFonts w:ascii="Arial" w:cs="Arial" w:eastAsia="Arial" w:hAnsi="Arial"/>
          <w:sz w:val="16"/>
          <w:szCs w:val="16"/>
          <w:b w:val="1"/>
          <w:bCs w:val="1"/>
          <w:color w:val="auto"/>
        </w:rPr>
        <w:t>See “Risk Factors” beginning on page 8 of this prospectus for a description of risks that you should consider in determining whether to participate in the exchange offer.</w:t>
      </w:r>
    </w:p>
    <w:p>
      <w:pPr>
        <w:spacing w:after="0" w:line="136" w:lineRule="exact"/>
        <w:rPr>
          <w:sz w:val="20"/>
          <w:szCs w:val="20"/>
          <w:color w:val="auto"/>
        </w:rPr>
      </w:pPr>
    </w:p>
    <w:p>
      <w:pPr>
        <w:ind w:right="160" w:firstLine="405"/>
        <w:spacing w:after="0" w:line="260"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the accuracy of this prospectus. Any representation to the contrary is a criminal offense.</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date of this prospectus is , 2017</w:t>
      </w:r>
    </w:p>
    <w:p>
      <w:pPr>
        <w:sectPr>
          <w:pgSz w:w="11900" w:h="16838" w:orient="portrait"/>
          <w:cols w:equalWidth="0" w:num="1">
            <w:col w:w="11340"/>
          </w:cols>
          <w:pgMar w:left="240" w:top="364" w:right="319" w:bottom="1440" w:gutter="0" w:footer="0" w:header="0"/>
        </w:sectPr>
      </w:pPr>
    </w:p>
    <w:bookmarkStart w:id="4" w:name="page5"/>
    <w:bookmarkEnd w:id="4"/>
    <w:p>
      <w:pPr>
        <w:ind w:right="40" w:firstLine="432"/>
        <w:spacing w:after="0" w:line="269"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We have not authorized anyone to provide you with different information or represent anything about us, our financial results or this offering that is not contained or incorporated by reference in this prospectus. We are not making an offer to sell these securities or soliciting an offer to buy these securities in any state or other jurisdiction where the offer or solicitation is not permitted. You should not assume that the information contained or incorporated by reference in this prospectus is accurate on any date subsequent to the date set forth on the front of this prospectus or the date of incorporation by reference, even though this prospectus may be delivered or securities may be sold on a later date.</w:t>
      </w: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0" w:type="dxa"/>
            <w:vAlign w:val="bottom"/>
            <w:gridSpan w:val="7"/>
          </w:tcPr>
          <w:p>
            <w:pPr>
              <w:ind w:left="260"/>
              <w:spacing w:after="0"/>
              <w:rPr>
                <w:sz w:val="20"/>
                <w:szCs w:val="20"/>
                <w:color w:val="auto"/>
              </w:rPr>
            </w:pPr>
            <w:r>
              <w:rPr>
                <w:rFonts w:ascii="Arial" w:cs="Arial" w:eastAsia="Arial" w:hAnsi="Arial"/>
                <w:sz w:val="13"/>
                <w:szCs w:val="13"/>
                <w:b w:val="1"/>
                <w:bCs w:val="1"/>
                <w:color w:val="auto"/>
              </w:rPr>
              <w:t>Page</w:t>
            </w:r>
          </w:p>
        </w:tc>
      </w:tr>
      <w:tr>
        <w:trPr>
          <w:trHeight w:val="124"/>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196"/>
        </w:trPr>
        <w:tc>
          <w:tcPr>
            <w:tcW w:w="416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gridSpan w:val="6"/>
          </w:tcPr>
          <w:p>
            <w:pPr>
              <w:ind w:lef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w:t>
              </w:r>
            </w:hyperlink>
          </w:p>
        </w:tc>
      </w:tr>
      <w:tr>
        <w:trPr>
          <w:trHeight w:val="250"/>
        </w:trPr>
        <w:tc>
          <w:tcPr>
            <w:tcW w:w="212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2040" w:type="dxa"/>
            <w:vAlign w:val="bottom"/>
            <w:gridSpan w:val="7"/>
          </w:tcPr>
          <w:p>
            <w:pPr>
              <w:spacing w:after="0"/>
              <w:rPr>
                <w:sz w:val="21"/>
                <w:szCs w:val="21"/>
                <w:color w:val="auto"/>
              </w:rPr>
            </w:pPr>
          </w:p>
        </w:tc>
        <w:tc>
          <w:tcPr>
            <w:tcW w:w="6760" w:type="dxa"/>
            <w:vAlign w:val="bottom"/>
            <w:gridSpan w:val="3"/>
          </w:tcPr>
          <w:p>
            <w:pPr>
              <w:spacing w:after="0"/>
              <w:rPr>
                <w:sz w:val="21"/>
                <w:szCs w:val="21"/>
                <w:color w:val="auto"/>
              </w:rPr>
            </w:pPr>
          </w:p>
        </w:tc>
        <w:tc>
          <w:tcPr>
            <w:tcW w:w="120" w:type="dxa"/>
            <w:vAlign w:val="bottom"/>
            <w:tcBorders>
              <w:top w:val="single" w:sz="8" w:color="0000EE"/>
            </w:tcBorders>
            <w:gridSpan w:val="3"/>
          </w:tcPr>
          <w:p>
            <w:pPr>
              <w:jc w:val="center"/>
              <w:ind w:right="2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1</w:t>
              </w:r>
            </w:hyperlink>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3240" w:type="dxa"/>
            <w:vAlign w:val="bottom"/>
            <w:gridSpan w:val="12"/>
          </w:tcPr>
          <w:p>
            <w:pPr>
              <w:spacing w:after="0"/>
              <w:rPr>
                <w:sz w:val="21"/>
                <w:szCs w:val="21"/>
                <w:color w:val="auto"/>
              </w:rPr>
            </w:pPr>
          </w:p>
        </w:tc>
        <w:tc>
          <w:tcPr>
            <w:tcW w:w="6880" w:type="dxa"/>
            <w:vAlign w:val="bottom"/>
            <w:gridSpan w:val="6"/>
          </w:tcPr>
          <w:p>
            <w:pPr>
              <w:jc w:val="center"/>
              <w:ind w:left="6649"/>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8</w:t>
              </w:r>
            </w:hyperlink>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180" w:type="dxa"/>
            <w:vAlign w:val="bottom"/>
            <w:gridSpan w:val="5"/>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Use of Proceeds</w:t>
              </w:r>
            </w:hyperlink>
          </w:p>
        </w:tc>
        <w:tc>
          <w:tcPr>
            <w:tcW w:w="2980" w:type="dxa"/>
            <w:vAlign w:val="bottom"/>
            <w:gridSpan w:val="10"/>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20</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1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Ratio of Earnings to Fixed Charges</w:t>
              </w:r>
            </w:hyperlink>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20" w:type="dxa"/>
            <w:vAlign w:val="bottom"/>
            <w:gridSpan w:val="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Capitalization</w:t>
              </w:r>
            </w:hyperlink>
          </w:p>
        </w:tc>
        <w:tc>
          <w:tcPr>
            <w:tcW w:w="1520" w:type="dxa"/>
            <w:vAlign w:val="bottom"/>
            <w:gridSpan w:val="6"/>
          </w:tcPr>
          <w:p>
            <w:pPr>
              <w:spacing w:after="0"/>
              <w:rPr>
                <w:sz w:val="21"/>
                <w:szCs w:val="21"/>
                <w:color w:val="auto"/>
              </w:rPr>
            </w:pPr>
          </w:p>
        </w:tc>
        <w:tc>
          <w:tcPr>
            <w:tcW w:w="1620" w:type="dxa"/>
            <w:vAlign w:val="bottom"/>
            <w:gridSpan w:val="5"/>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720" w:type="dxa"/>
            <w:vAlign w:val="bottom"/>
            <w:gridSpan w:val="11"/>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Consolidated Financial Data</w:t>
              </w:r>
            </w:hyperlink>
          </w:p>
        </w:tc>
        <w:tc>
          <w:tcPr>
            <w:tcW w:w="1440" w:type="dxa"/>
            <w:vAlign w:val="bottom"/>
            <w:gridSpan w:val="4"/>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060" w:type="dxa"/>
            <w:vAlign w:val="bottom"/>
            <w:gridSpan w:val="13"/>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Description of Certain Other Indebtedness</w:t>
              </w:r>
            </w:hyperlink>
          </w:p>
        </w:tc>
        <w:tc>
          <w:tcPr>
            <w:tcW w:w="1100" w:type="dxa"/>
            <w:vAlign w:val="bottom"/>
            <w:gridSpan w:val="2"/>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29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440" w:type="dxa"/>
            <w:vAlign w:val="bottom"/>
            <w:gridSpan w:val="6"/>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The Exchange Offer</w:t>
              </w:r>
            </w:hyperlink>
          </w:p>
        </w:tc>
        <w:tc>
          <w:tcPr>
            <w:tcW w:w="1620" w:type="dxa"/>
            <w:vAlign w:val="bottom"/>
            <w:gridSpan w:val="7"/>
          </w:tcPr>
          <w:p>
            <w:pPr>
              <w:spacing w:after="0"/>
              <w:rPr>
                <w:sz w:val="21"/>
                <w:szCs w:val="21"/>
                <w:color w:val="auto"/>
              </w:rPr>
            </w:pPr>
          </w:p>
        </w:tc>
        <w:tc>
          <w:tcPr>
            <w:tcW w:w="1100" w:type="dxa"/>
            <w:vAlign w:val="bottom"/>
            <w:gridSpan w:val="2"/>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416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Description of Notes</w:t>
              </w:r>
            </w:hyperlink>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40</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3460" w:type="dxa"/>
            <w:vAlign w:val="bottom"/>
            <w:gridSpan w:val="14"/>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Certain U.S. Federal Income Tax Consequences</w:t>
              </w:r>
            </w:hyperlink>
          </w:p>
        </w:tc>
        <w:tc>
          <w:tcPr>
            <w:tcW w:w="700" w:type="dxa"/>
            <w:vAlign w:val="bottom"/>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75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300" w:type="dxa"/>
            <w:vAlign w:val="bottom"/>
            <w:gridSpan w:val="9"/>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Book Entry, Delivery and Form</w:t>
              </w:r>
            </w:hyperlink>
          </w:p>
        </w:tc>
        <w:tc>
          <w:tcPr>
            <w:tcW w:w="1160" w:type="dxa"/>
            <w:vAlign w:val="bottom"/>
            <w:gridSpan w:val="5"/>
          </w:tcPr>
          <w:p>
            <w:pPr>
              <w:spacing w:after="0"/>
              <w:rPr>
                <w:sz w:val="21"/>
                <w:szCs w:val="21"/>
                <w:color w:val="auto"/>
              </w:rPr>
            </w:pPr>
          </w:p>
        </w:tc>
        <w:tc>
          <w:tcPr>
            <w:tcW w:w="700" w:type="dxa"/>
            <w:vAlign w:val="bottom"/>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79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440" w:type="dxa"/>
            <w:vAlign w:val="bottom"/>
            <w:gridSpan w:val="6"/>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Plan of Distribution</w:t>
              </w:r>
            </w:hyperlink>
          </w:p>
        </w:tc>
        <w:tc>
          <w:tcPr>
            <w:tcW w:w="860" w:type="dxa"/>
            <w:vAlign w:val="bottom"/>
            <w:gridSpan w:val="3"/>
          </w:tcPr>
          <w:p>
            <w:pPr>
              <w:spacing w:after="0"/>
              <w:rPr>
                <w:sz w:val="21"/>
                <w:szCs w:val="21"/>
                <w:color w:val="auto"/>
              </w:rPr>
            </w:pPr>
          </w:p>
        </w:tc>
        <w:tc>
          <w:tcPr>
            <w:tcW w:w="1860" w:type="dxa"/>
            <w:vAlign w:val="bottom"/>
            <w:gridSpan w:val="6"/>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020" w:type="dxa"/>
            <w:vAlign w:val="bottom"/>
            <w:gridSpan w:val="4"/>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Legal Matters</w:t>
              </w:r>
            </w:hyperlink>
          </w:p>
        </w:tc>
        <w:tc>
          <w:tcPr>
            <w:tcW w:w="420" w:type="dxa"/>
            <w:vAlign w:val="bottom"/>
            <w:gridSpan w:val="2"/>
          </w:tcPr>
          <w:p>
            <w:pPr>
              <w:spacing w:after="0"/>
              <w:rPr>
                <w:sz w:val="21"/>
                <w:szCs w:val="21"/>
                <w:color w:val="auto"/>
              </w:rPr>
            </w:pPr>
          </w:p>
        </w:tc>
        <w:tc>
          <w:tcPr>
            <w:tcW w:w="2720" w:type="dxa"/>
            <w:vAlign w:val="bottom"/>
            <w:gridSpan w:val="9"/>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560" w:type="dxa"/>
            <w:vAlign w:val="bottom"/>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Experts</w:t>
              </w:r>
            </w:hyperlink>
          </w:p>
        </w:tc>
        <w:tc>
          <w:tcPr>
            <w:tcW w:w="460" w:type="dxa"/>
            <w:vAlign w:val="bottom"/>
            <w:gridSpan w:val="3"/>
          </w:tcPr>
          <w:p>
            <w:pPr>
              <w:spacing w:after="0"/>
              <w:rPr>
                <w:sz w:val="21"/>
                <w:szCs w:val="21"/>
                <w:color w:val="auto"/>
              </w:rPr>
            </w:pPr>
          </w:p>
        </w:tc>
        <w:tc>
          <w:tcPr>
            <w:tcW w:w="3140" w:type="dxa"/>
            <w:vAlign w:val="bottom"/>
            <w:gridSpan w:val="11"/>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880" w:type="dxa"/>
            <w:vAlign w:val="bottom"/>
            <w:gridSpan w:val="12"/>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Where You Can Find More Information</w:t>
              </w:r>
            </w:hyperlink>
          </w:p>
        </w:tc>
        <w:tc>
          <w:tcPr>
            <w:tcW w:w="1280" w:type="dxa"/>
            <w:vAlign w:val="bottom"/>
            <w:gridSpan w:val="3"/>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82</w:t>
              </w:r>
            </w:hyperlink>
          </w:p>
        </w:tc>
      </w:tr>
      <w:tr>
        <w:trPr>
          <w:trHeight w:val="20"/>
        </w:trPr>
        <w:tc>
          <w:tcPr>
            <w:tcW w:w="1980" w:type="dxa"/>
            <w:vAlign w:val="bottom"/>
            <w:gridSpan w:val="7"/>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880" w:type="dxa"/>
            <w:vAlign w:val="bottom"/>
            <w:gridSpan w:val="1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Incorporation by Reference</w:t>
              </w:r>
            </w:hyperlink>
          </w:p>
        </w:tc>
        <w:tc>
          <w:tcPr>
            <w:tcW w:w="1280" w:type="dxa"/>
            <w:vAlign w:val="bottom"/>
            <w:gridSpan w:val="3"/>
          </w:tcPr>
          <w:p>
            <w:pPr>
              <w:spacing w:after="0"/>
              <w:rPr>
                <w:sz w:val="21"/>
                <w:szCs w:val="21"/>
                <w:color w:val="auto"/>
              </w:rPr>
            </w:pPr>
          </w:p>
        </w:tc>
        <w:tc>
          <w:tcPr>
            <w:tcW w:w="7200" w:type="dxa"/>
            <w:vAlign w:val="bottom"/>
            <w:gridSpan w:val="8"/>
          </w:tcPr>
          <w:p>
            <w:pPr>
              <w:jc w:val="center"/>
              <w:ind w:left="6329"/>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83</w:t>
              </w:r>
            </w:hyperlink>
          </w:p>
        </w:tc>
      </w:tr>
      <w:tr>
        <w:trPr>
          <w:trHeight w:val="314"/>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0" w:type="dxa"/>
            <w:vAlign w:val="bottom"/>
          </w:tcPr>
          <w:p>
            <w:pPr>
              <w:jc w:val="right"/>
              <w:ind w:right="3989"/>
              <w:spacing w:after="0"/>
              <w:rPr>
                <w:sz w:val="20"/>
                <w:szCs w:val="20"/>
                <w:color w:val="auto"/>
              </w:rPr>
            </w:pPr>
            <w:r>
              <w:rPr>
                <w:rFonts w:ascii="Arial" w:cs="Arial" w:eastAsia="Arial" w:hAnsi="Arial"/>
                <w:sz w:val="22"/>
                <w:szCs w:val="22"/>
                <w:b w:val="1"/>
                <w:bCs w:val="1"/>
                <w:color w:val="auto"/>
              </w:rPr>
              <w:t>_______________</w:t>
            </w:r>
          </w:p>
        </w:tc>
        <w:tc>
          <w:tcPr>
            <w:tcW w:w="3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pacing w:after="0" w:line="188" w:lineRule="exact"/>
        <w:rPr>
          <w:sz w:val="20"/>
          <w:szCs w:val="20"/>
          <w:color w:val="auto"/>
        </w:rPr>
      </w:pPr>
    </w:p>
    <w:p>
      <w:pPr>
        <w:jc w:val="both"/>
        <w:ind w:right="120" w:firstLine="405"/>
        <w:spacing w:after="0" w:line="270" w:lineRule="auto"/>
        <w:rPr>
          <w:sz w:val="20"/>
          <w:szCs w:val="20"/>
          <w:color w:val="auto"/>
        </w:rPr>
      </w:pPr>
      <w:r>
        <w:rPr>
          <w:rFonts w:ascii="Arial" w:cs="Arial" w:eastAsia="Arial" w:hAnsi="Arial"/>
          <w:sz w:val="17"/>
          <w:szCs w:val="17"/>
          <w:b w:val="1"/>
          <w:bCs w:val="1"/>
          <w:color w:val="auto"/>
        </w:rPr>
        <w:t>This prospectus incorporates by reference important business and financial information about us that is not included in or delivered with this prospectus. This information is available without charge to you upon written or oral request. In order to ensure timely delivery of this information, you must request the information no later than five business days before the date on which the exchange offer expires. Therefore, you must request the information on or before , 2017. You may make such a request by contacting us at: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14111 Scottslawn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Treasurer</w:t>
      </w:r>
    </w:p>
    <w:p>
      <w:pPr>
        <w:spacing w:after="0" w:line="9" w:lineRule="exact"/>
        <w:rPr>
          <w:sz w:val="20"/>
          <w:szCs w:val="20"/>
          <w:color w:val="auto"/>
        </w:rPr>
      </w:pPr>
    </w:p>
    <w:p>
      <w:pPr>
        <w:ind w:left="5600" w:hanging="444"/>
        <w:spacing w:after="0"/>
        <w:tabs>
          <w:tab w:leader="none" w:pos="5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644-0011</w:t>
      </w:r>
    </w:p>
    <w:p>
      <w:pPr>
        <w:spacing w:after="0" w:line="9" w:lineRule="exact"/>
        <w:rPr>
          <w:rFonts w:ascii="Arial" w:cs="Arial" w:eastAsia="Arial" w:hAnsi="Arial"/>
          <w:sz w:val="18"/>
          <w:szCs w:val="18"/>
          <w:b w:val="1"/>
          <w:bCs w:val="1"/>
          <w:color w:val="auto"/>
        </w:rPr>
      </w:pPr>
    </w:p>
    <w:p>
      <w:pPr>
        <w:ind w:left="4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treasury.department@scotts.com</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_______________</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364"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This prospectus and the documents incorporated by reference herein may contain “forward-looking statements” within the meaning of the Private Securities Litigation Reform Act of 1995 with respect to our financial condition, results of operations, cash flows, plans, objectives, strategies, targets, prospects and business. Forward-looking statements reflect our current expectations, estimates or projections concerning future results or events. These statements are generally identified by the use of forward-looking words or phrases such as “believe,” “strategy,” “envision,” “target,” “goal,” “project,” “expect,” “anticipate,” “may,” “could,” “intend,” “intent,” “belief,” “estimate,” “plan,” “foresee,” “likely,” “will,” “should” or other similar words or phrases. Forward-looking statements are not guarantees of performance and are inherently subject to known and unknown risks, uncertainties and assumptions that are difficult to predict and could cause our actual results and future events to differ materially from those expressed in or implied by the forward-looking statements. We cannot assure you that any of our expectations, estimates or projections will be achieved and you should not place undue reliance on forward-looking statements.</w:t>
      </w:r>
    </w:p>
    <w:p>
      <w:pPr>
        <w:spacing w:after="0" w:line="19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forward-looking statements included or incorporated by reference in this prospectus are only made as of the date of this prospectus or the respective document incorporated by reference herein, as applicable. Except as required by applicable law or the rules and regulations of the SEC, we undertake no obligation to publicly update any forward-looking statement, whether as a result of new information, future events or otherwise.</w:t>
      </w:r>
    </w:p>
    <w:p>
      <w:pPr>
        <w:spacing w:after="0" w:line="166"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Numerous factors could cause our actual results and events to differ materially from those expressed or implied by forward-looking statements, including, without limitation:</w:t>
      </w:r>
    </w:p>
    <w:p>
      <w:pPr>
        <w:spacing w:after="0" w:line="17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reputation could have an adverse effect on our business;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products may be purchased for use in new and emerging industries that are subject to inconsistent and rapidly changing laws and regulations and consumer perception;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activities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upon the retention and availability of key personnel and the effective succession of senior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availability or increases in the prices of raw materials or fuel could adversely affect our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hedging arrangements expose us to certain counterparty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our markets could adversely affect our ability to maintain or grow revenues;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new product lines and products or improve existing product lines and products or maintain our effectiveness in reaching consumers through rapidly evolving communication vehicles;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investment in new product lines and products and technologies is inherently risky, and could disrupt our ongoing businesses;</w:t>
      </w:r>
    </w:p>
    <w:p>
      <w:pPr>
        <w:spacing w:after="0" w:line="20" w:lineRule="exact"/>
        <w:rPr>
          <w:rFonts w:ascii="Arial" w:cs="Arial" w:eastAsia="Arial" w:hAnsi="Arial"/>
          <w:sz w:val="17"/>
          <w:szCs w:val="17"/>
          <w:color w:val="auto"/>
        </w:rPr>
      </w:pPr>
    </w:p>
    <w:p>
      <w:pPr>
        <w:ind w:left="660" w:right="1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of the concentration of our sales to a small number of retail customers, the loss of one or more of, or a significant reduction in orders from, our top customers could adversely affect our financial results;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third-party manufacturers could harm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base of suppliers may result in disruptions to our business and adversely affect our financial results;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interruption in the operation of our or our suppliers’ facilities could impact our capacity to produce products and service our customers, which could adversely affect revenues and earnings;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and unfavorable weather conditions could adversely impact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indebtedness could limit our flexibility and adversely affect our financial condition;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ratings issued by nationally recognized statistical rating organizations could adversely affect our cost of financing;</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postretirement-related costs and funding requirements could increase as a result of volatility in the financial markets, changes in interest rates and actuarial assumptions;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make us susceptible to the costs and risks associated with operating internationally;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our tax provisions, the adoption of new tax legislation or exposure to additional tax liabilities could affect our profitability and cash flows;</w:t>
      </w: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may be impaired if our information technology systems fail to perform adequately or if we are the subject of a data breach or cyber attack;</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and other proprietary rights that are material to our business;</w:t>
      </w:r>
    </w:p>
    <w:p>
      <w:pPr>
        <w:spacing w:after="0" w:line="9" w:lineRule="exact"/>
        <w:rPr>
          <w:rFonts w:ascii="Arial" w:cs="Arial" w:eastAsia="Arial" w:hAnsi="Arial"/>
          <w:sz w:val="18"/>
          <w:szCs w:val="18"/>
          <w:color w:val="auto"/>
        </w:rPr>
      </w:pPr>
    </w:p>
    <w:p>
      <w:pPr>
        <w:ind w:left="660" w:right="180" w:hanging="328"/>
        <w:spacing w:after="0" w:line="25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termination of the Amended and Restated Exclusive Agency and Marketing Agreement (the “Marketing Agreement”) for consumer Roundup</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products, we would lose a substantial source of future earnings and overhead expense absorption;</w:t>
      </w:r>
    </w:p>
    <w:p>
      <w:pPr>
        <w:ind w:left="660" w:right="2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Hagedorn Partnership, L.P. beneficially owns approximately 26% of our common shares and can significantly influence decisions that require the approval of shareholders;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364" w:right="259" w:bottom="1440" w:gutter="0" w:footer="0" w:header="0"/>
        </w:sectPr>
      </w:pPr>
    </w:p>
    <w:bookmarkStart w:id="6" w:name="page7"/>
    <w:bookmarkEnd w:id="6"/>
    <w:p>
      <w:pPr>
        <w:ind w:left="660" w:right="40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ind w:left="660" w:right="4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other strategic alliances and investments could result in operating difficulties, dilution, and other harmful consequences that may adversely impact our business and results of operations;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dispose of assets or businesses in a timely manner may cause the results of the Company to suffer;</w:t>
      </w:r>
    </w:p>
    <w:p>
      <w:pPr>
        <w:spacing w:after="0" w:line="9" w:lineRule="exact"/>
        <w:rPr>
          <w:rFonts w:ascii="Arial" w:cs="Arial" w:eastAsia="Arial" w:hAnsi="Arial"/>
          <w:sz w:val="18"/>
          <w:szCs w:val="18"/>
          <w:color w:val="auto"/>
        </w:rPr>
      </w:pPr>
    </w:p>
    <w:p>
      <w:pPr>
        <w:ind w:left="660" w:right="380" w:hanging="328"/>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 and</w:t>
      </w:r>
    </w:p>
    <w:p>
      <w:pPr>
        <w:spacing w:after="0" w:line="1" w:lineRule="exact"/>
        <w:rPr>
          <w:rFonts w:ascii="Arial" w:cs="Arial" w:eastAsia="Arial" w:hAnsi="Arial"/>
          <w:sz w:val="16"/>
          <w:szCs w:val="16"/>
          <w:color w:val="auto"/>
        </w:rPr>
      </w:pPr>
    </w:p>
    <w:p>
      <w:pPr>
        <w:ind w:left="660" w:right="2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risk factors set forth below under the heading “Risk Factors” or in our reports filed with the SEC under the Securities Exchange Act of 1934, as amended (the “Exchange Act”).</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list of factors above is illustrative, but by no means exhaustive. All forward-looking statements should be evaluated with the understanding of their inherent uncertainty. All subsequent written and oral forward-looking statements concerning the matters addressed in this prospectus and attributable to us or any person acting on our behalf are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6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4900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900930"/>
                    </a:xfrm>
                    <a:prstGeom prst="rect">
                      <a:avLst/>
                    </a:prstGeom>
                    <a:noFill/>
                  </pic:spPr>
                </pic:pic>
              </a:graphicData>
            </a:graphic>
          </wp:anchor>
        </w:drawing>
        <w:t>SUMMARY</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The following summary highlights selected information contained or incorporated by reference in this prospectus, and may not contain all of the information that is important to you. You should read this prospectus in its entirety, including the information set forth under “Risk Factors” and the documents incorporated by reference in this prospectus, before making any investment decision. Unless this prospectus otherwise indicates or the context otherwise requires, the terms the “Company,” “we,” “our” and “us” refer to The Scotts Miracle-Gro Company and its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 xml:space="preserve">The Scotts Miracle-Gro Company is a leading manufacturer and marketer of consumer branded products for lawn and garden care in North America and Europe. We have a presence in similar consumer branded products in Australia, East Asia and Latin America. Our products are marketed under some of the most recognized brand names in the industry. We are the exclusive agent of Monsanto Company (“Monsanto”) for the marketing and distribution of consumer </w:t>
      </w:r>
      <w:r>
        <w:rPr>
          <w:rFonts w:ascii="Arial" w:cs="Arial" w:eastAsia="Arial" w:hAnsi="Arial"/>
          <w:sz w:val="18"/>
          <w:szCs w:val="18"/>
          <w:i w:val="1"/>
          <w:iCs w:val="1"/>
          <w:color w:val="auto"/>
        </w:rPr>
        <w:t>Roundup</w:t>
      </w:r>
      <w:r>
        <w:rPr>
          <w:rFonts w:ascii="Arial" w:cs="Arial" w:eastAsia="Arial" w:hAnsi="Arial"/>
          <w:sz w:val="18"/>
          <w:szCs w:val="18"/>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w:t>
      </w:r>
    </w:p>
    <w:p>
      <w:pPr>
        <w:spacing w:after="0" w:line="188"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business is divided into three principal business reporting segments: U.S. Consumer (consisting of the Company’s consumer lawn and garden business located in the geographic United States); Europe Consumer (consisting of the Company’s consumer lawn and garden business located in geographic Europe); and Other (consisting of the Company’s consumer lawn and garden businesses in geographies other than the U.S. and Europe, the Company’s indoor, urban and hydroponic gardening business, and revenues and expenses associated with the Company’s supply agreements with Israel Chemicals, Ltd.). Our U.S. Consumer operations comprise the most substantial part of our business, representing 77.1% of our consolidated revenue for the fiscal year ended September 30, 2016.</w:t>
      </w:r>
    </w:p>
    <w:p>
      <w:pPr>
        <w:spacing w:after="0" w:line="17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For additional information regarding our business, financial condition, results of operations and cash flows, please see our Annual Report on Form 10-K for the fiscal year ended September 30, 2016 and our Quarterly Report on Form 10-Q for the fiscal quarter ended December 31, 2016, which are incorporated by reference in this prospectus.</w:t>
      </w:r>
    </w:p>
    <w:p>
      <w:pPr>
        <w:spacing w:after="0" w:line="181"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The Scotts Miracle-Gro Company is an Ohio corporation incorporated through predecessor entities in 1868. Our executive offices are located at 14111 Scottslawn Road, Marysville, Ohio 43041, and our telephone number is (937) 644-0011. Our website address is www.scotts.com. Information on our website is not incorporated by reference in or otherwise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0"/>
          </w:cols>
          <w:pgMar w:left="760" w:top="864" w:right="7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9703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9703435"/>
                    </a:xfrm>
                    <a:prstGeom prst="rect">
                      <a:avLst/>
                    </a:prstGeom>
                    <a:noFill/>
                  </pic:spPr>
                </pic:pic>
              </a:graphicData>
            </a:graphic>
          </wp:anchor>
        </w:drawing>
        <w:t>The Exchange Offer</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The following is a summary of the principal terms of the exchange offer. See “The Exchange Offer” for a more detailed description of the terms of the exchange offer. Unless otherwise provided in this prospectus, as used in this prospectus, the term “notes” refers collectively to the original notes and the exchange notes, the term “indenture” refers to the indenture, dated as of December 15, 2016, which governs both the original notes and the exchange notes, and the term “registration rights agreement” refers to the registration rights agreement, dated as of December 15, 2016, that we entered into with the initial purchasers of the original notes.</w:t>
      </w:r>
    </w:p>
    <w:p>
      <w:pPr>
        <w:spacing w:after="0" w:line="119"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Original Notes</w:t>
      </w:r>
      <w:r>
        <w:rPr>
          <w:sz w:val="20"/>
          <w:szCs w:val="20"/>
          <w:color w:val="auto"/>
        </w:rPr>
        <w:tab/>
      </w:r>
      <w:r>
        <w:rPr>
          <w:rFonts w:ascii="Arial" w:cs="Arial" w:eastAsia="Arial" w:hAnsi="Arial"/>
          <w:sz w:val="16"/>
          <w:szCs w:val="16"/>
          <w:color w:val="auto"/>
        </w:rPr>
        <w:t>On December 15, 2016, we issued and sold $250 million aggregate</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amount of the original notes to the initial purchasers in a</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private placement transaction that was exempt from the registration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requirements of the Securities Act.</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 connection with the private placement, we entered into a registration</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rights agreement, dated December 15, 2016, with the initial purchasers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of the original notes, pursuant to which we agreed to exchange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original notes for exchange notes which we agreed to register under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Securities Act, and we also granted holders of the original notes rights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under certain circumstances to have resales of their original notes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registered under the Securities Act. The exchange offer is intended to</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satisfy our obligations under the registration rights agreement.</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We issued the original notes under an indenture dated as of December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15, 2016 among us, the subsidiary guarantors and U.S. Bank National</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Association, as trustee. The exchange notes will be issued under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same indenture and entitled to the benefits of the indenture.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exchange notes will evidence the same debt as the original notes.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original notes and the exchange notes will be treated as a single class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debt securities under the indenture.</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issuance of the original notes is represented by one or more global</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notes registered in the name of a nominee of The Depository Trust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Company (“DTC”). Participants in DTC’s system who have accounts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with DTC hold interests in the global notes in book-entry form.</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Accordingly, ownership of beneficial interests in the original notes is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limited to DTC participants or persons who hold their interests through</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DTC participants.</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The Exchange Offer</w:t>
      </w:r>
      <w:r>
        <w:rPr>
          <w:sz w:val="20"/>
          <w:szCs w:val="20"/>
          <w:color w:val="auto"/>
        </w:rPr>
        <w:tab/>
      </w:r>
      <w:r>
        <w:rPr>
          <w:rFonts w:ascii="Arial" w:cs="Arial" w:eastAsia="Arial" w:hAnsi="Arial"/>
          <w:sz w:val="16"/>
          <w:szCs w:val="16"/>
          <w:color w:val="auto"/>
        </w:rPr>
        <w:t>We are offering to exchange up to $250 million aggregate principal</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amount of the exchange notes, which have been registered under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Securities Act, for an equal principal amount of the original notes that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are validly tendered and accepted in the exchange offer. The terms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exchange notes are substantially identical to the terms of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original notes, except that the exchange notes will not be subject to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transfer restrictions, registration rights and additional interest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provisions applicable to the original notes.</w:t>
      </w:r>
    </w:p>
    <w:p>
      <w:pPr>
        <w:spacing w:after="0" w:line="40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If all outstanding original notes are tendered for exchange, there will be</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$250 million principal amount of 5.250% Senior Notes due 2026 (that</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have been registered under the Securities Act) outstanding after this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exchange offer.</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Expiration Time</w:t>
      </w:r>
      <w:r>
        <w:rPr>
          <w:sz w:val="20"/>
          <w:szCs w:val="20"/>
          <w:color w:val="auto"/>
        </w:rPr>
        <w:tab/>
      </w:r>
      <w:r>
        <w:rPr>
          <w:rFonts w:ascii="Arial" w:cs="Arial" w:eastAsia="Arial" w:hAnsi="Arial"/>
          <w:sz w:val="16"/>
          <w:szCs w:val="16"/>
          <w:color w:val="auto"/>
        </w:rPr>
        <w:t>The exchange offer will expire at 11:59 p.m., New York City time, on ,</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2017, unless extended, in which case the expiration time will be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latest date and time to which we extend the exchange offer. See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Exchange Offer-Expiration Time; Extensions; Amendments.”</w:t>
      </w:r>
    </w:p>
    <w:p>
      <w:pPr>
        <w:sectPr>
          <w:pgSz w:w="11900" w:h="16838" w:orient="portrait"/>
          <w:cols w:equalWidth="0" w:num="1">
            <w:col w:w="10320"/>
          </w:cols>
          <w:pgMar w:left="760" w:top="864" w:right="819" w:bottom="192" w:gutter="0" w:footer="0" w:header="0"/>
        </w:sectPr>
      </w:pPr>
    </w:p>
    <w:p>
      <w:pPr>
        <w:spacing w:after="0" w:line="4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Accrued Interest on Original Notes and Exchange Notes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1440"/>
        <w:spacing w:after="0" w:line="273" w:lineRule="auto"/>
        <w:rPr>
          <w:sz w:val="20"/>
          <w:szCs w:val="20"/>
          <w:color w:val="auto"/>
        </w:rPr>
      </w:pPr>
      <w:r>
        <w:rPr>
          <w:rFonts w:ascii="Arial" w:cs="Arial" w:eastAsia="Arial" w:hAnsi="Arial"/>
          <w:sz w:val="17"/>
          <w:szCs w:val="17"/>
          <w:color w:val="auto"/>
        </w:rPr>
        <w:t>Exchanging original notes for exchange notes will not affect the amount of interest a holder will receive. The exchange notes will accrue interest from and including their date of issuance at the same rate (5.250% per annum) and on the same terms as the original notes. Interest will be payable semi-annually in arrears on each June 15 and December 15, commencing on June 15, 2017.</w:t>
      </w:r>
    </w:p>
    <w:p>
      <w:pPr>
        <w:spacing w:after="0" w:line="200" w:lineRule="exact"/>
        <w:rPr>
          <w:sz w:val="20"/>
          <w:szCs w:val="20"/>
          <w:color w:val="auto"/>
        </w:rPr>
      </w:pPr>
    </w:p>
    <w:p>
      <w:pPr>
        <w:sectPr>
          <w:pgSz w:w="11900" w:h="16838" w:orient="portrait"/>
          <w:cols w:equalWidth="0" w:num="2">
            <w:col w:w="3500" w:space="380"/>
            <w:col w:w="6440"/>
          </w:cols>
          <w:pgMar w:left="760" w:top="864" w:right="819" w:bottom="192"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320"/>
          </w:cols>
          <w:pgMar w:left="760" w:top="864" w:right="819" w:bottom="192" w:gutter="0" w:footer="0" w:header="0"/>
          <w:type w:val="continuous"/>
        </w:sectPr>
      </w:pPr>
    </w:p>
    <w:bookmarkStart w:id="9" w:name="page10"/>
    <w:bookmarkEnd w:id="9"/>
    <w:p>
      <w:pPr>
        <w:ind w:left="3220" w:right="6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10363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363200"/>
                    </a:xfrm>
                    <a:prstGeom prst="rect">
                      <a:avLst/>
                    </a:prstGeom>
                    <a:noFill/>
                  </pic:spPr>
                </pic:pic>
              </a:graphicData>
            </a:graphic>
          </wp:anchor>
        </w:drawing>
        <w:t>When the first interest payment is made with regard to the exchange notes, we will also pay interest on the original notes that are exchanged, from the date they were issued or the most recent interest date on which interest has been paid (if applicable) to, but not including, the day the exchange notes are issued. Interest on the original notes that are exchanged will cease to accrue on the day prior to the date on which the exchange notes are issued.</w:t>
      </w:r>
    </w:p>
    <w:p>
      <w:pPr>
        <w:sectPr>
          <w:pgSz w:w="11900" w:h="16838" w:orient="portrait"/>
          <w:cols w:equalWidth="0" w:num="1">
            <w:col w:w="9039"/>
          </w:cols>
          <w:pgMar w:left="1420" w:top="1246" w:right="1440" w:bottom="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Procedures for Tendering Original Notes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To exchange your original notes for exchange notes, you must validly tender and not validly withdraw your original notes at or before the expiration time. If you are a participant in DTC’s system, you may tender your original notes through book-entry transfer in accordance with DTC’s Automated Tender Offer Program, known as ATOP. If you wish to participate in the exchange offer, you must, at or prior to the expiration time:</w:t>
      </w:r>
    </w:p>
    <w:p>
      <w:pPr>
        <w:spacing w:after="0" w:line="162" w:lineRule="exact"/>
        <w:rPr>
          <w:sz w:val="20"/>
          <w:szCs w:val="20"/>
          <w:color w:val="auto"/>
        </w:rPr>
      </w:pPr>
    </w:p>
    <w:p>
      <w:pPr>
        <w:sectPr>
          <w:pgSz w:w="11900" w:h="16838" w:orient="portrait"/>
          <w:cols w:equalWidth="0" w:num="2">
            <w:col w:w="2940" w:space="280"/>
            <w:col w:w="5819"/>
          </w:cols>
          <w:pgMar w:left="1420" w:top="1246" w:right="1440" w:bottom="0" w:gutter="0" w:footer="0" w:header="0"/>
          <w:type w:val="continuous"/>
        </w:sectPr>
      </w:pPr>
    </w:p>
    <w:p>
      <w:pPr>
        <w:ind w:left="3740" w:right="39" w:hanging="242"/>
        <w:spacing w:after="0" w:line="295" w:lineRule="auto"/>
        <w:rPr>
          <w:sz w:val="20"/>
          <w:szCs w:val="20"/>
          <w:color w:val="auto"/>
        </w:rPr>
      </w:pPr>
      <w:r>
        <w:rPr>
          <w:rFonts w:ascii="Arial" w:cs="Arial" w:eastAsia="Arial" w:hAnsi="Arial"/>
          <w:sz w:val="16"/>
          <w:szCs w:val="16"/>
          <w:color w:val="auto"/>
        </w:rPr>
        <w:t>ž complete, sign and date the accompanying letter of transmittal in accordance with the instructions contained therein, and deliver the letter of transmittal, together with your original notes and any other documents required by the letter of transmittal, to the exchange agent at the address set forth under “The Exchange Offer- Exchange Agent”; or</w:t>
      </w:r>
    </w:p>
    <w:p>
      <w:pPr>
        <w:spacing w:after="0" w:line="4" w:lineRule="exact"/>
        <w:rPr>
          <w:sz w:val="20"/>
          <w:szCs w:val="20"/>
          <w:color w:val="auto"/>
        </w:rPr>
      </w:pPr>
    </w:p>
    <w:p>
      <w:pPr>
        <w:ind w:left="3740" w:right="39" w:hanging="242"/>
        <w:spacing w:after="0" w:line="272" w:lineRule="auto"/>
        <w:rPr>
          <w:sz w:val="20"/>
          <w:szCs w:val="20"/>
          <w:color w:val="auto"/>
        </w:rPr>
      </w:pPr>
      <w:r>
        <w:rPr>
          <w:rFonts w:ascii="Arial" w:cs="Arial" w:eastAsia="Arial" w:hAnsi="Arial"/>
          <w:sz w:val="17"/>
          <w:szCs w:val="17"/>
          <w:color w:val="auto"/>
        </w:rPr>
        <w:t>ž if your original notes are tendered pursuant to the procedures for book-entry transfer, arrange for DTC to (i) transmit to the exchange agent certain required information, including an agent’s message forming part of a book-entry transfer in which you agree to be bound by the terms of the letter of transmittal, (ii) transfer your original notes into the exchange agent’s account at DTC and (iii) send the exchange agent confirmation of such book-entry transfer.</w:t>
      </w:r>
    </w:p>
    <w:p>
      <w:pPr>
        <w:spacing w:after="0" w:line="367" w:lineRule="exact"/>
        <w:rPr>
          <w:sz w:val="20"/>
          <w:szCs w:val="20"/>
          <w:color w:val="auto"/>
        </w:rPr>
      </w:pPr>
    </w:p>
    <w:p>
      <w:pPr>
        <w:ind w:left="3220" w:right="639"/>
        <w:spacing w:after="0" w:line="257" w:lineRule="auto"/>
        <w:rPr>
          <w:sz w:val="20"/>
          <w:szCs w:val="20"/>
          <w:color w:val="auto"/>
        </w:rPr>
      </w:pPr>
      <w:r>
        <w:rPr>
          <w:rFonts w:ascii="Arial" w:cs="Arial" w:eastAsia="Arial" w:hAnsi="Arial"/>
          <w:sz w:val="18"/>
          <w:szCs w:val="18"/>
          <w:color w:val="auto"/>
        </w:rPr>
        <w:t>You may tender your original notes in whole or in part. However, if you tender less than all of your original notes, you may tender your original notes only in minimum denominations of $2,000 and integral multiples of $1,000 in excess thereof. See “The Exchange Offer- Procedures for Tendering Original Notes.”</w:t>
      </w:r>
    </w:p>
    <w:p>
      <w:pPr>
        <w:sectPr>
          <w:pgSz w:w="11900" w:h="16838" w:orient="portrait"/>
          <w:cols w:equalWidth="0" w:num="1">
            <w:col w:w="9039"/>
          </w:cols>
          <w:pgMar w:left="1420" w:top="1246" w:right="1440" w:bottom="0"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Guaranteed Delivery Procedures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If you wish to tender your original notes and:</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spacing w:after="0" w:line="2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ž certificates for your original notes are not immediately available;</w:t>
      </w:r>
    </w:p>
    <w:p>
      <w:pPr>
        <w:spacing w:after="0" w:line="75" w:lineRule="exact"/>
        <w:rPr>
          <w:sz w:val="20"/>
          <w:szCs w:val="20"/>
          <w:color w:val="auto"/>
        </w:rPr>
      </w:pPr>
    </w:p>
    <w:p>
      <w:pPr>
        <w:ind w:left="3460" w:right="779" w:hanging="242"/>
        <w:spacing w:after="0" w:line="264" w:lineRule="auto"/>
        <w:rPr>
          <w:sz w:val="20"/>
          <w:szCs w:val="20"/>
          <w:color w:val="auto"/>
        </w:rPr>
      </w:pPr>
      <w:r>
        <w:rPr>
          <w:rFonts w:ascii="Arial" w:cs="Arial" w:eastAsia="Arial" w:hAnsi="Arial"/>
          <w:sz w:val="18"/>
          <w:szCs w:val="18"/>
          <w:color w:val="auto"/>
        </w:rPr>
        <w:t>ž the letter of transmittal, your original notes or any other required documents cannot be delivered to the exchange agent at or prior to the expiration time; or</w:t>
      </w:r>
    </w:p>
    <w:p>
      <w:pPr>
        <w:spacing w:after="0" w:line="19" w:lineRule="exact"/>
        <w:rPr>
          <w:sz w:val="20"/>
          <w:szCs w:val="20"/>
          <w:color w:val="auto"/>
        </w:rPr>
      </w:pPr>
    </w:p>
    <w:p>
      <w:pPr>
        <w:ind w:left="3460" w:right="879" w:hanging="242"/>
        <w:spacing w:after="0" w:line="277" w:lineRule="auto"/>
        <w:tabs>
          <w:tab w:leader="none" w:pos="3440" w:val="left"/>
        </w:tabs>
        <w:rPr>
          <w:sz w:val="20"/>
          <w:szCs w:val="20"/>
          <w:color w:val="auto"/>
        </w:rPr>
      </w:pPr>
      <w:r>
        <w:rPr>
          <w:rFonts w:ascii="Arial" w:cs="Arial" w:eastAsia="Arial" w:hAnsi="Arial"/>
          <w:sz w:val="18"/>
          <w:szCs w:val="18"/>
          <w:color w:val="auto"/>
        </w:rPr>
        <w:t>ž</w:t>
        <w:tab/>
        <w:t>the procedures for book-entry transfer cannot be completed at or prior to the expiration time,</w:t>
      </w:r>
    </w:p>
    <w:p>
      <w:pPr>
        <w:spacing w:after="0" w:line="360" w:lineRule="exact"/>
        <w:rPr>
          <w:sz w:val="20"/>
          <w:szCs w:val="20"/>
          <w:color w:val="auto"/>
        </w:rPr>
      </w:pPr>
    </w:p>
    <w:p>
      <w:pPr>
        <w:ind w:left="3220" w:right="999"/>
        <w:spacing w:after="0" w:line="264" w:lineRule="auto"/>
        <w:rPr>
          <w:sz w:val="20"/>
          <w:szCs w:val="20"/>
          <w:color w:val="auto"/>
        </w:rPr>
      </w:pPr>
      <w:r>
        <w:rPr>
          <w:rFonts w:ascii="Arial" w:cs="Arial" w:eastAsia="Arial" w:hAnsi="Arial"/>
          <w:sz w:val="18"/>
          <w:szCs w:val="18"/>
          <w:color w:val="auto"/>
        </w:rPr>
        <w:t>you may tender your original notes according to the guaranteed delivery procedures described in “The Exchange Offer-Guaranteed Delivery Procedures.”</w:t>
      </w:r>
    </w:p>
    <w:p>
      <w:pPr>
        <w:sectPr>
          <w:pgSz w:w="11900" w:h="16838" w:orient="portrait"/>
          <w:cols w:equalWidth="0" w:num="1">
            <w:col w:w="9039"/>
          </w:cols>
          <w:pgMar w:left="1420" w:top="1246" w:right="1440" w:bottom="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639"/>
        <w:spacing w:after="0" w:line="287" w:lineRule="auto"/>
        <w:rPr>
          <w:sz w:val="20"/>
          <w:szCs w:val="20"/>
          <w:color w:val="auto"/>
        </w:rPr>
      </w:pPr>
      <w:r>
        <w:rPr>
          <w:rFonts w:ascii="Arial" w:cs="Arial" w:eastAsia="Arial" w:hAnsi="Arial"/>
          <w:sz w:val="16"/>
          <w:szCs w:val="16"/>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it to tender on your behalf. If you wish to tender on your own behalf, you must either (i) make appropriate arrangements to register ownership of the original notes in your name or (ii) obtain a properly completed bond power from the registered holder of the original notes before completing, signing and delivering the letter of transmittal, together with your original notes and any other required documents, to the exchange agent. See “The Exchange Offer-Procedures for Tendering Original Notes.”</w:t>
      </w:r>
    </w:p>
    <w:p>
      <w:pPr>
        <w:spacing w:after="0" w:line="200" w:lineRule="exact"/>
        <w:rPr>
          <w:sz w:val="20"/>
          <w:szCs w:val="20"/>
          <w:color w:val="auto"/>
        </w:rPr>
      </w:pPr>
    </w:p>
    <w:p>
      <w:pPr>
        <w:sectPr>
          <w:pgSz w:w="11900" w:h="16838" w:orient="portrait"/>
          <w:cols w:equalWidth="0" w:num="2">
            <w:col w:w="3020" w:space="200"/>
            <w:col w:w="5819"/>
          </w:cols>
          <w:pgMar w:left="1420" w:top="1246" w:right="1440" w:bottom="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Withdrawal of Tenders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659"/>
        <w:spacing w:after="0" w:line="259" w:lineRule="auto"/>
        <w:rPr>
          <w:sz w:val="20"/>
          <w:szCs w:val="20"/>
          <w:color w:val="auto"/>
        </w:rPr>
      </w:pPr>
      <w:r>
        <w:rPr>
          <w:rFonts w:ascii="Arial" w:cs="Arial" w:eastAsia="Arial" w:hAnsi="Arial"/>
          <w:sz w:val="18"/>
          <w:szCs w:val="18"/>
          <w:color w:val="auto"/>
        </w:rPr>
        <w:t>You may withdraw your tender of original notes at any time prior to the expiration time by delivering a written notice of withdrawal to the exchange agent in accordance with the procedures described under “The Exchange Offer-Withdrawal of Tenders.”</w:t>
      </w:r>
    </w:p>
    <w:p>
      <w:pPr>
        <w:sectPr>
          <w:pgSz w:w="11900" w:h="16838" w:orient="portrait"/>
          <w:cols w:equalWidth="0" w:num="2">
            <w:col w:w="2500" w:space="720"/>
            <w:col w:w="5819"/>
          </w:cols>
          <w:pgMar w:left="1420" w:top="1246" w:right="1440"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4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04775"/>
                    </a:xfrm>
                    <a:prstGeom prst="rect">
                      <a:avLst/>
                    </a:prstGeom>
                    <a:noFill/>
                  </pic:spPr>
                </pic:pic>
              </a:graphicData>
            </a:graphic>
          </wp:anchor>
        </w:drawing>
        <w:t>3</w:t>
      </w:r>
    </w:p>
    <w:p>
      <w:pPr>
        <w:sectPr>
          <w:pgSz w:w="11900" w:h="16838" w:orient="portrait"/>
          <w:cols w:equalWidth="0" w:num="1">
            <w:col w:w="9019"/>
          </w:cols>
          <w:pgMar w:left="1440" w:top="530"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ind w:right="779"/>
        <w:spacing w:after="0" w:line="293" w:lineRule="auto"/>
        <w:rPr>
          <w:sz w:val="20"/>
          <w:szCs w:val="20"/>
          <w:color w:val="auto"/>
        </w:rPr>
      </w:pPr>
      <w:r>
        <w:rPr>
          <w:rFonts w:ascii="Arial" w:cs="Arial" w:eastAsia="Arial" w:hAnsi="Arial"/>
          <w:sz w:val="16"/>
          <w:szCs w:val="16"/>
          <w:color w:val="auto"/>
        </w:rPr>
        <w:t>The exchange offer is subject to customary conditions, some of which we may waive. The exchange offer is not conditioned upon the tender of any minimum principal amount of original notes. We reserve the right to amend or terminate the exchange offer at any time prior to the expiration time if any condition to the exchange offer is not satisfied. See “The Exchange Offer-Conditions to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-1405255</wp:posOffset>
            </wp:positionV>
            <wp:extent cx="7250430" cy="822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2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Acceptance of Original Notes and Delivery Subject to satisfaction or waiver of the conditions to the exchange offer,</w:t>
      </w:r>
    </w:p>
    <w:p>
      <w:pPr>
        <w:spacing w:after="0" w:line="46" w:lineRule="exact"/>
        <w:rPr>
          <w:sz w:val="20"/>
          <w:szCs w:val="20"/>
          <w:color w:val="auto"/>
        </w:rPr>
      </w:pPr>
    </w:p>
    <w:p>
      <w:pPr>
        <w:ind w:left="3220" w:right="679" w:hanging="3213"/>
        <w:spacing w:after="0" w:line="295" w:lineRule="auto"/>
        <w:tabs>
          <w:tab w:leader="none" w:pos="3200" w:val="left"/>
        </w:tabs>
        <w:rPr>
          <w:sz w:val="20"/>
          <w:szCs w:val="20"/>
          <w:color w:val="auto"/>
        </w:rPr>
      </w:pPr>
      <w:r>
        <w:rPr>
          <w:rFonts w:ascii="Arial" w:cs="Arial" w:eastAsia="Arial" w:hAnsi="Arial"/>
          <w:sz w:val="18"/>
          <w:szCs w:val="18"/>
          <w:color w:val="auto"/>
        </w:rPr>
        <w:t>of Exchange Notes</w:t>
      </w:r>
      <w:r>
        <w:rPr>
          <w:sz w:val="20"/>
          <w:szCs w:val="20"/>
          <w:color w:val="auto"/>
        </w:rPr>
        <w:tab/>
      </w:r>
      <w:r>
        <w:rPr>
          <w:rFonts w:ascii="Arial" w:cs="Arial" w:eastAsia="Arial" w:hAnsi="Arial"/>
          <w:sz w:val="16"/>
          <w:szCs w:val="16"/>
          <w:color w:val="auto"/>
        </w:rPr>
        <w:t>promptly following the expiration time, we will accept any and all original notes that are validly tendered and not validly withdrawn and will issue the exchange notes. See “The Exchange Offer-Acceptance of Original Notes for Exchange; Delivery of Exchange Notes.”</w:t>
      </w:r>
    </w:p>
    <w:p>
      <w:pPr>
        <w:sectPr>
          <w:pgSz w:w="11900" w:h="16838" w:orient="portrait"/>
          <w:cols w:equalWidth="0" w:num="1">
            <w:col w:w="9039"/>
          </w:cols>
          <w:pgMar w:left="1420" w:top="1246"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Resales of Exchange Notes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659"/>
        <w:spacing w:after="0" w:line="259" w:lineRule="auto"/>
        <w:rPr>
          <w:sz w:val="20"/>
          <w:szCs w:val="20"/>
          <w:color w:val="auto"/>
        </w:rPr>
      </w:pPr>
      <w:r>
        <w:rPr>
          <w:rFonts w:ascii="Arial" w:cs="Arial" w:eastAsia="Arial" w:hAnsi="Arial"/>
          <w:sz w:val="18"/>
          <w:szCs w:val="18"/>
          <w:color w:val="auto"/>
        </w:rPr>
        <w:t>We believe that the exchange notes issued in the exchange offer may be offered for resale, resold or otherwise transferred by you without compliance with the registration and prospectus delivery requirements of the Securities Act, provided that:</w:t>
      </w:r>
    </w:p>
    <w:p>
      <w:pPr>
        <w:spacing w:after="0" w:line="16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ind w:left="3480"/>
        <w:spacing w:after="0"/>
        <w:rPr>
          <w:sz w:val="20"/>
          <w:szCs w:val="20"/>
          <w:color w:val="auto"/>
        </w:rPr>
      </w:pPr>
      <w:r>
        <w:rPr>
          <w:rFonts w:ascii="Arial" w:cs="Arial" w:eastAsia="Arial" w:hAnsi="Arial"/>
          <w:sz w:val="16"/>
          <w:szCs w:val="16"/>
          <w:color w:val="auto"/>
        </w:rPr>
        <w:t>ž you acquire the exchange notes in the ordinary course of your business;</w:t>
      </w:r>
    </w:p>
    <w:p>
      <w:pPr>
        <w:spacing w:after="0" w:line="86" w:lineRule="exact"/>
        <w:rPr>
          <w:sz w:val="20"/>
          <w:szCs w:val="20"/>
          <w:color w:val="auto"/>
        </w:rPr>
      </w:pPr>
    </w:p>
    <w:p>
      <w:pPr>
        <w:ind w:left="3740" w:right="79" w:hanging="242"/>
        <w:spacing w:after="0" w:line="259" w:lineRule="auto"/>
        <w:tabs>
          <w:tab w:leader="none" w:pos="3720" w:val="left"/>
        </w:tabs>
        <w:rPr>
          <w:sz w:val="20"/>
          <w:szCs w:val="20"/>
          <w:color w:val="auto"/>
        </w:rPr>
      </w:pPr>
      <w:r>
        <w:rPr>
          <w:rFonts w:ascii="Arial" w:cs="Arial" w:eastAsia="Arial" w:hAnsi="Arial"/>
          <w:sz w:val="18"/>
          <w:szCs w:val="18"/>
          <w:color w:val="auto"/>
        </w:rPr>
        <w:t>ž</w:t>
        <w:tab/>
        <w:t>you have no arrangement or understanding with any person to participate, you are not participating, and you do not intend to participate, in the distribution of the exchange notes (within the meaning of the Securities Act);</w:t>
      </w:r>
    </w:p>
    <w:p>
      <w:pPr>
        <w:spacing w:after="0" w:line="25" w:lineRule="exact"/>
        <w:rPr>
          <w:sz w:val="20"/>
          <w:szCs w:val="20"/>
          <w:color w:val="auto"/>
        </w:rPr>
      </w:pPr>
    </w:p>
    <w:p>
      <w:pPr>
        <w:ind w:left="3740" w:right="279" w:hanging="242"/>
        <w:spacing w:after="0" w:line="277" w:lineRule="auto"/>
        <w:rPr>
          <w:sz w:val="20"/>
          <w:szCs w:val="20"/>
          <w:color w:val="auto"/>
        </w:rPr>
      </w:pPr>
      <w:r>
        <w:rPr>
          <w:rFonts w:ascii="Arial" w:cs="Arial" w:eastAsia="Arial" w:hAnsi="Arial"/>
          <w:sz w:val="18"/>
          <w:szCs w:val="18"/>
          <w:color w:val="auto"/>
        </w:rPr>
        <w:t>ž you are not an “affiliate” (as such term is defined in Rule 405 under the Securities Act) of ours;</w:t>
      </w:r>
    </w:p>
    <w:p>
      <w:pPr>
        <w:spacing w:after="0" w:line="8" w:lineRule="exact"/>
        <w:rPr>
          <w:sz w:val="20"/>
          <w:szCs w:val="20"/>
          <w:color w:val="auto"/>
        </w:rPr>
      </w:pPr>
    </w:p>
    <w:p>
      <w:pPr>
        <w:ind w:left="3740" w:right="59" w:hanging="242"/>
        <w:spacing w:after="0" w:line="264" w:lineRule="auto"/>
        <w:rPr>
          <w:sz w:val="20"/>
          <w:szCs w:val="20"/>
          <w:color w:val="auto"/>
        </w:rPr>
      </w:pPr>
      <w:r>
        <w:rPr>
          <w:rFonts w:ascii="Arial" w:cs="Arial" w:eastAsia="Arial" w:hAnsi="Arial"/>
          <w:sz w:val="18"/>
          <w:szCs w:val="18"/>
          <w:color w:val="auto"/>
        </w:rPr>
        <w:t>ž you are not tendering original notes that have, or that are reasonably likely to have, the status of an unsold allotment of the initial placement of the original notes; and</w:t>
      </w:r>
    </w:p>
    <w:p>
      <w:pPr>
        <w:spacing w:after="0" w:line="19" w:lineRule="exact"/>
        <w:rPr>
          <w:sz w:val="20"/>
          <w:szCs w:val="20"/>
          <w:color w:val="auto"/>
        </w:rPr>
      </w:pPr>
    </w:p>
    <w:p>
      <w:pPr>
        <w:ind w:left="3740" w:right="59" w:hanging="242"/>
        <w:spacing w:after="0" w:line="257" w:lineRule="auto"/>
        <w:rPr>
          <w:sz w:val="20"/>
          <w:szCs w:val="20"/>
          <w:color w:val="auto"/>
        </w:rPr>
      </w:pPr>
      <w:r>
        <w:rPr>
          <w:rFonts w:ascii="Arial" w:cs="Arial" w:eastAsia="Arial" w:hAnsi="Arial"/>
          <w:sz w:val="18"/>
          <w:szCs w:val="18"/>
          <w:color w:val="auto"/>
        </w:rPr>
        <w:t>ž if you are a broker-dealer, (i) you receive the exchange notes for your own account, (ii) you acquired the original notes as a result of market-making activities or other trading activities and (iii) you deliver a prospectus meeting the requirements of the Securities Act in connection with any resale of such exchange notes.</w:t>
      </w:r>
    </w:p>
    <w:p>
      <w:pPr>
        <w:spacing w:after="0" w:line="161" w:lineRule="exact"/>
        <w:rPr>
          <w:sz w:val="20"/>
          <w:szCs w:val="20"/>
          <w:color w:val="auto"/>
        </w:rPr>
      </w:pPr>
    </w:p>
    <w:p>
      <w:pPr>
        <w:ind w:left="3220" w:right="839"/>
        <w:spacing w:after="0" w:line="259" w:lineRule="auto"/>
        <w:rPr>
          <w:sz w:val="20"/>
          <w:szCs w:val="20"/>
          <w:color w:val="auto"/>
        </w:rPr>
      </w:pPr>
      <w:r>
        <w:rPr>
          <w:rFonts w:ascii="Arial" w:cs="Arial" w:eastAsia="Arial" w:hAnsi="Arial"/>
          <w:sz w:val="18"/>
          <w:szCs w:val="18"/>
          <w:color w:val="auto"/>
        </w:rPr>
        <w:t>If you do not meet these requirements, you may not participate in the exchange offer, and any sale or transfer of your original notes must comply with the registration and prospectus delivery requirements of the Securities Act.</w:t>
      </w:r>
    </w:p>
    <w:p>
      <w:pPr>
        <w:spacing w:after="0" w:line="376" w:lineRule="exact"/>
        <w:rPr>
          <w:sz w:val="20"/>
          <w:szCs w:val="20"/>
          <w:color w:val="auto"/>
        </w:rPr>
      </w:pPr>
    </w:p>
    <w:p>
      <w:pPr>
        <w:ind w:left="3220" w:right="639"/>
        <w:spacing w:after="0" w:line="287" w:lineRule="auto"/>
        <w:rPr>
          <w:sz w:val="20"/>
          <w:szCs w:val="20"/>
          <w:color w:val="auto"/>
        </w:rPr>
      </w:pPr>
      <w:r>
        <w:rPr>
          <w:rFonts w:ascii="Arial" w:cs="Arial" w:eastAsia="Arial" w:hAnsi="Arial"/>
          <w:sz w:val="16"/>
          <w:szCs w:val="16"/>
          <w:color w:val="auto"/>
        </w:rPr>
        <w:t>Our belief is based on interpretations by the staff of the SEC contained in several no-action letters issued to third parties. The staff of the SEC has not considered this exchange offer in the context of a no-action letter, and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 See “The Exchange Offer-Resales of the Exchange Notes.”</w:t>
      </w:r>
    </w:p>
    <w:p>
      <w:pPr>
        <w:sectPr>
          <w:pgSz w:w="11900" w:h="16838" w:orient="portrait"/>
          <w:cols w:equalWidth="0" w:num="1">
            <w:col w:w="9039"/>
          </w:cols>
          <w:pgMar w:left="1420" w:top="124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39"/>
          </w:cols>
          <w:pgMar w:left="1420" w:top="1246" w:right="1440" w:bottom="1440" w:gutter="0" w:footer="0" w:header="0"/>
          <w:type w:val="continuous"/>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Broker-Dealer Prospectus Delivery Requirements</w:t>
      </w:r>
    </w:p>
    <w:p>
      <w:pPr>
        <w:spacing w:after="0" w:line="20" w:lineRule="exact"/>
        <w:rPr>
          <w:sz w:val="20"/>
          <w:szCs w:val="20"/>
          <w:color w:val="auto"/>
        </w:rPr>
      </w:pPr>
      <w:r>
        <w:rPr>
          <w:sz w:val="20"/>
          <w:szCs w:val="20"/>
          <w:color w:val="auto"/>
        </w:rPr>
        <w:br w:type="column"/>
      </w:r>
    </w:p>
    <w:p>
      <w:pPr>
        <w:ind w:right="639"/>
        <w:spacing w:after="0" w:line="293" w:lineRule="auto"/>
        <w:rPr>
          <w:sz w:val="20"/>
          <w:szCs w:val="20"/>
          <w:color w:val="auto"/>
        </w:rPr>
      </w:pPr>
      <w:r>
        <w:rPr>
          <w:rFonts w:ascii="Arial" w:cs="Arial" w:eastAsia="Arial" w:hAnsi="Arial"/>
          <w:sz w:val="16"/>
          <w:szCs w:val="16"/>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meeting the requirements of the Securities Act in connection with any resale of such exchange notes.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-1405255</wp:posOffset>
            </wp:positionV>
            <wp:extent cx="7250430" cy="683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838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680"/>
            <w:col w:w="5819"/>
          </w:cols>
          <w:pgMar w:left="1420" w:top="1246" w:right="1440"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Failure to Exchange Your If you do not exchange your original notes in the exchange offer, your</w:t>
      </w:r>
    </w:p>
    <w:p>
      <w:pPr>
        <w:spacing w:after="0" w:line="46" w:lineRule="exact"/>
        <w:rPr>
          <w:sz w:val="20"/>
          <w:szCs w:val="20"/>
          <w:color w:val="auto"/>
        </w:rPr>
      </w:pPr>
    </w:p>
    <w:p>
      <w:pPr>
        <w:ind w:left="3220" w:right="639" w:hanging="3213"/>
        <w:spacing w:after="0" w:line="267" w:lineRule="auto"/>
        <w:tabs>
          <w:tab w:leader="none" w:pos="3200" w:val="left"/>
        </w:tabs>
        <w:rPr>
          <w:sz w:val="20"/>
          <w:szCs w:val="20"/>
          <w:color w:val="auto"/>
        </w:rPr>
      </w:pPr>
      <w:r>
        <w:rPr>
          <w:rFonts w:ascii="Arial" w:cs="Arial" w:eastAsia="Arial" w:hAnsi="Arial"/>
          <w:sz w:val="18"/>
          <w:szCs w:val="18"/>
          <w:color w:val="auto"/>
        </w:rPr>
        <w:t>Original Notes</w:t>
      </w:r>
      <w:r>
        <w:rPr>
          <w:sz w:val="20"/>
          <w:szCs w:val="20"/>
          <w:color w:val="auto"/>
        </w:rPr>
        <w:tab/>
      </w:r>
      <w:r>
        <w:rPr>
          <w:rFonts w:ascii="Arial" w:cs="Arial" w:eastAsia="Arial" w:hAnsi="Arial"/>
          <w:sz w:val="17"/>
          <w:szCs w:val="17"/>
          <w:color w:val="auto"/>
        </w:rPr>
        <w:t>original notes will continue to be subject to the restrictions on transfer set forth in the indenture and the legend on the original notes. In general, the original notes may not be offered, resold or otherwise transferred unless they are registered under the Securities Act or offered or sold under an exemption from, or in a transaction not subject to, the registration requirements of the Securities Act and applicable state securities laws. If a substantial amount of the original notes is tendered and accepted for exchange, the liquidity and trading market for the original notes that you continue to own may be significantly limited. See “The Exchange Offer-Consequences of Failure to Exchange Original Notes.”</w:t>
      </w:r>
    </w:p>
    <w:p>
      <w:pPr>
        <w:sectPr>
          <w:pgSz w:w="11900" w:h="16838" w:orient="portrait"/>
          <w:cols w:equalWidth="0" w:num="1">
            <w:col w:w="9039"/>
          </w:cols>
          <w:pgMar w:left="1420" w:top="1246" w:right="1440" w:bottom="1440" w:gutter="0" w:footer="0" w:header="0"/>
          <w:type w:val="continuous"/>
        </w:sect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639"/>
        <w:spacing w:after="0" w:line="257" w:lineRule="auto"/>
        <w:rPr>
          <w:sz w:val="20"/>
          <w:szCs w:val="20"/>
          <w:color w:val="auto"/>
        </w:rPr>
      </w:pPr>
      <w:r>
        <w:rPr>
          <w:rFonts w:ascii="Arial" w:cs="Arial" w:eastAsia="Arial" w:hAnsi="Arial"/>
          <w:sz w:val="18"/>
          <w:szCs w:val="18"/>
          <w:color w:val="auto"/>
        </w:rPr>
        <w:t>We are making the exchange offer to satisfy our obligations under the registration rights agreement. After the exchange offer is consummated, except in limited circumstances, you will no longer be entitled to any exchange or registration rights with respect to any original notes that you continue to own.</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U.S. Federal Income Tax Consequences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ind w:right="799"/>
        <w:spacing w:after="0" w:line="264" w:lineRule="auto"/>
        <w:rPr>
          <w:sz w:val="20"/>
          <w:szCs w:val="20"/>
          <w:color w:val="auto"/>
        </w:rPr>
      </w:pPr>
      <w:r>
        <w:rPr>
          <w:rFonts w:ascii="Arial" w:cs="Arial" w:eastAsia="Arial" w:hAnsi="Arial"/>
          <w:sz w:val="18"/>
          <w:szCs w:val="18"/>
          <w:color w:val="auto"/>
        </w:rPr>
        <w:t>The exchange of your original notes for exchange notes will not be a taxable event for U.S. federal income tax purposes. See “Certain U.S. Federal Income Tax Consequences.”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Dissenters’ Rights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79"/>
        <w:spacing w:after="0" w:line="277" w:lineRule="auto"/>
        <w:rPr>
          <w:sz w:val="20"/>
          <w:szCs w:val="20"/>
          <w:color w:val="auto"/>
        </w:rPr>
      </w:pPr>
      <w:r>
        <w:rPr>
          <w:rFonts w:ascii="Arial" w:cs="Arial" w:eastAsia="Arial" w:hAnsi="Arial"/>
          <w:sz w:val="18"/>
          <w:szCs w:val="18"/>
          <w:color w:val="auto"/>
        </w:rPr>
        <w:t>Holders do not have any appraisal or dissenters’ rights in connection with the exchange offer.</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639"/>
        <w:spacing w:after="0" w:line="308" w:lineRule="auto"/>
        <w:rPr>
          <w:sz w:val="20"/>
          <w:szCs w:val="20"/>
          <w:color w:val="auto"/>
        </w:rPr>
      </w:pPr>
      <w:r>
        <w:rPr>
          <w:rFonts w:ascii="Arial" w:cs="Arial" w:eastAsia="Arial" w:hAnsi="Arial"/>
          <w:sz w:val="17"/>
          <w:szCs w:val="17"/>
          <w:color w:val="auto"/>
        </w:rPr>
        <w:t>U.S. Bank National Association is serving as the exchange agent for the exchange offer. See “The Exchange Offer-Exchange Agent.”</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679"/>
        <w:spacing w:after="0" w:line="277" w:lineRule="auto"/>
        <w:rPr>
          <w:sz w:val="20"/>
          <w:szCs w:val="20"/>
          <w:color w:val="auto"/>
        </w:rPr>
      </w:pPr>
      <w:r>
        <w:rPr>
          <w:rFonts w:ascii="Arial" w:cs="Arial" w:eastAsia="Arial" w:hAnsi="Arial"/>
          <w:sz w:val="18"/>
          <w:szCs w:val="18"/>
          <w:color w:val="auto"/>
        </w:rPr>
        <w:t>We will receive no proceeds from the issuance of exchange notes in the exchange offer. See “Use of Proceeds.”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39"/>
          </w:cols>
          <w:pgMar w:left="1420" w:top="1246" w:right="1440" w:bottom="1440" w:gutter="0" w:footer="0" w:header="0"/>
          <w:type w:val="continuous"/>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860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605520"/>
                    </a:xfrm>
                    <a:prstGeom prst="rect">
                      <a:avLst/>
                    </a:prstGeom>
                    <a:noFill/>
                  </pic:spPr>
                </pic:pic>
              </a:graphicData>
            </a:graphic>
          </wp:anchor>
        </w:drawing>
        <w:t>The Exchange Notes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The terms of the exchange notes are substantially identical to the terms of the original notes, except that the exchange notes have been registered under the Securities Act and, therefore, will not be subject to the transfer restrictions, registration rights and additional interest provisions applicable to the original notes. This summary describes the principal terms of the exchange notes, certain of which are subject to important limitations and exceptions. For a more complete understanding of the exchange notes, please refer to the section of this prospectus entitled “Description of Notes.” In this section of the prospectus, unless otherwise indicated or required by the context, the terms “we,” “our,” “us,” the “Company,” and “Scotts” refer only to The Scotts Miracle-Gro Company and not any subsidiaries of The Scotts Miracle-Gro Company.</w:t>
      </w:r>
    </w:p>
    <w:p>
      <w:pPr>
        <w:spacing w:after="0" w:line="135" w:lineRule="exact"/>
        <w:rPr>
          <w:sz w:val="20"/>
          <w:szCs w:val="20"/>
          <w:color w:val="auto"/>
        </w:rPr>
      </w:pPr>
    </w:p>
    <w:p>
      <w:pPr>
        <w:ind w:left="720"/>
        <w:spacing w:after="0"/>
        <w:tabs>
          <w:tab w:leader="none" w:pos="41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The Scotts Miracle-Gro Company.</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Notes Offered</w:t>
      </w:r>
      <w:r>
        <w:rPr>
          <w:sz w:val="20"/>
          <w:szCs w:val="20"/>
          <w:color w:val="auto"/>
        </w:rPr>
        <w:tab/>
      </w:r>
      <w:r>
        <w:rPr>
          <w:rFonts w:ascii="Arial" w:cs="Arial" w:eastAsia="Arial" w:hAnsi="Arial"/>
          <w:sz w:val="16"/>
          <w:szCs w:val="16"/>
          <w:color w:val="auto"/>
        </w:rPr>
        <w:t>$250 million aggregate principal amount of 5.250% Senior Notes due</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2026 (the “exchange notes”).</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Maturity</w:t>
      </w:r>
      <w:r>
        <w:rPr>
          <w:sz w:val="20"/>
          <w:szCs w:val="20"/>
          <w:color w:val="auto"/>
        </w:rPr>
        <w:tab/>
      </w:r>
      <w:r>
        <w:rPr>
          <w:rFonts w:ascii="Arial" w:cs="Arial" w:eastAsia="Arial" w:hAnsi="Arial"/>
          <w:sz w:val="18"/>
          <w:szCs w:val="18"/>
          <w:color w:val="auto"/>
        </w:rPr>
        <w:t>December 15, 2026.</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Interest</w:t>
      </w:r>
      <w:r>
        <w:rPr>
          <w:sz w:val="20"/>
          <w:szCs w:val="20"/>
          <w:color w:val="auto"/>
        </w:rPr>
        <w:tab/>
      </w:r>
      <w:r>
        <w:rPr>
          <w:rFonts w:ascii="Arial" w:cs="Arial" w:eastAsia="Arial" w:hAnsi="Arial"/>
          <w:sz w:val="18"/>
          <w:szCs w:val="18"/>
          <w:color w:val="auto"/>
        </w:rPr>
        <w:t>The exchange notes will bear interest at a rate of 5.250% per annum.</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Interest on the exchange notes will be payable semi-annually in cash in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arrears on each June 15 and December 15, commencing on June 15,</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2017.</w:t>
      </w:r>
    </w:p>
    <w:p>
      <w:pPr>
        <w:spacing w:after="0" w:line="400"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At any time prior to December 15, 2019, the Company may on one or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more occasions redeem up to 35% of the notes with the net cash</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proceeds of certain equity offerings at the redemption price, plus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accrued and unpaid interest at the date of redemption, as set forth under</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“Description of Notes-Optional Redemption.”</w:t>
      </w:r>
    </w:p>
    <w:p>
      <w:pPr>
        <w:spacing w:after="0" w:line="400" w:lineRule="exact"/>
        <w:rPr>
          <w:sz w:val="20"/>
          <w:szCs w:val="20"/>
          <w:color w:val="auto"/>
        </w:rPr>
      </w:pPr>
    </w:p>
    <w:p>
      <w:pPr>
        <w:ind w:left="3880" w:right="1260"/>
        <w:spacing w:after="0" w:line="271" w:lineRule="auto"/>
        <w:rPr>
          <w:sz w:val="20"/>
          <w:szCs w:val="20"/>
          <w:color w:val="auto"/>
        </w:rPr>
      </w:pPr>
      <w:r>
        <w:rPr>
          <w:rFonts w:ascii="Arial" w:cs="Arial" w:eastAsia="Arial" w:hAnsi="Arial"/>
          <w:sz w:val="17"/>
          <w:szCs w:val="17"/>
          <w:color w:val="auto"/>
        </w:rPr>
        <w:t>At any time prior to December 15, 2021, the Company may redeem the notes, in whole or in part, at a “make-whole” redemption price, plus accrued and unpaid interest to the date of redemption, as set forth under “Description of Notes-Optional Redemption.” On and after December 15, 2021, the Company may redeem the notes, in whole or in part, at the redemption prices plus accrued and unpaid interest to the date of redemption, as set forth under “Description of Notes-Optional Redemption.”</w:t>
      </w:r>
    </w:p>
    <w:p>
      <w:pPr>
        <w:spacing w:after="0" w:line="368"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Change of Control</w:t>
      </w:r>
      <w:r>
        <w:rPr>
          <w:sz w:val="20"/>
          <w:szCs w:val="20"/>
          <w:color w:val="auto"/>
        </w:rPr>
        <w:tab/>
      </w:r>
      <w:r>
        <w:rPr>
          <w:rFonts w:ascii="Arial" w:cs="Arial" w:eastAsia="Arial" w:hAnsi="Arial"/>
          <w:sz w:val="16"/>
          <w:szCs w:val="16"/>
          <w:color w:val="auto"/>
        </w:rPr>
        <w:t>If we experience specific kinds of changes of control and we have not</w:t>
      </w:r>
    </w:p>
    <w:p>
      <w:pPr>
        <w:spacing w:after="0" w:line="23" w:lineRule="exact"/>
        <w:rPr>
          <w:sz w:val="20"/>
          <w:szCs w:val="20"/>
          <w:color w:val="auto"/>
        </w:rPr>
      </w:pPr>
    </w:p>
    <w:p>
      <w:pPr>
        <w:ind w:left="3880" w:right="1260"/>
        <w:spacing w:after="0" w:line="270" w:lineRule="auto"/>
        <w:rPr>
          <w:sz w:val="20"/>
          <w:szCs w:val="20"/>
          <w:color w:val="auto"/>
        </w:rPr>
      </w:pPr>
      <w:r>
        <w:rPr>
          <w:rFonts w:ascii="Arial" w:cs="Arial" w:eastAsia="Arial" w:hAnsi="Arial"/>
          <w:sz w:val="17"/>
          <w:szCs w:val="17"/>
          <w:color w:val="auto"/>
        </w:rPr>
        <w:t>previously exercised our right to redeem all of the outstanding notes as described under “Description of Notes-Optional Redemption,” we will be required to make an offer to purchase all of the notes at a purchase price of 101% of the principal amount, plus accrued and unpaid interest to the date of repurchase, as set forth under “Description of Notes-Change of Control.”</w:t>
      </w:r>
    </w:p>
    <w:p>
      <w:pPr>
        <w:spacing w:after="0" w:line="368" w:lineRule="exact"/>
        <w:rPr>
          <w:sz w:val="20"/>
          <w:szCs w:val="20"/>
          <w:color w:val="auto"/>
        </w:rPr>
      </w:pPr>
    </w:p>
    <w:p>
      <w:pPr>
        <w:ind w:left="660"/>
        <w:spacing w:after="0"/>
        <w:tabs>
          <w:tab w:leader="none" w:pos="3860" w:val="left"/>
        </w:tabs>
        <w:rPr>
          <w:sz w:val="20"/>
          <w:szCs w:val="20"/>
          <w:color w:val="auto"/>
        </w:rPr>
      </w:pPr>
      <w:r>
        <w:rPr>
          <w:rFonts w:ascii="Arial" w:cs="Arial" w:eastAsia="Arial" w:hAnsi="Arial"/>
          <w:sz w:val="18"/>
          <w:szCs w:val="18"/>
          <w:color w:val="auto"/>
        </w:rPr>
        <w:t>Guarantees</w:t>
      </w:r>
      <w:r>
        <w:rPr>
          <w:sz w:val="20"/>
          <w:szCs w:val="20"/>
          <w:color w:val="auto"/>
        </w:rPr>
        <w:tab/>
      </w:r>
      <w:r>
        <w:rPr>
          <w:rFonts w:ascii="Arial" w:cs="Arial" w:eastAsia="Arial" w:hAnsi="Arial"/>
          <w:sz w:val="18"/>
          <w:szCs w:val="18"/>
          <w:color w:val="auto"/>
        </w:rPr>
        <w:t>The exchange notes will be fully and unconditionally guaranteed on a</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unsecured basis by all of our subsidiaries that have guaranteed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original notes. Our non-guarantor subsidiaries generated 19.4%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our consolidated net sales and 5.5% of our consolidated net income for</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the fiscal year ended September 30, 2016 and accounted for 24.9%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our consolidated assets and 23.8% of our consolidated liabilities as of</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December 31, 2016.</w:t>
      </w:r>
    </w:p>
    <w:p>
      <w:pPr>
        <w:sectPr>
          <w:pgSz w:w="11900" w:h="16838" w:orient="portrait"/>
          <w:cols w:equalWidth="0" w:num="1">
            <w:col w:w="10300"/>
          </w:cols>
          <w:pgMar w:left="760" w:top="864"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300"/>
          </w:cols>
          <w:pgMar w:left="760" w:top="864" w:right="8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exchange notes and the guarantees of the exchange notes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-666750</wp:posOffset>
            </wp:positionV>
            <wp:extent cx="7250430" cy="10363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103632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our and our subsidiary guarantors’ unsecured senior obligations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will: (i) rank equally in right of payment with all our and our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existing and future senior indebtedness; (ii) rank senior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of payment to all our and our subsidiary guarantors’ existing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subordinated indebtedness; and (iii) be effectively subordinated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all our and our subsidiary guarantors’ existing and future secured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indebtedness to the extent of the value of the assets securing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indebtedness, including our fourth amended and restated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dated October 29, 2015 (the “senior secured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senior secured credit agreement provides us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subsidiaries with five-year senior secured loan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aggregate principal amount of $1.9 billion, comprised of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of $1.6 billion (the “senior secured revolving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a term loan in the original principal amount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$300 million. The exchange notes will be structurally subordinated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liabilities of any of our subsidiaries that do not guarantee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notes.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179"/>
        <w:spacing w:after="0" w:line="264" w:lineRule="auto"/>
        <w:rPr>
          <w:sz w:val="20"/>
          <w:szCs w:val="20"/>
          <w:color w:val="auto"/>
        </w:rPr>
      </w:pPr>
      <w:r>
        <w:rPr>
          <w:rFonts w:ascii="Arial" w:cs="Arial" w:eastAsia="Arial" w:hAnsi="Arial"/>
          <w:sz w:val="18"/>
          <w:szCs w:val="18"/>
          <w:color w:val="auto"/>
        </w:rPr>
        <w:t>The indenture governing the notes includes, among other things, covenants that restrict our ability and the ability of our restricted subsidiaries to:</w:t>
      </w:r>
    </w:p>
    <w:p>
      <w:pPr>
        <w:spacing w:after="0" w:line="154"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ind w:left="3480"/>
        <w:spacing w:after="0"/>
        <w:rPr>
          <w:sz w:val="20"/>
          <w:szCs w:val="20"/>
          <w:color w:val="auto"/>
        </w:rPr>
      </w:pPr>
      <w:r>
        <w:rPr>
          <w:rFonts w:ascii="Arial" w:cs="Arial" w:eastAsia="Arial" w:hAnsi="Arial"/>
          <w:sz w:val="18"/>
          <w:szCs w:val="18"/>
          <w:color w:val="auto"/>
        </w:rPr>
        <w:t>ž incur additional indebtedness and issue certain preferred shares;</w:t>
      </w:r>
    </w:p>
    <w:p>
      <w:pPr>
        <w:spacing w:after="0" w:line="63" w:lineRule="exact"/>
        <w:rPr>
          <w:sz w:val="20"/>
          <w:szCs w:val="20"/>
          <w:color w:val="auto"/>
        </w:rPr>
      </w:pPr>
    </w:p>
    <w:p>
      <w:pPr>
        <w:ind w:left="3480"/>
        <w:spacing w:after="0"/>
        <w:tabs>
          <w:tab w:leader="none" w:pos="3780" w:val="left"/>
        </w:tabs>
        <w:rPr>
          <w:sz w:val="20"/>
          <w:szCs w:val="20"/>
          <w:color w:val="auto"/>
        </w:rPr>
      </w:pPr>
      <w:r>
        <w:rPr>
          <w:rFonts w:ascii="Arial" w:cs="Arial" w:eastAsia="Arial" w:hAnsi="Arial"/>
          <w:sz w:val="16"/>
          <w:szCs w:val="16"/>
          <w:color w:val="auto"/>
        </w:rPr>
        <w:t>ž</w:t>
        <w:tab/>
        <w:t>make certain distributions, investments and other restricted payments;</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sell certain assets;</w:t>
      </w:r>
    </w:p>
    <w:p>
      <w:pPr>
        <w:spacing w:after="0" w:line="63" w:lineRule="exact"/>
        <w:rPr>
          <w:sz w:val="20"/>
          <w:szCs w:val="20"/>
          <w:color w:val="auto"/>
        </w:rPr>
      </w:pPr>
    </w:p>
    <w:p>
      <w:pPr>
        <w:ind w:left="3740" w:right="119" w:hanging="242"/>
        <w:spacing w:after="0" w:line="277" w:lineRule="auto"/>
        <w:tabs>
          <w:tab w:leader="none" w:pos="3720" w:val="left"/>
        </w:tabs>
        <w:rPr>
          <w:sz w:val="20"/>
          <w:szCs w:val="20"/>
          <w:color w:val="auto"/>
        </w:rPr>
      </w:pPr>
      <w:r>
        <w:rPr>
          <w:rFonts w:ascii="Arial" w:cs="Arial" w:eastAsia="Arial" w:hAnsi="Arial"/>
          <w:sz w:val="18"/>
          <w:szCs w:val="18"/>
          <w:color w:val="auto"/>
        </w:rPr>
        <w:t>ž</w:t>
        <w:tab/>
        <w:t>agree to restrictions on the ability of our restricted subsidiaries to make payments to us;</w:t>
      </w:r>
    </w:p>
    <w:p>
      <w:pPr>
        <w:spacing w:after="0" w:line="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create liens and enter into sale-leaseback transactions;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merge, consolidate or sell substantially all of our assets; and</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ž enter into certain transactions with affiliates.</w:t>
      </w:r>
    </w:p>
    <w:p>
      <w:pPr>
        <w:spacing w:after="0" w:line="200" w:lineRule="exact"/>
        <w:rPr>
          <w:sz w:val="20"/>
          <w:szCs w:val="20"/>
          <w:color w:val="auto"/>
        </w:rPr>
      </w:pPr>
    </w:p>
    <w:p>
      <w:pPr>
        <w:spacing w:after="0" w:line="214" w:lineRule="exact"/>
        <w:rPr>
          <w:sz w:val="20"/>
          <w:szCs w:val="20"/>
          <w:color w:val="auto"/>
        </w:rPr>
      </w:pPr>
    </w:p>
    <w:p>
      <w:pPr>
        <w:ind w:left="3220" w:right="719"/>
        <w:spacing w:after="0" w:line="342" w:lineRule="auto"/>
        <w:rPr>
          <w:sz w:val="20"/>
          <w:szCs w:val="20"/>
          <w:color w:val="auto"/>
        </w:rPr>
      </w:pPr>
      <w:r>
        <w:rPr>
          <w:rFonts w:ascii="Arial" w:cs="Arial" w:eastAsia="Arial" w:hAnsi="Arial"/>
          <w:sz w:val="16"/>
          <w:szCs w:val="16"/>
          <w:color w:val="auto"/>
        </w:rPr>
        <w:t>These covenants are subject to important exceptions and qualifications that are described under “Description of Notes-Certain Covenants.”</w:t>
      </w:r>
    </w:p>
    <w:p>
      <w:pPr>
        <w:spacing w:after="0" w:line="313" w:lineRule="exact"/>
        <w:rPr>
          <w:sz w:val="20"/>
          <w:szCs w:val="20"/>
          <w:color w:val="auto"/>
        </w:rPr>
      </w:pPr>
    </w:p>
    <w:p>
      <w:pPr>
        <w:ind w:left="3220" w:right="779"/>
        <w:spacing w:after="0" w:line="257" w:lineRule="auto"/>
        <w:rPr>
          <w:sz w:val="20"/>
          <w:szCs w:val="20"/>
          <w:color w:val="auto"/>
        </w:rPr>
      </w:pPr>
      <w:r>
        <w:rPr>
          <w:rFonts w:ascii="Arial" w:cs="Arial" w:eastAsia="Arial" w:hAnsi="Arial"/>
          <w:sz w:val="18"/>
          <w:szCs w:val="18"/>
          <w:color w:val="auto"/>
        </w:rPr>
        <w:t>If the notes receive an investment grade rating by both Moody’s and Standard &amp; Poor’s and no default or event of default has occurred and is continuing, then our obligation to comply with certain of these covenants will be suspended. See “Description of Notes-Certain Covenants.”</w:t>
      </w:r>
    </w:p>
    <w:p>
      <w:pPr>
        <w:sectPr>
          <w:pgSz w:w="11900" w:h="16838" w:orient="portrait"/>
          <w:cols w:equalWidth="0" w:num="1">
            <w:col w:w="9039"/>
          </w:cols>
          <w:pgMar w:left="1420" w:top="1246" w:right="1440" w:bottom="0" w:gutter="0" w:footer="0" w:header="0"/>
          <w:type w:val="continuous"/>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Absence of an Established Trading Market</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679"/>
        <w:spacing w:after="0" w:line="255" w:lineRule="auto"/>
        <w:rPr>
          <w:sz w:val="20"/>
          <w:szCs w:val="20"/>
          <w:color w:val="auto"/>
        </w:rPr>
      </w:pPr>
      <w:r>
        <w:rPr>
          <w:rFonts w:ascii="Arial" w:cs="Arial" w:eastAsia="Arial" w:hAnsi="Arial"/>
          <w:sz w:val="18"/>
          <w:szCs w:val="18"/>
          <w:color w:val="auto"/>
        </w:rPr>
        <w:t>The exchange notes will be a new class of securities for which no public market currently exists. We do not intend to apply for the exchange notes to be listed on any securities exchange or to arrange for their quotation on any automated dealer quotation system. We cannot assure you that any active or liquid market for the exchange notes will develop or be maintained.</w:t>
      </w:r>
    </w:p>
    <w:p>
      <w:pPr>
        <w:spacing w:after="0" w:line="200" w:lineRule="exact"/>
        <w:rPr>
          <w:sz w:val="20"/>
          <w:szCs w:val="20"/>
          <w:color w:val="auto"/>
        </w:rPr>
      </w:pPr>
    </w:p>
    <w:p>
      <w:pPr>
        <w:sectPr>
          <w:pgSz w:w="11900" w:h="16838" w:orient="portrait"/>
          <w:cols w:equalWidth="0" w:num="2">
            <w:col w:w="3080" w:space="140"/>
            <w:col w:w="5819"/>
          </w:cols>
          <w:pgMar w:left="1420" w:top="1246" w:right="1440" w:bottom="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Book-Entry Form</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679"/>
        <w:spacing w:after="0" w:line="273" w:lineRule="auto"/>
        <w:rPr>
          <w:sz w:val="20"/>
          <w:szCs w:val="20"/>
          <w:color w:val="auto"/>
        </w:rPr>
      </w:pPr>
      <w:r>
        <w:rPr>
          <w:rFonts w:ascii="Arial" w:cs="Arial" w:eastAsia="Arial" w:hAnsi="Arial"/>
          <w:sz w:val="17"/>
          <w:szCs w:val="17"/>
          <w:color w:val="auto"/>
        </w:rPr>
        <w:t>The exchange notes will be issued in book-entry form and will be represented by one or more global notes deposited with a custodian for, and registered in the name of a nominee of, DTC, as depositary. Beneficial interests in the exchange notes will be shown on, and transfers of the exchange notes will be effected only through, records maintained in book-entry form by DTC and its participants.</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2500" w:space="720"/>
            <w:col w:w="5819"/>
          </w:cols>
          <w:pgMar w:left="1420" w:top="1246" w:right="1440"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659"/>
        <w:spacing w:after="0" w:line="258" w:lineRule="auto"/>
        <w:rPr>
          <w:sz w:val="20"/>
          <w:szCs w:val="20"/>
          <w:color w:val="auto"/>
        </w:rPr>
      </w:pPr>
      <w:r>
        <w:rPr>
          <w:rFonts w:ascii="Arial" w:cs="Arial" w:eastAsia="Arial" w:hAnsi="Arial"/>
          <w:sz w:val="18"/>
          <w:szCs w:val="18"/>
          <w:b w:val="1"/>
          <w:bCs w:val="1"/>
          <w:color w:val="auto"/>
        </w:rPr>
        <w:t>You should carefully consider all of the information contained and incorporated by reference in this prospectus before deciding whether to participate in the exchange offer. See “Risk Factors” for a discussion of certain risks you should consider in making your investment decision.</w:t>
      </w:r>
    </w:p>
    <w:p>
      <w:pPr>
        <w:sectPr>
          <w:pgSz w:w="11900" w:h="16838" w:orient="portrait"/>
          <w:cols w:equalWidth="0" w:num="2">
            <w:col w:w="2500" w:space="720"/>
            <w:col w:w="5819"/>
          </w:cols>
          <w:pgMar w:left="1420" w:top="1246" w:right="1440"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0485"/>
                    </a:xfrm>
                    <a:prstGeom prst="rect">
                      <a:avLst/>
                    </a:prstGeom>
                    <a:noFill/>
                  </pic:spPr>
                </pic:pic>
              </a:graphicData>
            </a:graphic>
          </wp:anchor>
        </w:drawing>
        <w:t>7</w:t>
      </w:r>
    </w:p>
    <w:p>
      <w:pPr>
        <w:sectPr>
          <w:pgSz w:w="11900" w:h="16838" w:orient="portrait"/>
          <w:cols w:equalWidth="0" w:num="1">
            <w:col w:w="9019"/>
          </w:cols>
          <w:pgMar w:left="1440" w:top="476" w:right="1440"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or incorporated by reference in this prospectus, before deciding whether to participate in the exchange offer. The occurrence of any of the following risks could materially and adversely affect our business, financial condition, prospects, results of operations and cash flows, which in turn could adversely affect our ability to repay the notes. Additional risks and uncertainties not currently known to us or that we currently deem to be immaterial may also materially adversely affect our business, financial condition, prospects, results of operations and cash flows. Any of these risks could cause actual results to differ materially from those indicated by forward-looking statements made in this prospectus and presented elsewhere by management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Notes and the Exchange Offer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your original notes if you do not exchange them for exchange notes in the exchange offer.</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you do not exchange your original notes for exchange notes in the exchange offer, your original notes will continue to be subject to the restrictions on transfer as stated in the indenture and the legend on the original notes. In general, you may not offer, resell or otherwise transfer the original notes in the United States unless they are:</w:t>
      </w:r>
    </w:p>
    <w:p>
      <w:pPr>
        <w:spacing w:after="0" w:line="181" w:lineRule="exact"/>
        <w:rPr>
          <w:sz w:val="20"/>
          <w:szCs w:val="20"/>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registered under the Securities Act;</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under an exemption from the registration requirements of the Securities Act and applicable state securities laws; or</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in a transaction not subject to the registration requirements of the Securities Act and applicable state securities laws.</w:t>
      </w:r>
    </w:p>
    <w:p>
      <w:pPr>
        <w:spacing w:after="0" w:line="2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do not currently anticipate that we will register the original notes that are not exchanged in the exchange offer under the Securities Act or any state securities laws.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Holders of the original notes who do not tender their original notes will generally have no further registration rights under the registration rights agreement.</w:t>
      </w:r>
    </w:p>
    <w:p>
      <w:pPr>
        <w:spacing w:after="0" w:line="17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Once the exchange offer is consummated, holders who do not tender their original notes will not, except in limited circumstances, have any further registration rights under the registration rights agreement. 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If you are eligible to participate in the exchange offer, you should not decline to do so based on the assumption that a shelf registration statement will be on file and effective when you intend to resell your original notes.</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market for the original notes may be significantly limited after the exchange offer, and you may be unable to sell your original notes after the exchange offer.</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a substantial amount of the original notes is tendered and accepted for exchange in the exchange offer, the trading market for the original notes that remain outstanding may be significantly limited. As a result, the liquidity of the original notes not tendered for exchange could be adversely affected. The extent of the market for the original notes and the availability of price quotations for the original notes will depend upon a number of factors, including the number of holders and the amount of original notes remaining outstanding and the interest of securities firms in maintaining a market in the original notes. If a substantially smaller amount of original notes remains outstanding after the exchange offer, the trading price for such remaining original notes may decline and become more volatile.</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you fail to follow the exchange offer procedures, your original notes may not be accepted for exchange, and if your original notes are not accepted for exchange, they will continue to be subject to their existing transfer restrictions and you may be unable to sell them.</w:t>
      </w:r>
    </w:p>
    <w:p>
      <w:pPr>
        <w:spacing w:after="0" w:line="14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are not required to accept your original notes for exchange if you do not comply with all of the exchange offer procedures. We are required to issue exchange notes in the exchange offer only upon satisfaction of the procedures described under “The Exchange Offer-Procedures for Tendering Original Notes.” Therefore, if you wish to tender your original notes, please carefully review the exchange offer procedures and allow sufficient time to ensure timely satisfaction of all such procedures. If we do not receive all required documentation at or prior to the expiration time, or if there are defects or irregularities with respect to your tender of original notes for exchange, we may not accept your original notes for exchange. Neither we nor the exchange agent are obligated to extend the expiration time or notify you of any defects or irregularities with respect to your tender of original notes for exchange.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64" w:right="27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We have the right to waive any defects or irregularities, but we are not obligated to do so. If we do not accept your original notes for exchange, your original notes will continue to be subject to their existing transfer restrictions and you may be unable to sell them.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holders who participate in the exchange offer must deliver a prospectus in connection with any resales of their exchange notes.</w:t>
      </w:r>
    </w:p>
    <w:p>
      <w:pPr>
        <w:spacing w:after="0" w:line="2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Based on interpretations of the staff of the SEC contained in several no-action letters issued to third parties, we believe that the exchange notes issued in the exchange offer may be offered for resale, resold or otherwise transferred by you without compliance with the registration and prospectus delivery requirements of the Securities Act, assuming the truth of certain representations required to be made by you as described under “The Exchange Offer-Procedures for Tendering Original Notes.” If you do not meet these requirements, you must comply with the registration and prospectus delivery requirements of the Securities Act in connection with any resale transaction. In addition, a broker-dealer that purchased original notes for its own account as part of market-making activities or other trading activities must deliver a prospectus meeting the requirements of the Securities Act whenever it sells any exchange notes it receives in the exchange offer.</w:t>
      </w:r>
    </w:p>
    <w:p>
      <w:pPr>
        <w:spacing w:after="0" w:line="18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indebtedness could limit our flexibility, adversely affect our financial condition and prevent us from making payments on the notes. The terms of our senior secured credit agreement and the indentures governing the notes and our 6.000% senior notes due 2023 (the “2023 notes”) impose significant operating and financial restrictions on us and our subsidiaries, which could also adversely affect our operating flexibility and put us at a competitive disadvantage by preventing us from capitalizing on business opportunities.</w:t>
      </w:r>
    </w:p>
    <w:p>
      <w:pPr>
        <w:spacing w:after="0" w:line="171" w:lineRule="exact"/>
        <w:rPr>
          <w:sz w:val="20"/>
          <w:szCs w:val="20"/>
          <w:color w:val="auto"/>
        </w:rPr>
      </w:pPr>
    </w:p>
    <w:p>
      <w:pPr>
        <w:jc w:val="both"/>
        <w:ind w:right="280" w:firstLine="432"/>
        <w:spacing w:after="0" w:line="279" w:lineRule="auto"/>
        <w:rPr>
          <w:sz w:val="20"/>
          <w:szCs w:val="20"/>
          <w:color w:val="auto"/>
        </w:rPr>
      </w:pPr>
      <w:r>
        <w:rPr>
          <w:rFonts w:ascii="Arial" w:cs="Arial" w:eastAsia="Arial" w:hAnsi="Arial"/>
          <w:sz w:val="17"/>
          <w:szCs w:val="17"/>
          <w:color w:val="auto"/>
        </w:rPr>
        <w:t>As December 31, 2016, we had $1,728.2 million of debt outstanding (excluding $25.9 million of letters of credit outstanding) and $845.6 million of debt was available to be borrowed under our senior secured revolving credit facility. Our inability to meet restrictive financial and non-financial covenants associated with our senior secured credit agreement and the indentures governing the notes and the 2023 notes, or to generate sufficient cash flow to repay maturing debt, could adversely affect our financial condition. For example, our debt level could:</w:t>
      </w:r>
    </w:p>
    <w:p>
      <w:pPr>
        <w:spacing w:after="0" w:line="171" w:lineRule="exact"/>
        <w:rPr>
          <w:sz w:val="20"/>
          <w:szCs w:val="20"/>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23"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9" w:lineRule="exact"/>
        <w:rPr>
          <w:rFonts w:ascii="Arial" w:cs="Arial" w:eastAsia="Arial" w:hAnsi="Arial"/>
          <w:sz w:val="18"/>
          <w:szCs w:val="18"/>
          <w:color w:val="auto"/>
        </w:rPr>
      </w:pPr>
    </w:p>
    <w:p>
      <w:pPr>
        <w:jc w:val="both"/>
        <w:ind w:left="1220" w:right="100" w:hanging="334"/>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9" w:lineRule="exact"/>
        <w:rPr>
          <w:rFonts w:ascii="Arial" w:cs="Arial" w:eastAsia="Arial" w:hAnsi="Arial"/>
          <w:sz w:val="18"/>
          <w:szCs w:val="18"/>
          <w:color w:val="auto"/>
        </w:rPr>
      </w:pPr>
    </w:p>
    <w:p>
      <w:pPr>
        <w:ind w:left="1220" w:right="120" w:hanging="334"/>
        <w:spacing w:after="0" w:line="250"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ind w:left="1220" w:hanging="33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1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ability to make payments on and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assure you that our business will generate sufficient cash flow from operating activities or that future borrowings will be available to us under our senior secured credit agreement in amounts sufficient to enable us to pay our indebtedness or to fund our other liquidity needs.</w:t>
      </w:r>
    </w:p>
    <w:p>
      <w:pPr>
        <w:spacing w:after="0" w:line="18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Our senior secured credit agreement and the indentures governing the notes and the 2023 notes contain restrictive covenants and cross-default provisions. In addition, our senior secured credit agreement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Any default under the agreements governing our indebtedness, including a default under the senior secured credit agreement or a default under the indentures governing the notes and the 2023 notes that is not waived by the required lenders and the holders, respectively, and the remedies sought by the required lenders and the holders, respectively, could render us unable to pay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principal and interest on the notes and substantially decrease the market value of the notes. See “Description of Certain Other Indebtedness” and “Description of Notes.”</w:t>
      </w:r>
    </w:p>
    <w:p>
      <w:pPr>
        <w:spacing w:after="0" w:line="1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Subject to compliance with certain covenants under our senior secured credit agreement and the indentures governing the notes and the 2023 notes, we may incur additional debt in the future. If we incur additional debt, the risks described above could intensify.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senior secured credit agreement and the indentures governing the notes and the 2023 notes impose significant operating and financial restrictions on us and our subsidiaries, which may prevent us from capitalizing on business opportunities.</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senior secured credit agreement and the indentures governing the notes and the 2023 notes contain affirmative and negative covenants that restrict, among other things, our and our restricted subsidiaries’ ability to:</w:t>
      </w:r>
    </w:p>
    <w:p>
      <w:pPr>
        <w:spacing w:after="0" w:line="170" w:lineRule="exact"/>
        <w:rPr>
          <w:sz w:val="20"/>
          <w:szCs w:val="20"/>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 or issue our preferred stock;</w:t>
      </w:r>
    </w:p>
    <w:p>
      <w:pPr>
        <w:spacing w:after="0" w:line="23"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pay dividends or make distributions to our stockholders;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repurchase or redeem our capital stock;</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1220" w:right="80" w:hanging="334"/>
        <w:spacing w:after="0" w:line="250"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the indentures governing the notes and the 2023 notes, incur liens without granting equal and ratable liens to the holders of the notes or the 2023 notes, as applicable;</w:t>
      </w: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our stockholders and affiliates;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the assets of, or merge or consolidate with, other companies; and</w:t>
      </w:r>
    </w:p>
    <w:p>
      <w:pPr>
        <w:spacing w:after="0" w:line="9" w:lineRule="exact"/>
        <w:rPr>
          <w:rFonts w:ascii="Arial" w:cs="Arial" w:eastAsia="Arial" w:hAnsi="Arial"/>
          <w:sz w:val="18"/>
          <w:szCs w:val="18"/>
          <w:color w:val="auto"/>
        </w:rPr>
      </w:pPr>
    </w:p>
    <w:p>
      <w:pPr>
        <w:ind w:left="1220" w:hanging="334"/>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make distributions or transfer assets to us.</w:t>
      </w:r>
    </w:p>
    <w:p>
      <w:pPr>
        <w:spacing w:after="0" w:line="21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As a result of these covenants, we will be limited in how we conduct our business and we may be unable to raise additional debt or equity financing that is necessary for us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 the holders and/or amend the covenants.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will be unsecured.</w:t>
      </w:r>
    </w:p>
    <w:p>
      <w:pPr>
        <w:spacing w:after="0" w:line="225"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The notes and the guarantees will not be secured by any of our or our subsidiaries’ assets. The indenture governing the notes permits us and our subsidiaries to incur secured debt, including pursuant to our senior secured credit agreement and other forms of secured debt. As a result, the notes and the guarantees will be effectively subordinated to all of our and the subsidiary guarantors’ secured obligations to the extent of the value of the assets securing such obligations. As of December 31, 2016, we had total secured debt of $1,013.5 million (excluding $25.9 million of letters of credit outstanding), and $845.6 million of additional secured debt was available to be borrowed under our senior secured revolving credit facility.</w:t>
      </w:r>
    </w:p>
    <w:p>
      <w:pPr>
        <w:spacing w:after="0" w:line="173"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 the event that the Company or a subsidiary guarantor is declared bankrupt, becomes insolvent or is liquidated or reorganized, creditors whose debt is secured by assets of the Company or such subsidiary guarantor will be entitled to the remedies available to secured holders under applicable laws, including the foreclosure of the collateral securing such debt, before any payment may be made with respect to the notes or the affected guarantees. As a result, there may be insufficient assets to pay amounts due on the notes, and holders of the notes may receive less, ratably, than holders of our secured indebtedness.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Not all of our subsidiaries guarantee our obligations under the notes, and the assets of the non-guarantor subsidiaries may not be available to make payments on the notes.</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present and future foreign subsidiaries and certain of our domestic subsidiaries will not be guarantors of the notes. Payments on the notes are only required to be made by the guarantors and us. As a result, no payments are required to be made from the assets of subsidiaries that do not guarantee the notes, unless those assets are transferred by dividend or otherwise to us or a guarantor. Our non-guarantor subsidiaries generated 19.4% of our total net sales and 5.5% of our consolidated net income for the fiscal year ended September 30, 2016 and accounted for 24.9% of our consolidated assets and 23.8% of our consolidated liabilities as of December 31, 2016. As of December 31, 2016, the notes and the guarantees were structurally subordinated to $131.2 million of indebtedness of the non-guarantor subsidiaries.</w:t>
      </w:r>
    </w:p>
    <w:p>
      <w:pPr>
        <w:spacing w:after="0" w:line="17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In the event of a bankruptcy, insolvency, liquidation or reorganization of any of the non-guarantor subsidiaries, holders of their indebtedness, including their trade creditors and other obligations, will be entitled to payment of their claims from the assets of those subsidiaries before any assets are made available for distribution to us. As a result, the notes are effectively subordinated to all the liabilities of the non-guarantor subsidiaries.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8" w:right="259" w:bottom="1440" w:gutter="0" w:footer="0" w:header="0"/>
        </w:sectPr>
      </w:pPr>
    </w:p>
    <w:bookmarkStart w:id="19" w:name="page20"/>
    <w:bookmarkEnd w:id="19"/>
    <w:p>
      <w:pPr>
        <w:jc w:val="both"/>
        <w:ind w:right="520"/>
        <w:spacing w:after="0" w:line="381" w:lineRule="auto"/>
        <w:rPr>
          <w:sz w:val="20"/>
          <w:szCs w:val="20"/>
          <w:color w:val="auto"/>
        </w:rPr>
      </w:pPr>
      <w:r>
        <w:rPr>
          <w:rFonts w:ascii="Arial" w:cs="Arial" w:eastAsia="Arial" w:hAnsi="Arial"/>
          <w:sz w:val="15"/>
          <w:szCs w:val="15"/>
          <w:b w:val="1"/>
          <w:bCs w:val="1"/>
          <w:i w:val="1"/>
          <w:iCs w:val="1"/>
          <w:color w:val="auto"/>
        </w:rPr>
        <w:t>If the notes are rated investment grade at any time by both Moody’s and Standard &amp; Poor’s and there is no default or event of default occurring or continuing, most of the restrictive covenants and corresponding events of default contained in the indenture governing the notes will be suspended.</w:t>
      </w:r>
    </w:p>
    <w:p>
      <w:pPr>
        <w:spacing w:after="0" w:line="101"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If, at any time, the notes receive an investment grade rating from both Moody’s Investors Service and Standard &amp; Poor’s Ratings Services and there is no event of default occurring or continuing, we will no longer be subject to most of the restrictive covenants and corresponding events of default contained in the indenture. Any restrictive covenants or corresponding events of default that cease to apply to us as a result of achieving these ratings will be restored if one or both of the credit ratings on the notes later fall below these thresholds or in certain other circumstances. However, during any period in which these restrictive covenants are suspended, we may incur other indebtedness and take other actions that would have been prohibited if these covenants had been in effect. If the restrictive covenants are later restored, the actions taken while the covenants were suspended will not result in an event of default under the indenture even if they would constitute an event of default at the time the covenants are restored. Accordingly, if these covenants and corresponding events of default are suspended, holders of the notes will have less credit protection than at the time the notes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of the notes may not be enforceable because of fraudulent conveyance laws.</w:t>
      </w:r>
    </w:p>
    <w:p>
      <w:pPr>
        <w:spacing w:after="0" w:line="22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notes and the guarantees of the notes may be subject to review under federal bankruptcy laws or relevant state fraudulent conveyance or fraudulent transfer laws in an action commenced by us or a subsidiary guarantor (as debtors-in-possession), any bankruptcy trustee that has been appointed in a bankruptcy case, or by or on behalf of our creditors or the creditors of one or more subsidiary guarantor. Generally, under these laws, if in such an action or case a court were to find that at the time we issued the notes or one of our subsidiaries issued a guarantee of the notes:</w:t>
      </w:r>
    </w:p>
    <w:p>
      <w:pPr>
        <w:spacing w:after="0" w:line="171" w:lineRule="exact"/>
        <w:rPr>
          <w:sz w:val="20"/>
          <w:szCs w:val="20"/>
          <w:color w:val="auto"/>
        </w:rPr>
      </w:pPr>
    </w:p>
    <w:p>
      <w:pPr>
        <w:ind w:left="1220" w:hanging="348"/>
        <w:spacing w:after="0"/>
        <w:tabs>
          <w:tab w:leader="none" w:pos="1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issued the notes or such subsidiary issued a guarantee with the intent of hindering, delaying or defrauding current or future creditors; or</w:t>
      </w:r>
    </w:p>
    <w:p>
      <w:pPr>
        <w:spacing w:after="0" w:line="46" w:lineRule="exact"/>
        <w:rPr>
          <w:rFonts w:ascii="Arial" w:cs="Arial" w:eastAsia="Arial" w:hAnsi="Arial"/>
          <w:sz w:val="16"/>
          <w:szCs w:val="16"/>
          <w:color w:val="auto"/>
        </w:rPr>
      </w:pPr>
    </w:p>
    <w:p>
      <w:pPr>
        <w:ind w:left="1220" w:hanging="348"/>
        <w:spacing w:after="0" w:line="250"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such subsidiary guarantor received less than reasonably equivalent value or fair consideration for issuing the notes or a guarantee of the notes, as the case may be, and we or such subsidiary guarantor:</w:t>
      </w:r>
    </w:p>
    <w:p>
      <w:pPr>
        <w:ind w:left="1640" w:hanging="335"/>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were insolvent or were rendered insolvent by reason of the issuance of the notes or such guarantee,</w:t>
      </w:r>
    </w:p>
    <w:p>
      <w:pPr>
        <w:spacing w:after="0" w:line="9" w:lineRule="exact"/>
        <w:rPr>
          <w:rFonts w:ascii="Arial" w:cs="Arial" w:eastAsia="Arial" w:hAnsi="Arial"/>
          <w:sz w:val="18"/>
          <w:szCs w:val="18"/>
          <w:color w:val="auto"/>
        </w:rPr>
      </w:pPr>
    </w:p>
    <w:p>
      <w:pPr>
        <w:ind w:left="1640" w:right="440" w:hanging="335"/>
        <w:spacing w:after="0" w:line="250"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were engaged, or were about to engage, in a business or transaction for which our or such subsidiary guarantor’s remaining assets constituted unreasonably small capital to carry on our or such subsidiary guarantor’s business, or</w:t>
      </w:r>
    </w:p>
    <w:p>
      <w:pPr>
        <w:ind w:left="1640" w:right="100" w:hanging="335"/>
        <w:spacing w:after="0" w:line="255"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intended to incur, or believed that we or such subsidiary guarantor would incur, indebtedness or other obligations beyond the ability to pay such indebtedness or obligations as they matured (as all of the foregoing terms are defined in, or interpreted under, the relevant fraudulent transfer or conveyance statutes);</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 the court could void the notes or such guarantee, as the case may be, subordinate the amounts owing under the notes or such guarantee to our presently existing or future indebtedness, or take other actions detrimental to you.</w:t>
      </w:r>
    </w:p>
    <w:p>
      <w:pPr>
        <w:spacing w:after="0" w:line="17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we or a subsidiary guarantor did not receive reasonably equivalent value or fair consideration for the notes or its subsidiary guarantee to the extent we or such subsidiary guarantor did not obtain a reasonably equivalent benefit from the issuance of the notes.</w:t>
      </w:r>
    </w:p>
    <w:p>
      <w:pPr>
        <w:spacing w:after="0" w:line="18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measure of insolvency for purposes of the foregoing considerations will vary depending upon the law of the jurisdiction that is being applied in any such proceeding, such that we cannot assure you which standard a court would apply in determining whether we or a subsidiary guarantor was “insolvent” at the relevant time or that, regardless of the method of valuation, a court would not determine that we or a subsidiary guarantor was insolvent on that date, or that a court would not determine, regardless of whether or not we or a subsidiary guarantor was insolvent on the date the notes or subsidiary guarantee was issued, that payments to holders of the notes constituted preferences, fraudulent transfers or conveyances on other grounds. Generally, a company would be considered insolvent if, at the time it incurred indebtedness or issued a guarantee:</w:t>
      </w:r>
    </w:p>
    <w:p>
      <w:pPr>
        <w:spacing w:after="0" w:line="178" w:lineRule="exact"/>
        <w:rPr>
          <w:sz w:val="20"/>
          <w:szCs w:val="20"/>
          <w:color w:val="auto"/>
        </w:rPr>
      </w:pPr>
    </w:p>
    <w:p>
      <w:pPr>
        <w:ind w:left="1220" w:hanging="348"/>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its assets, at fair valuation; or</w:t>
      </w:r>
    </w:p>
    <w:p>
      <w:pPr>
        <w:spacing w:after="0" w:line="9" w:lineRule="exact"/>
        <w:rPr>
          <w:rFonts w:ascii="Arial" w:cs="Arial" w:eastAsia="Arial" w:hAnsi="Arial"/>
          <w:sz w:val="18"/>
          <w:szCs w:val="18"/>
          <w:color w:val="auto"/>
        </w:rPr>
      </w:pPr>
    </w:p>
    <w:p>
      <w:pPr>
        <w:ind w:left="1220" w:right="520" w:hanging="348"/>
        <w:spacing w:after="0" w:line="261"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required to pay the probable liability on its total existing debts and liabilities (including contingent liabilities) as they become absolute and mature.</w:t>
      </w:r>
    </w:p>
    <w:p>
      <w:pPr>
        <w:spacing w:after="0" w:line="18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If a note or subsidiary guarantee is voided as a fraudulent conveyance or is found to be unenforceable for any other reason, you will not have a claim against us or such subsidiary guarantor. In addition, bankruptcy or similar laws may also apply to the avoidance of any subsidiary guarantee granted in the future by any of our subsidiaries pursuant to the indenture governing the notes, which are subject to the risk of being declared an avoidable preference to the extent they are issued after the date the notes are issued.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20" w:name="page21"/>
    <w:bookmarkEnd w:id="20"/>
    <w:p>
      <w:pPr>
        <w:ind w:right="40" w:firstLine="405"/>
        <w:spacing w:after="0" w:line="273" w:lineRule="auto"/>
        <w:rPr>
          <w:sz w:val="20"/>
          <w:szCs w:val="20"/>
          <w:color w:val="auto"/>
        </w:rPr>
      </w:pPr>
      <w:r>
        <w:rPr>
          <w:rFonts w:ascii="Arial" w:cs="Arial" w:eastAsia="Arial" w:hAnsi="Arial"/>
          <w:sz w:val="17"/>
          <w:szCs w:val="17"/>
          <w:color w:val="auto"/>
        </w:rPr>
        <w:t>Each subsidiary guarantee contains a provision intended to limit the subsidiary guarantor’s liability to the maximum amount that it could incur without causing the incurrence of obligations under its subsidiary guarantee to be a fraudulent conveyance. However, there can be no assurance as to what standard a court will apply in making a determination of the maximum liability of each subsidiary guarantor. Moreover, this provision may not be effective to protect the subsidiary guarantees from being voided under fraudulent conveyance laws; in a Florida bankruptcy case, which was reversed by a district court on other grounds and then reinstated by the applicable circuit court of appeals, this kind of provision was found to be ineffective to protect the guarantees. There is a possibility that the entire guarantee may be set aside, in which case the entire liability may be extinguished.</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To the extent a court voids a subsidiary guarantee as a fraudulent transfer, preference or conveyance or holds it unenforceable for any other reason, holders of the notes would cease to have a direct claim against the subsidiary guarantor that delivered the subsidiary guarantee and would be creditors solely of us and, if applicable, of any other subsidiary guarantor under the relevant subsidiary guarantees that have not been declared void. In the event that any subsidiary guarantee is declared invalid or unenforceable, in whole or in part, the notes would be, to the extent of such invalidity or unenforceability, effectively subordinated to all liabilities of the applicable subsidiary guarantor, and if we cannot satisfy our obligations under the notes or any subsidiary guarantee is found to be a preference, fraudulent transfer or conveyance or is otherwise set aside, we cannot assure you that we can ever repay in full any amounts outstanding under the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or be permitted by our existing indebtedness to purchase notes upon a change of control.</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If there is a change of control under the terms of the indenture governing the notes, each holder of notes may require us to purchase all or a portion of its notes at a purchase price equal to 101% of the principal amount thereof, plus accrued and unpaid interest, if any, to the date of purchase. However, we can provide no assurance that we will have or will be able to borrow sufficient funds at the time of any change of control to make the required repurchases of the notes, or that restrictions in our senior secured credit agreement or the documents governing our other indebtedness would permit us to make the required repurchases. Any failure by us to repurchase the notes upon a change of control would result in a default under the indenture governing the notes. In addition, a change of control may constitute an event of default under our senior secured credit agreement or the documents governing our other indebtedness, and the indenture governing our 2023 notes requires that the 2023 notes be repurchased or repaid upon the occurrence of certain kinds of change of control events. A default under our senior secured credit agreement or the documents governing our other indebtedness could result in a default under the indenture governing the notes if the lenders elect to accelerate the indebtedness under such documents. See “Description of Notes-Repurchase at the Option of Holders-Offer to Repurchase upon Change of Control.”</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exchange notes may not develop, and the absence of an active trading market and other factors may adversely impact the price of the exchange notes.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exchange notes are a new issue of securities for which there is currently no active trading market. We do not intend to list the exchange notes on any national securities exchange or to seek their quotation on any automated dealer quotation system. The liquidity of a trading market in the exchange notes, if any, and the future trading prices of the exchange notes will depend on many factors including:</w:t>
      </w:r>
    </w:p>
    <w:p>
      <w:pPr>
        <w:spacing w:after="0" w:line="181" w:lineRule="exact"/>
        <w:rPr>
          <w:sz w:val="20"/>
          <w:szCs w:val="20"/>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for similar securities;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including general economic conditions and our financial condition, performance and prospects.</w:t>
      </w:r>
    </w:p>
    <w:p>
      <w:pPr>
        <w:spacing w:after="0" w:line="21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addition, the market for non-investment grade debt securities has historically been subject to disruptions that have caused price volatility independent of the operating and financial performance of the issuers of these securities. It is possible that the market for the exchange notes will be subject to these kinds of disruptions. Accordingly, declines in the liquidity and market price of the exchange notes may occur independent of our operating and financial performance. We can provide no assurances that an active trading market for the exchange notes will develop or be maintained. If an active trading market does not develop or is not maintained, the market price and liquidity of the exchange notes may be adversely affected. In that case, a holder of exchange notes may not be able to sell its exchange notes at a particular time or at a favorable price.</w:t>
      </w:r>
    </w:p>
    <w:p>
      <w:pPr>
        <w:spacing w:after="0" w:line="178"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initial purchasers of the original notes have advised us that they intend to make a market in the exchange notes, but they are not obligated to do so. The initial purchasers may also discontinue market making activities at any time for any or no reason, without notice, which could further negatively impact the ability of a holder of notes to sell its exchange notes or the prevailing market price at the time it chooses to sell.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value of the exchange notes may be subject to substantial volatility.</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 real or perceived economic downturn or higher interest rates could cause a decline in the value of, or otherwise negatively impact the market for, the exchange notes. Because an active trading market may not develop for the exchange notes, it may be more difficult to sell and accurately value the exchange notes. In addition, the market for high-yield notes can experience sudden and sharp price swings, which may impact the valuation of the exchange notes and may be further exacerbated by large or sustained sales by major investors in the exchange notes, a high-profile default by another issuer or a change in the market for high-yield notes.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the notes.</w:t>
      </w:r>
    </w:p>
    <w:p>
      <w:pPr>
        <w:spacing w:after="0" w:line="170"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NRSROs rate the notes based on factors that include our operating results, actions that we take, their view of the general outlook for our industry and their view of the general outlook for the economy. Actions taken by NRSROs can include maintaining, upgrading or downgrading the current rating or placing us on a watch list for possible future downgrading. Downgrading the credit rating of the notes or placing us on a watch list for possible future downgrading would likely increase our cost of financing, limit our access to the capital markets and have an adverse effect on the market price of the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17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Local, state, federal and foreign laws and regulations relating to environmental matters affect us in several ways. In the United States, all products containing pesticides must comply with the Federal Insecticide, Fungicide, and Rodenticide Act of 1947, as amended (“FIFRA”) and most must be registered with the U.S. Environmental Protection Agency (the “U.S. EPA”) and similar state agencies before they can be sold or distributed. Our inability to obtain or maintain such compliance, or the cancellation of any such registration of our products, could have an adverse effect on our business, the severity of which would depend on such matters as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1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78"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among other things, ban the use of certain ingredients or require (i) that only certified or professional users apply the product, (ii) that certain products be used only on certain types of locations, (iii) users to post notices on properties to which products have been or will be applied, and (iv) require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9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and the United Kingdom, our peat extraction efforts are also the subject of regulation.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22" w:name="page23"/>
    <w:bookmarkEnd w:id="22"/>
    <w:p>
      <w:pPr>
        <w:ind w:right="100" w:firstLine="405"/>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9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22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consumers and our retail customers, which may materially and adversely affect our business operations, decrease sales and increase costs.</w:t>
      </w:r>
    </w:p>
    <w:p>
      <w:pPr>
        <w:spacing w:after="0" w:line="16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1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Certain of our products may be purchased for use in new and emerging industries that are subject to inconsistent and rapidly changing laws and regulations and consumer perception.</w:t>
      </w:r>
    </w:p>
    <w:p>
      <w:pPr>
        <w:spacing w:after="0" w:line="17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Certain of our products may be purchased for use in new and emerging industries that may not grow or achieve market acceptance as rapidly as we expect. The demand for such products may be negatively impacted if these industries grow more slowly than we expect. In addition, certain of our products, including, for example, our hydroponic gardening products, may be purchased for use in industries or segments that are subject to inconsistent and rapidly changing laws and regulations with evolving consumer perceptions. The demand for such products may be negatively impacted if the laws, regulations and consumer perceptions applicable to such industries evolve in a manner that adversely affects the industries. We cannot predict the nature of any future laws, regulations, administrative policies and consumer perceptions applicable to the industries in which our products are used, nor can we determine what effect, if any, such additional laws, regulations, administrative policies and consumer perceptions could have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23" w:name="page24"/>
    <w:bookmarkEnd w:id="23"/>
    <w:p>
      <w:pPr>
        <w:ind w:right="40"/>
        <w:spacing w:after="0" w:line="277" w:lineRule="auto"/>
        <w:rPr>
          <w:sz w:val="20"/>
          <w:szCs w:val="20"/>
          <w:color w:val="auto"/>
        </w:rPr>
      </w:pPr>
      <w:r>
        <w:rPr>
          <w:rFonts w:ascii="Arial" w:cs="Arial" w:eastAsia="Arial" w:hAnsi="Arial"/>
          <w:sz w:val="18"/>
          <w:szCs w:val="18"/>
          <w:color w:val="auto"/>
        </w:rPr>
        <w:t>are unable to effectively provide for the succession of senior management, including our chief executive officer, our business, prospects, results of operations, financial condition and cash flows may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w:t>
      </w:r>
    </w:p>
    <w:p>
      <w:pPr>
        <w:spacing w:after="0" w:line="17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8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to hedge our variable interest rate exposure on debt instruments as well as foreign currency forward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170"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Our future success depends, in part, upon our ability to improve our existing product lines and products and to develop, manufacture and market new product lines and products to meet evolving consumer needs, as well as our ability to leverage new mediums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t>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8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ongoing investment in new product lines and products and technologies is inherently risky, and could disrupt our ongoing businesses.</w:t>
      </w:r>
    </w:p>
    <w:p>
      <w:pPr>
        <w:spacing w:after="0" w:line="237"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top three retail customers together accounted for 61% of our fiscal 2016 net sales and 56% of our outstanding accounts receivable as of September 30, 2016. The loss of, or reduction in orders from, our top three retail customers, Home Depot, Lowe’s, and Walmart, or any other significant customer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delivery delays to our customers.</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8" w:right="259" w:bottom="1440" w:gutter="0" w:footer="0" w:header="0"/>
        </w:sectPr>
      </w:pPr>
    </w:p>
    <w:bookmarkStart w:id="25" w:name="page26"/>
    <w:bookmarkEnd w:id="25"/>
    <w:p>
      <w:pPr>
        <w:ind w:right="300"/>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issue of climate change is receiving ever increasing attention worldwide.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 Because of the uncertainty of weather volatility related to climate change and any resulting unfavorable weather conditions, we cannot predict its potential impact on our financial condition, results of operations and cash flows.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17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7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22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2016, sales outside of the United States accounted for 18% of our total net sales. Accordingly, we are subject to risks associated with operating in foreign countries, including:</w:t>
      </w:r>
    </w:p>
    <w:p>
      <w:pPr>
        <w:spacing w:after="0" w:line="181" w:lineRule="exact"/>
        <w:rPr>
          <w:sz w:val="20"/>
          <w:szCs w:val="20"/>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2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and cash flows in the future.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7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5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operations may be impaired if our information technology systems fail to perform adequately or if we are the subject of a data breach or cyber attack.</w:t>
      </w:r>
    </w:p>
    <w:p>
      <w:pPr>
        <w:spacing w:after="0" w:line="26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 Additionally, an operational failure or breach of security from increasingly sophisticated cyber threats could lead to the loss or disclosure of both our and our retail customers’ financial, product, and other confidential information, as well as personally identifiable information about our employees or customers, result in regulatory or other legal proceedings, and have a material adverse effect on our business and reputation.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25" w:lineRule="exact"/>
        <w:rPr>
          <w:sz w:val="20"/>
          <w:szCs w:val="20"/>
          <w:color w:val="auto"/>
        </w:rPr>
      </w:pPr>
    </w:p>
    <w:p>
      <w:pPr>
        <w:jc w:val="both"/>
        <w:ind w:right="20" w:firstLine="405"/>
        <w:spacing w:after="0" w:line="255"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providing certain products or services under our recognized brand names, which could have a material adverse effect on our business, financial condition and results of operations.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In the event of termination of the Marketing Agreement for consumer Roundup products, we would lose a substantial source of future earnings and overhead expense absorption.</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If we were to (i) become insolvent, (ii) commit a material breach, material fraud or material misconduct under the Marketing Agreement, (iii) undergo certain events resulting in a change of control of the Company, or (iv) impermissibly assign or delegate our rights under the Marketing Agreement, Monsanto may have the right to terminate the Marketing Agreement without paying a termination fee. Monsanto may also be able to terminate the Marketing Agreement in the event of a change of control of Monsanto or a sale of the Roundup business, but would have to pay a termination fee to the Company. In the event the Marketing Agreement terminates, we would lose all, or a substantial portion, of the significant source of earnings and overhead expense absorption the Marketing Agreement provides.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27" w:name="page28"/>
    <w:bookmarkEnd w:id="27"/>
    <w:p>
      <w:pPr>
        <w:ind w:right="560"/>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17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December 1, 2016.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2016, we increased the amount of our quarterly cash dividend by 6% to $0.50 per share and increased the current share repurchase authorization by $500 million. The total remaining share repurchase authorization as of December 31, 2016 is $811.0 million.</w:t>
      </w:r>
    </w:p>
    <w:p>
      <w:pPr>
        <w:spacing w:after="0" w:line="18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1220" w:hanging="34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9" w:lineRule="exact"/>
        <w:rPr>
          <w:rFonts w:ascii="Arial" w:cs="Arial" w:eastAsia="Arial" w:hAnsi="Arial"/>
          <w:sz w:val="18"/>
          <w:szCs w:val="18"/>
          <w:color w:val="auto"/>
        </w:rPr>
      </w:pPr>
    </w:p>
    <w:p>
      <w:pPr>
        <w:ind w:left="1220" w:right="740" w:hanging="348"/>
        <w:spacing w:after="0" w:line="250"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ind w:left="1220" w:hanging="348"/>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9" w:lineRule="exact"/>
        <w:rPr>
          <w:rFonts w:ascii="Arial" w:cs="Arial" w:eastAsia="Arial" w:hAnsi="Arial"/>
          <w:sz w:val="18"/>
          <w:szCs w:val="18"/>
          <w:color w:val="auto"/>
        </w:rPr>
      </w:pPr>
    </w:p>
    <w:p>
      <w:pPr>
        <w:ind w:left="1220" w:right="760" w:hanging="348"/>
        <w:spacing w:after="0" w:line="250"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ind w:left="1220" w:right="140" w:hanging="348"/>
        <w:spacing w:after="0" w:line="250"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 w:lineRule="exact"/>
        <w:rPr>
          <w:rFonts w:ascii="Arial" w:cs="Arial" w:eastAsia="Arial" w:hAnsi="Arial"/>
          <w:sz w:val="18"/>
          <w:szCs w:val="18"/>
          <w:color w:val="auto"/>
        </w:rPr>
      </w:pPr>
    </w:p>
    <w:p>
      <w:pPr>
        <w:ind w:left="1220" w:right="520" w:hanging="348"/>
        <w:spacing w:after="0" w:line="250"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ind w:left="1220" w:hanging="348"/>
        <w:spacing w:after="0" w:line="250"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ind w:left="1220" w:right="200" w:hanging="348"/>
        <w:spacing w:after="0" w:line="323" w:lineRule="auto"/>
        <w:tabs>
          <w:tab w:leader="none" w:pos="1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8" w:name="page29"/>
    <w:bookmarkEnd w:id="28"/>
    <w:p>
      <w:pPr>
        <w:ind w:left="1220" w:right="580" w:hanging="348"/>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8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Company evaluates as necessary the potential disposition of assets and businesses that may no longer help it meet its objectives. When the Company decides to sell assets or a business, it may encounter difficulty in finding buyers or alternative exit strategies on acceptable terms in a timely manner, which could delay the accomplishment of its strategic objectives. Alternatively, the Company may dispose of a business at a price or on terms that are less than it had anticipated. After reaching an agreement with a buyer or seller for the disposition of a business, the Company is subject to the satisfaction of pre-closing conditions, which may prevent the Company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the Company’s control could affect its future financial results.</w:t>
      </w:r>
    </w:p>
    <w:p>
      <w:pPr>
        <w:spacing w:after="0" w:line="16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4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may also result in a decline in sales for a particular product and could damage the reputation or the value of related brands.</w:t>
      </w:r>
    </w:p>
    <w:p>
      <w:pPr>
        <w:spacing w:after="0" w:line="18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From time to time, the Company is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Additionally, defending against these legal proceedings may involve significant expense and diversion of management’s attention and resources.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we will receive an equal principal amount of the original notes. We will cancel all of the original notes that are tendered and accepted for exchange. Accordingly, no additional debt will result from the exchange offer. We have agreed to bear all expenses of the exchange offer.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used the net proceeds from the private placement of the original notes to reduce borrowings under our senior secured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repaid under our senior secured revolving credit facility may be reborrowed.</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368" w:right="3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sets forth our ratio of earnings to fixed charges, or the deficiency of earnings available to cover fixed charges, as appropriate, for each of the periods indicated:</w:t>
      </w:r>
    </w:p>
    <w:p>
      <w:pPr>
        <w:spacing w:after="0" w:line="392"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Fiscal Year Ended 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w:t>
            </w:r>
          </w:p>
        </w:tc>
        <w:tc>
          <w:tcPr>
            <w:tcW w:w="8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4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8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3"/>
                <w:szCs w:val="13"/>
                <w:color w:val="auto"/>
              </w:rPr>
            </w:pPr>
          </w:p>
        </w:tc>
        <w:tc>
          <w:tcPr>
            <w:tcW w:w="80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8"/>
        </w:trPr>
        <w:tc>
          <w:tcPr>
            <w:tcW w:w="2100" w:type="dxa"/>
            <w:vAlign w:val="bottom"/>
            <w:gridSpan w:val="3"/>
            <w:vMerge w:val="continue"/>
          </w:tcPr>
          <w:p>
            <w:pPr>
              <w:spacing w:after="0"/>
              <w:rPr>
                <w:sz w:val="13"/>
                <w:szCs w:val="13"/>
                <w:color w:val="auto"/>
              </w:rPr>
            </w:pPr>
          </w:p>
        </w:tc>
        <w:tc>
          <w:tcPr>
            <w:tcW w:w="1100" w:type="dxa"/>
            <w:vAlign w:val="bottom"/>
          </w:tcPr>
          <w:p>
            <w:pPr>
              <w:jc w:val="right"/>
              <w:ind w:right="346"/>
              <w:spacing w:after="0" w:line="158"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820" w:type="dxa"/>
            <w:vAlign w:val="bottom"/>
          </w:tcPr>
          <w:p>
            <w:pPr>
              <w:jc w:val="right"/>
              <w:ind w:right="185"/>
              <w:spacing w:after="0" w:line="158"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00" w:type="dxa"/>
            <w:vAlign w:val="bottom"/>
            <w:gridSpan w:val="3"/>
            <w:vMerge w:val="restart"/>
          </w:tcPr>
          <w:p>
            <w:pPr>
              <w:spacing w:after="0"/>
              <w:rPr>
                <w:sz w:val="20"/>
                <w:szCs w:val="20"/>
                <w:color w:val="auto"/>
              </w:rPr>
            </w:pPr>
            <w:r>
              <w:rPr>
                <w:rFonts w:ascii="Arial" w:cs="Arial" w:eastAsia="Arial" w:hAnsi="Arial"/>
                <w:sz w:val="16"/>
                <w:szCs w:val="16"/>
                <w:color w:val="auto"/>
              </w:rPr>
              <w:t>Ratio of earnings to fixed</w:t>
            </w: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10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00" w:type="dxa"/>
            <w:vAlign w:val="bottom"/>
            <w:gridSpan w:val="3"/>
          </w:tcPr>
          <w:p>
            <w:pPr>
              <w:spacing w:after="0"/>
              <w:rPr>
                <w:sz w:val="20"/>
                <w:szCs w:val="20"/>
                <w:color w:val="auto"/>
              </w:rPr>
            </w:pPr>
            <w:r>
              <w:rPr>
                <w:rFonts w:ascii="Arial" w:cs="Arial" w:eastAsia="Arial" w:hAnsi="Arial"/>
                <w:sz w:val="16"/>
                <w:szCs w:val="16"/>
                <w:color w:val="auto"/>
              </w:rPr>
              <w:t>charges</w:t>
            </w:r>
          </w:p>
        </w:tc>
        <w:tc>
          <w:tcPr>
            <w:tcW w:w="1100" w:type="dxa"/>
            <w:vAlign w:val="bottom"/>
          </w:tcPr>
          <w:p>
            <w:pPr>
              <w:jc w:val="right"/>
              <w:ind w:right="326"/>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7"/>
                <w:szCs w:val="17"/>
                <w:color w:val="auto"/>
              </w:rPr>
            </w:pPr>
          </w:p>
        </w:tc>
        <w:tc>
          <w:tcPr>
            <w:tcW w:w="820" w:type="dxa"/>
            <w:vAlign w:val="bottom"/>
          </w:tcPr>
          <w:p>
            <w:pPr>
              <w:jc w:val="right"/>
              <w:ind w:right="185"/>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800" w:type="dxa"/>
            <w:vAlign w:val="bottom"/>
          </w:tcPr>
          <w:p>
            <w:pPr>
              <w:jc w:val="right"/>
              <w:ind w:right="243"/>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17"/>
                <w:szCs w:val="17"/>
                <w:color w:val="auto"/>
              </w:rPr>
            </w:pPr>
          </w:p>
        </w:tc>
        <w:tc>
          <w:tcPr>
            <w:tcW w:w="520" w:type="dxa"/>
            <w:vAlign w:val="bottom"/>
          </w:tcPr>
          <w:p>
            <w:pPr>
              <w:jc w:val="right"/>
              <w:ind w:right="23"/>
              <w:spacing w:after="0"/>
              <w:rPr>
                <w:sz w:val="20"/>
                <w:szCs w:val="20"/>
                <w:color w:val="auto"/>
              </w:rPr>
            </w:pPr>
            <w:r>
              <w:rPr>
                <w:rFonts w:ascii="Arial" w:cs="Arial" w:eastAsia="Arial" w:hAnsi="Arial"/>
                <w:sz w:val="16"/>
                <w:szCs w:val="16"/>
                <w:color w:val="auto"/>
              </w:rPr>
              <w:t>4.0</w:t>
            </w:r>
          </w:p>
        </w:tc>
        <w:tc>
          <w:tcPr>
            <w:tcW w:w="1460" w:type="dxa"/>
            <w:vAlign w:val="bottom"/>
            <w:gridSpan w:val="3"/>
          </w:tcPr>
          <w:p>
            <w:pPr>
              <w:jc w:val="right"/>
              <w:ind w:right="40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7"/>
                <w:szCs w:val="17"/>
                <w:color w:val="auto"/>
              </w:rPr>
            </w:pPr>
          </w:p>
        </w:tc>
        <w:tc>
          <w:tcPr>
            <w:tcW w:w="880" w:type="dxa"/>
            <w:vAlign w:val="bottom"/>
          </w:tcPr>
          <w:p>
            <w:pPr>
              <w:jc w:val="right"/>
              <w:ind w:right="263"/>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7"/>
                <w:szCs w:val="17"/>
                <w:color w:val="auto"/>
              </w:rPr>
            </w:pPr>
          </w:p>
        </w:tc>
        <w:tc>
          <w:tcPr>
            <w:tcW w:w="800" w:type="dxa"/>
            <w:vAlign w:val="bottom"/>
          </w:tcPr>
          <w:p>
            <w:pPr>
              <w:jc w:val="right"/>
              <w:ind w:right="223"/>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ratio of earnings to fixed charges is determined by dividing earnings by fixed charges. Earnings consist of income from continuing operations before income taxes, fixed charges, amortization of capitalized interest, adjustments for non-controlling interests in consolidated subsidiaries, distributed earnings of equity investees and interest capitalized. Fixed charges consist of interest expense (including amortization of deferred financing and issuance costs related to indebtedness), interest expense and rental expense representative of interest factor. Losses were inadequate to cover fixed charges by (in millions): $84.3 for the three months ended December 31, 2016; $122.8 for the three months ended January 2, 2016. Due to the seasonal nature of our business, in which sales are heavily weighted to the spring and summer selling periods during our second and third fiscal quarters, we recognize losses in our first quarter.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consolidated cash and cash equivalents and capitalization as of December 31, 2016 on an actual basis.</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You should read this table in conjunction with our consolidated financial statements and the notes thereto and our “Management’s Discussion and Analysis of Financial Condition and Results of Operations” contained in our Annual Report on Form 10-K for the fiscal year ended September 30, 2016 and our Quarterly Report on Form 10-Q for the fiscal quarter ended December 31, 2016, which are incorporated by reference in this prospectus.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As of December 31, 2016</w:t>
            </w:r>
          </w:p>
        </w:tc>
        <w:tc>
          <w:tcPr>
            <w:tcW w:w="0" w:type="dxa"/>
            <w:vAlign w:val="bottom"/>
          </w:tcPr>
          <w:p>
            <w:pPr>
              <w:spacing w:after="0"/>
              <w:rPr>
                <w:sz w:val="1"/>
                <w:szCs w:val="1"/>
                <w:color w:val="auto"/>
              </w:rPr>
            </w:pPr>
          </w:p>
        </w:tc>
      </w:tr>
      <w:tr>
        <w:trPr>
          <w:trHeight w:val="203"/>
        </w:trPr>
        <w:tc>
          <w:tcPr>
            <w:tcW w:w="9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209"/>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Arial" w:cs="Arial" w:eastAsia="Arial" w:hAnsi="Arial"/>
                <w:sz w:val="18"/>
                <w:szCs w:val="18"/>
                <w:color w:val="auto"/>
              </w:rPr>
              <w:t>Long-term debt (including current portions):</w:t>
            </w: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Senior secured credit agreement-term loan</w:t>
            </w:r>
            <w:r>
              <w:rPr>
                <w:rFonts w:ascii="Arial" w:cs="Arial" w:eastAsia="Arial" w:hAnsi="Arial"/>
                <w:sz w:val="18"/>
                <w:szCs w:val="18"/>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62"/>
        </w:trPr>
        <w:tc>
          <w:tcPr>
            <w:tcW w:w="9260" w:type="dxa"/>
            <w:vAlign w:val="bottom"/>
          </w:tcPr>
          <w:p>
            <w:pPr>
              <w:ind w:left="260"/>
              <w:spacing w:after="0"/>
              <w:rPr>
                <w:sz w:val="20"/>
                <w:szCs w:val="20"/>
                <w:color w:val="auto"/>
              </w:rPr>
            </w:pPr>
            <w:r>
              <w:rPr>
                <w:rFonts w:ascii="Arial" w:cs="Arial" w:eastAsia="Arial" w:hAnsi="Arial"/>
                <w:sz w:val="18"/>
                <w:szCs w:val="18"/>
                <w:color w:val="auto"/>
              </w:rPr>
              <w:t>Senior secured credit agreement-senior secured revolving credit facility</w:t>
            </w:r>
            <w:r>
              <w:rPr>
                <w:rFonts w:ascii="Arial" w:cs="Arial" w:eastAsia="Arial" w:hAnsi="Arial"/>
                <w:sz w:val="18"/>
                <w:szCs w:val="18"/>
                <w:color w:val="auto"/>
                <w:vertAlign w:val="superscript"/>
              </w:rPr>
              <w:t>(1)(2)</w:t>
            </w:r>
          </w:p>
        </w:tc>
        <w:tc>
          <w:tcPr>
            <w:tcW w:w="220" w:type="dxa"/>
            <w:vAlign w:val="bottom"/>
          </w:tcPr>
          <w:p>
            <w:pPr>
              <w:spacing w:after="0"/>
              <w:rPr>
                <w:sz w:val="22"/>
                <w:szCs w:val="22"/>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728.5</w:t>
            </w:r>
          </w:p>
        </w:tc>
        <w:tc>
          <w:tcPr>
            <w:tcW w:w="0" w:type="dxa"/>
            <w:vAlign w:val="bottom"/>
          </w:tcPr>
          <w:p>
            <w:pPr>
              <w:spacing w:after="0"/>
              <w:rPr>
                <w:sz w:val="1"/>
                <w:szCs w:val="1"/>
                <w:color w:val="auto"/>
              </w:rPr>
            </w:pPr>
          </w:p>
        </w:tc>
      </w:tr>
      <w:tr>
        <w:trPr>
          <w:trHeight w:val="258"/>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6.000% senior notes due 2023</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5.250% senior notes due 2026</w:t>
            </w:r>
          </w:p>
        </w:tc>
        <w:tc>
          <w:tcPr>
            <w:tcW w:w="22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7"/>
        </w:trPr>
        <w:tc>
          <w:tcPr>
            <w:tcW w:w="9260" w:type="dxa"/>
            <w:vAlign w:val="bottom"/>
          </w:tcPr>
          <w:p>
            <w:pPr>
              <w:ind w:left="360"/>
              <w:spacing w:after="0"/>
              <w:rPr>
                <w:sz w:val="20"/>
                <w:szCs w:val="20"/>
                <w:color w:val="auto"/>
              </w:rPr>
            </w:pPr>
            <w:r>
              <w:rPr>
                <w:rFonts w:ascii="Arial" w:cs="Arial" w:eastAsia="Arial" w:hAnsi="Arial"/>
                <w:sz w:val="18"/>
                <w:szCs w:val="18"/>
                <w:color w:val="auto"/>
              </w:rPr>
              <w:t>Total long-term debt (including current portions)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57"/>
        </w:trPr>
        <w:tc>
          <w:tcPr>
            <w:tcW w:w="9260" w:type="dxa"/>
            <w:vAlign w:val="bottom"/>
          </w:tcPr>
          <w:p>
            <w:pPr>
              <w:ind w:left="680"/>
              <w:spacing w:after="0"/>
              <w:rPr>
                <w:sz w:val="20"/>
                <w:szCs w:val="20"/>
                <w:color w:val="auto"/>
              </w:rPr>
            </w:pPr>
            <w:r>
              <w:rPr>
                <w:rFonts w:ascii="Arial" w:cs="Arial" w:eastAsia="Arial" w:hAnsi="Arial"/>
                <w:sz w:val="18"/>
                <w:szCs w:val="18"/>
                <w:color w:val="auto"/>
              </w:rPr>
              <w:t>Total capitalization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2,320.4</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20" w:hanging="438"/>
        <w:spacing w:after="0" w:line="25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senior secured credit agreement provides us with secured loan facilities in the aggregate principal amount of $1.9 billion, comprised of a senior secured revolving credit facility of $1.6 billion and a term loan in the original principal amount of $300 million.</w:t>
      </w:r>
    </w:p>
    <w:p>
      <w:pPr>
        <w:spacing w:after="0" w:line="1" w:lineRule="exact"/>
        <w:rPr>
          <w:rFonts w:ascii="Arial" w:cs="Arial" w:eastAsia="Arial" w:hAnsi="Arial"/>
          <w:sz w:val="18"/>
          <w:szCs w:val="18"/>
          <w:color w:val="auto"/>
        </w:rPr>
      </w:pPr>
    </w:p>
    <w:p>
      <w:pPr>
        <w:ind w:left="460" w:right="580" w:hanging="438"/>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outstanding borrowings under our senior secured revolving credit facility as of December 31, 2016 exclude $25.9 million of letters of credit outstanding.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our Annual Report on Form 10-K for the fiscal year ended September 30, 2016 and our Quarterly Report on Form 10-Q for the fiscal quarter ended December 31, 2016, which are incorporated by reference in this prospectus. The summary consolidated financial data presented below as of and for the fiscal years ended September 30, 2016, 2015, 2014, 2013 and 2012 has been derived from our audited financial statements. The financial data for the three months ended December 31, 2016 and January 2, 2016 are derived from our unaudited condensed consolidated financial statements incorporated by reference herein. Given the seasonal nature of the lawn and garden category, we historically report a loss in our fiscal first quarter; therefore, operating results for the three months ended December 31, 2016 are not necessarily indicative of the results that may be expected for the entire fiscal year ending September 30, 2017.</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4"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b w:val="1"/>
                <w:bCs w:val="1"/>
                <w:color w:val="auto"/>
                <w:w w:val="92"/>
              </w:rPr>
              <w:t>Year Ended September 30,</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4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r>
      <w:tr>
        <w:trPr>
          <w:trHeight w:val="264"/>
        </w:trPr>
        <w:tc>
          <w:tcPr>
            <w:tcW w:w="4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4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GAAP OPERATING RESULTS: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Net 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2,836.1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2,728.0</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2,578.3</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2,515.9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2,524.7</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995.4</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890.1</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843.6</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830.2</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Income from operations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459.3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262.1</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283.7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280.2</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212.7</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253.3</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145.5</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140.2</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Income (loss) from discontinued operations, net of tax</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61.5</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314.8</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166.2</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161.1</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Net income attributable to controlling interest</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315.3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159.8</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166.5</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161.1</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106.5</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NON-GAAP ADJUSTED OPERATING RESULTS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Adjusted income from operations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419.9</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352.1</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333.7</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300.5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228.0</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Adjusted income from continuing operations</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241.1</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185.4</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153.4</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104.7</w:t>
            </w:r>
          </w:p>
        </w:tc>
      </w:tr>
      <w:tr>
        <w:trPr>
          <w:trHeight w:val="157"/>
        </w:trPr>
        <w:tc>
          <w:tcPr>
            <w:tcW w:w="4680" w:type="dxa"/>
            <w:vAlign w:val="bottom"/>
          </w:tcPr>
          <w:p>
            <w:pPr>
              <w:ind w:left="280"/>
              <w:spacing w:after="0" w:line="157" w:lineRule="exact"/>
              <w:rPr>
                <w:sz w:val="20"/>
                <w:szCs w:val="20"/>
                <w:color w:val="auto"/>
              </w:rPr>
            </w:pPr>
            <w:r>
              <w:rPr>
                <w:rFonts w:ascii="Arial" w:cs="Arial" w:eastAsia="Arial" w:hAnsi="Arial"/>
                <w:sz w:val="14"/>
                <w:szCs w:val="14"/>
                <w:color w:val="auto"/>
              </w:rPr>
              <w:t>Adjusted income attributable to controlling interest from continuing</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468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241.6</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197.4</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185.7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153.4</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104.7</w:t>
            </w: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 Forma Adjusted Earnings</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232.6</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206.3</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123.3</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FINANCIAL POSITION:</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2"/>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398.6</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373.4</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359.8</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555.2</w:t>
            </w:r>
          </w:p>
        </w:tc>
      </w:tr>
      <w:tr>
        <w:trPr>
          <w:trHeight w:val="210"/>
        </w:trPr>
        <w:tc>
          <w:tcPr>
            <w:tcW w:w="4680" w:type="dxa"/>
            <w:vAlign w:val="bottom"/>
          </w:tcPr>
          <w:p>
            <w:pPr>
              <w:ind w:left="28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5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470.8</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429.4</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414.9</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420.3</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2,808.8</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2,527.2</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2,058.3</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1,937.1</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2,074.4</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debt to total book capitalization</w:t>
            </w:r>
            <w:r>
              <w:rPr>
                <w:rFonts w:ascii="Arial" w:cs="Arial" w:eastAsia="Arial" w:hAnsi="Arial"/>
                <w:sz w:val="8"/>
                <w:szCs w:val="8"/>
                <w:color w:val="auto"/>
              </w:rPr>
              <w:t>(4)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Total debt</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1,316.1</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1,157.6</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782.7</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568.2</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782.6</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equity-controlling interest</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715.2</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553.7</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710.5</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601.9</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CASH FLOWS: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flows provided by operating activities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237.4</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3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240.9</w:t>
            </w:r>
          </w:p>
        </w:tc>
        <w:tc>
          <w:tcPr>
            <w:tcW w:w="58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342.0</w:t>
            </w:r>
          </w:p>
        </w:tc>
        <w:tc>
          <w:tcPr>
            <w:tcW w:w="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153.4</w:t>
            </w:r>
          </w:p>
        </w:tc>
      </w:tr>
      <w:tr>
        <w:trPr>
          <w:trHeight w:val="191"/>
        </w:trPr>
        <w:tc>
          <w:tcPr>
            <w:tcW w:w="4680" w:type="dxa"/>
            <w:vAlign w:val="bottom"/>
          </w:tcPr>
          <w:p>
            <w:pPr>
              <w:ind w:left="280"/>
              <w:spacing w:after="0"/>
              <w:rPr>
                <w:sz w:val="20"/>
                <w:szCs w:val="20"/>
                <w:color w:val="auto"/>
              </w:rPr>
            </w:pPr>
            <w:r>
              <w:rPr>
                <w:rFonts w:ascii="Arial" w:cs="Arial" w:eastAsia="Arial" w:hAnsi="Arial"/>
                <w:sz w:val="14"/>
                <w:szCs w:val="14"/>
                <w:color w:val="auto"/>
              </w:rPr>
              <w:t>Investments in property, plant and equipment</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58.3</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61.7</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87.6</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60.1</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69.4</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in marketing and license agreement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4680" w:type="dxa"/>
            <w:vAlign w:val="bottom"/>
          </w:tcPr>
          <w:p>
            <w:pPr>
              <w:ind w:left="280"/>
              <w:spacing w:after="0"/>
              <w:rPr>
                <w:sz w:val="20"/>
                <w:szCs w:val="20"/>
                <w:color w:val="auto"/>
              </w:rPr>
            </w:pPr>
            <w:r>
              <w:rPr>
                <w:rFonts w:ascii="Arial" w:cs="Arial" w:eastAsia="Arial" w:hAnsi="Arial"/>
                <w:sz w:val="14"/>
                <w:szCs w:val="14"/>
                <w:color w:val="auto"/>
              </w:rPr>
              <w:t>Investments in loans receivable</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90.0</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distributions from unconsolidated affiliates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4680" w:type="dxa"/>
            <w:vAlign w:val="bottom"/>
          </w:tcPr>
          <w:p>
            <w:pPr>
              <w:ind w:left="280"/>
              <w:spacing w:after="0" w:line="157" w:lineRule="exact"/>
              <w:rPr>
                <w:sz w:val="20"/>
                <w:szCs w:val="20"/>
                <w:color w:val="auto"/>
              </w:rPr>
            </w:pPr>
            <w:r>
              <w:rPr>
                <w:rFonts w:ascii="Arial" w:cs="Arial" w:eastAsia="Arial" w:hAnsi="Arial"/>
                <w:sz w:val="14"/>
                <w:szCs w:val="14"/>
                <w:color w:val="auto"/>
                <w:w w:val="93"/>
              </w:rPr>
              <w:t>Investments in acquired businesses, net of cash acquired and payments on</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4680" w:type="dxa"/>
            <w:vAlign w:val="bottom"/>
          </w:tcPr>
          <w:p>
            <w:pPr>
              <w:ind w:left="280"/>
              <w:spacing w:after="0"/>
              <w:rPr>
                <w:sz w:val="20"/>
                <w:szCs w:val="20"/>
                <w:color w:val="auto"/>
              </w:rPr>
            </w:pPr>
            <w:r>
              <w:rPr>
                <w:rFonts w:ascii="Arial" w:cs="Arial" w:eastAsia="Arial" w:hAnsi="Arial"/>
                <w:sz w:val="14"/>
                <w:szCs w:val="14"/>
                <w:color w:val="auto"/>
              </w:rPr>
              <w:t>sellers notes</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161.2</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181.7</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114.8</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0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116.6</w:t>
            </w: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3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230.8</w:t>
            </w:r>
          </w:p>
        </w:tc>
        <w:tc>
          <w:tcPr>
            <w:tcW w:w="5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87.8</w:t>
            </w: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75.4</w:t>
            </w:r>
          </w:p>
        </w:tc>
      </w:tr>
      <w:tr>
        <w:trPr>
          <w:trHeight w:val="210"/>
        </w:trPr>
        <w:tc>
          <w:tcPr>
            <w:tcW w:w="4680" w:type="dxa"/>
            <w:vAlign w:val="bottom"/>
          </w:tcPr>
          <w:p>
            <w:pPr>
              <w:ind w:left="280"/>
              <w:spacing w:after="0"/>
              <w:rPr>
                <w:sz w:val="20"/>
                <w:szCs w:val="20"/>
                <w:color w:val="auto"/>
              </w:rPr>
            </w:pPr>
            <w:r>
              <w:rPr>
                <w:rFonts w:ascii="Arial" w:cs="Arial" w:eastAsia="Arial" w:hAnsi="Arial"/>
                <w:sz w:val="14"/>
                <w:szCs w:val="14"/>
                <w:color w:val="auto"/>
              </w:rPr>
              <w:t>Purchases of Common Shares</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130.8</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w:t>
            </w:r>
          </w:p>
        </w:tc>
        <w:tc>
          <w:tcPr>
            <w:tcW w:w="3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120.0</w:t>
            </w:r>
          </w:p>
        </w:tc>
        <w:tc>
          <w:tcPr>
            <w:tcW w:w="58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SHARE DATA:</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680" w:type="dxa"/>
            <w:vAlign w:val="bottom"/>
          </w:tcPr>
          <w:p>
            <w:pPr>
              <w:ind w:left="280"/>
              <w:spacing w:after="0"/>
              <w:rPr>
                <w:sz w:val="20"/>
                <w:szCs w:val="20"/>
                <w:color w:val="auto"/>
              </w:rPr>
            </w:pPr>
            <w:r>
              <w:rPr>
                <w:rFonts w:ascii="Arial" w:cs="Arial" w:eastAsia="Arial" w:hAnsi="Arial"/>
                <w:sz w:val="14"/>
                <w:szCs w:val="14"/>
                <w:color w:val="auto"/>
              </w:rPr>
              <w:t>GAAP earnings per common share from continuing operations: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2"/>
        </w:trPr>
        <w:tc>
          <w:tcPr>
            <w:tcW w:w="4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4.15</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3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58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2.27</w:t>
            </w:r>
          </w:p>
        </w:tc>
        <w:tc>
          <w:tcPr>
            <w:tcW w:w="3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r>
      <w:tr>
        <w:trPr>
          <w:trHeight w:val="191"/>
        </w:trPr>
        <w:tc>
          <w:tcPr>
            <w:tcW w:w="4680" w:type="dxa"/>
            <w:vAlign w:val="bottom"/>
          </w:tcPr>
          <w:p>
            <w:pPr>
              <w:ind w:left="60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4.09</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2.23</w:t>
            </w:r>
          </w:p>
        </w:tc>
        <w:tc>
          <w:tcPr>
            <w:tcW w:w="3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5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6"/>
        </w:trPr>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7"/>
        </w:trPr>
        <w:tc>
          <w:tcPr>
            <w:tcW w:w="468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Non-GAAP adjusted earnings per common share from continuing</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94"/>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8" w:lineRule="exact"/>
        <w:rPr>
          <w:sz w:val="20"/>
          <w:szCs w:val="20"/>
          <w:color w:val="auto"/>
        </w:rPr>
      </w:pPr>
    </w:p>
    <w:p>
      <w:pPr>
        <w:sectPr>
          <w:pgSz w:w="11900" w:h="16838" w:orient="portrait"/>
          <w:cols w:equalWidth="0" w:num="1">
            <w:col w:w="11420"/>
          </w:cols>
          <w:pgMar w:left="240" w:top="589" w:right="239" w:bottom="1440" w:gutter="0" w:footer="0" w:header="0"/>
        </w:sectPr>
      </w:pPr>
    </w:p>
    <w:p>
      <w:pPr>
        <w:spacing w:after="0" w:line="14"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Adjusted diluted</w:t>
      </w:r>
      <w:r>
        <w:rPr>
          <w:rFonts w:ascii="Arial" w:cs="Arial" w:eastAsia="Arial" w:hAnsi="Arial"/>
          <w:sz w:val="8"/>
          <w:szCs w:val="8"/>
          <w:color w:val="auto"/>
        </w:rPr>
        <w:t>(2)</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Pro Forma Adjusted Earnings</w:t>
      </w:r>
      <w:r>
        <w:rPr>
          <w:rFonts w:ascii="Arial" w:cs="Arial" w:eastAsia="Arial" w:hAnsi="Arial"/>
          <w:sz w:val="8"/>
          <w:szCs w:val="8"/>
          <w:color w:val="auto"/>
        </w:rPr>
        <w:t>(2)</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Dividends per common share</w:t>
      </w:r>
      <w:r>
        <w:rPr>
          <w:rFonts w:ascii="Arial" w:cs="Arial" w:eastAsia="Arial" w:hAnsi="Arial"/>
          <w:sz w:val="8"/>
          <w:szCs w:val="8"/>
          <w:color w:val="auto"/>
        </w:rPr>
        <w:t>(5)</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 price at year-end</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 price range-High</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 price range-Low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jc w:val="right"/>
              <w:ind w:right="468"/>
              <w:spacing w:after="0"/>
              <w:rPr>
                <w:sz w:val="20"/>
                <w:szCs w:val="20"/>
                <w:color w:val="auto"/>
              </w:rPr>
            </w:pPr>
            <w:r>
              <w:rPr>
                <w:rFonts w:ascii="Arial" w:cs="Arial" w:eastAsia="Arial" w:hAnsi="Arial"/>
                <w:sz w:val="14"/>
                <w:szCs w:val="14"/>
                <w:color w:val="auto"/>
              </w:rPr>
              <w:t>3.90</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3.17</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2.96</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2.45</w:t>
            </w:r>
          </w:p>
        </w:tc>
        <w:tc>
          <w:tcPr>
            <w:tcW w:w="80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rPr>
              <w:t>3.75</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3.53</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3.29</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2.76</w:t>
            </w:r>
          </w:p>
        </w:tc>
        <w:tc>
          <w:tcPr>
            <w:tcW w:w="8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1.910</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1.820</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3.763</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1.413</w:t>
            </w:r>
          </w:p>
        </w:tc>
        <w:tc>
          <w:tcPr>
            <w:tcW w:w="800" w:type="dxa"/>
            <w:vAlign w:val="bottom"/>
          </w:tcPr>
          <w:p>
            <w:pPr>
              <w:jc w:val="right"/>
              <w:spacing w:after="0"/>
              <w:rPr>
                <w:sz w:val="20"/>
                <w:szCs w:val="20"/>
                <w:color w:val="auto"/>
              </w:rPr>
            </w:pPr>
            <w:r>
              <w:rPr>
                <w:rFonts w:ascii="Arial" w:cs="Arial" w:eastAsia="Arial" w:hAnsi="Arial"/>
                <w:sz w:val="14"/>
                <w:szCs w:val="14"/>
                <w:color w:val="auto"/>
              </w:rPr>
              <w:t>1.225</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83.27</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60.82</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55.00</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55.03</w:t>
            </w:r>
          </w:p>
        </w:tc>
        <w:tc>
          <w:tcPr>
            <w:tcW w:w="800" w:type="dxa"/>
            <w:vAlign w:val="bottom"/>
          </w:tcPr>
          <w:p>
            <w:pPr>
              <w:jc w:val="right"/>
              <w:spacing w:after="0"/>
              <w:rPr>
                <w:sz w:val="20"/>
                <w:szCs w:val="20"/>
                <w:color w:val="auto"/>
              </w:rPr>
            </w:pPr>
            <w:r>
              <w:rPr>
                <w:rFonts w:ascii="Arial" w:cs="Arial" w:eastAsia="Arial" w:hAnsi="Arial"/>
                <w:sz w:val="14"/>
                <w:szCs w:val="14"/>
                <w:color w:val="auto"/>
              </w:rPr>
              <w:t>43.47</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83.73</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68.99</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60.30</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55.99</w:t>
            </w:r>
          </w:p>
        </w:tc>
        <w:tc>
          <w:tcPr>
            <w:tcW w:w="800" w:type="dxa"/>
            <w:vAlign w:val="bottom"/>
          </w:tcPr>
          <w:p>
            <w:pPr>
              <w:jc w:val="right"/>
              <w:spacing w:after="0"/>
              <w:rPr>
                <w:sz w:val="20"/>
                <w:szCs w:val="20"/>
                <w:color w:val="auto"/>
              </w:rPr>
            </w:pPr>
            <w:r>
              <w:rPr>
                <w:rFonts w:ascii="Arial" w:cs="Arial" w:eastAsia="Arial" w:hAnsi="Arial"/>
                <w:sz w:val="14"/>
                <w:szCs w:val="14"/>
                <w:color w:val="auto"/>
              </w:rPr>
              <w:t>55.95</w:t>
            </w:r>
          </w:p>
        </w:tc>
      </w:tr>
      <w:tr>
        <w:trPr>
          <w:trHeight w:val="216"/>
        </w:trPr>
        <w:tc>
          <w:tcPr>
            <w:tcW w:w="860" w:type="dxa"/>
            <w:vAlign w:val="bottom"/>
          </w:tcPr>
          <w:p>
            <w:pPr>
              <w:jc w:val="right"/>
              <w:ind w:right="468"/>
              <w:spacing w:after="0"/>
              <w:rPr>
                <w:sz w:val="20"/>
                <w:szCs w:val="20"/>
                <w:color w:val="auto"/>
              </w:rPr>
            </w:pPr>
            <w:r>
              <w:rPr>
                <w:rFonts w:ascii="Arial" w:cs="Arial" w:eastAsia="Arial" w:hAnsi="Arial"/>
                <w:sz w:val="14"/>
                <w:szCs w:val="14"/>
                <w:color w:val="auto"/>
                <w:w w:val="85"/>
              </w:rPr>
              <w:t>60.25</w:t>
            </w:r>
          </w:p>
        </w:tc>
        <w:tc>
          <w:tcPr>
            <w:tcW w:w="1380" w:type="dxa"/>
            <w:vAlign w:val="bottom"/>
          </w:tcPr>
          <w:p>
            <w:pPr>
              <w:jc w:val="right"/>
              <w:ind w:right="448"/>
              <w:spacing w:after="0"/>
              <w:rPr>
                <w:sz w:val="20"/>
                <w:szCs w:val="20"/>
                <w:color w:val="auto"/>
              </w:rPr>
            </w:pPr>
            <w:r>
              <w:rPr>
                <w:rFonts w:ascii="Arial" w:cs="Arial" w:eastAsia="Arial" w:hAnsi="Arial"/>
                <w:sz w:val="14"/>
                <w:szCs w:val="14"/>
                <w:color w:val="auto"/>
              </w:rPr>
              <w:t>54.71</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50.51</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39.64</w:t>
            </w:r>
          </w:p>
        </w:tc>
        <w:tc>
          <w:tcPr>
            <w:tcW w:w="800" w:type="dxa"/>
            <w:vAlign w:val="bottom"/>
          </w:tcPr>
          <w:p>
            <w:pPr>
              <w:jc w:val="right"/>
              <w:spacing w:after="0"/>
              <w:rPr>
                <w:sz w:val="20"/>
                <w:szCs w:val="20"/>
                <w:color w:val="auto"/>
              </w:rPr>
            </w:pPr>
            <w:r>
              <w:rPr>
                <w:rFonts w:ascii="Arial" w:cs="Arial" w:eastAsia="Arial" w:hAnsi="Arial"/>
                <w:sz w:val="14"/>
                <w:szCs w:val="14"/>
                <w:color w:val="auto"/>
              </w:rPr>
              <w:t>35.49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-669290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-394970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-120650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4900" w:space="720"/>
            <w:col w:w="5800"/>
          </w:cols>
          <w:pgMar w:left="240" w:top="589"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464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
        </w:trPr>
        <w:tc>
          <w:tcPr>
            <w:tcW w:w="4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16"/>
        </w:trPr>
        <w:tc>
          <w:tcPr>
            <w:tcW w:w="4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(6)</w:t>
            </w:r>
          </w:p>
        </w:tc>
        <w:tc>
          <w:tcPr>
            <w:tcW w:w="5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517.4</w:t>
            </w:r>
          </w:p>
        </w:tc>
        <w:tc>
          <w:tcPr>
            <w:tcW w:w="5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w:t>
            </w:r>
          </w:p>
        </w:tc>
        <w:tc>
          <w:tcPr>
            <w:tcW w:w="5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412.4</w:t>
            </w:r>
          </w:p>
        </w:tc>
        <w:tc>
          <w:tcPr>
            <w:tcW w:w="5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390.5</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302.9</w:t>
            </w:r>
          </w:p>
        </w:tc>
      </w:tr>
      <w:tr>
        <w:trPr>
          <w:trHeight w:val="210"/>
        </w:trPr>
        <w:tc>
          <w:tcPr>
            <w:tcW w:w="4640" w:type="dxa"/>
            <w:vAlign w:val="bottom"/>
          </w:tcPr>
          <w:p>
            <w:pPr>
              <w:ind w:left="280"/>
              <w:spacing w:after="0"/>
              <w:rPr>
                <w:sz w:val="20"/>
                <w:szCs w:val="20"/>
                <w:color w:val="auto"/>
              </w:rPr>
            </w:pPr>
            <w:r>
              <w:rPr>
                <w:rFonts w:ascii="Arial" w:cs="Arial" w:eastAsia="Arial" w:hAnsi="Arial"/>
                <w:sz w:val="14"/>
                <w:szCs w:val="14"/>
                <w:color w:val="auto"/>
              </w:rPr>
              <w:t>Leverage ratio</w:t>
            </w:r>
            <w:r>
              <w:rPr>
                <w:rFonts w:ascii="Arial" w:cs="Arial" w:eastAsia="Arial" w:hAnsi="Arial"/>
                <w:sz w:val="8"/>
                <w:szCs w:val="8"/>
                <w:color w:val="auto"/>
              </w:rPr>
              <w:t>(6)</w:t>
            </w:r>
          </w:p>
        </w:tc>
        <w:tc>
          <w:tcPr>
            <w:tcW w:w="5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2.63</w:t>
            </w:r>
          </w:p>
        </w:tc>
        <w:tc>
          <w:tcPr>
            <w:tcW w:w="5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5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50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w:t>
            </w:r>
          </w:p>
        </w:tc>
      </w:tr>
      <w:tr>
        <w:trPr>
          <w:trHeight w:val="222"/>
        </w:trPr>
        <w:tc>
          <w:tcPr>
            <w:tcW w:w="4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coverage ratio</w:t>
            </w:r>
            <w:r>
              <w:rPr>
                <w:rFonts w:ascii="Arial" w:cs="Arial" w:eastAsia="Arial" w:hAnsi="Arial"/>
                <w:sz w:val="8"/>
                <w:szCs w:val="8"/>
                <w:color w:val="auto"/>
              </w:rPr>
              <w:t>(6)</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7.88</w:t>
            </w: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9.41</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6.59</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r>
      <w:tr>
        <w:trPr>
          <w:trHeight w:val="191"/>
        </w:trPr>
        <w:tc>
          <w:tcPr>
            <w:tcW w:w="4640" w:type="dxa"/>
            <w:vAlign w:val="bottom"/>
          </w:tcPr>
          <w:p>
            <w:pPr>
              <w:ind w:left="280"/>
              <w:spacing w:after="0"/>
              <w:rPr>
                <w:sz w:val="20"/>
                <w:szCs w:val="20"/>
                <w:color w:val="auto"/>
              </w:rPr>
            </w:pPr>
            <w:r>
              <w:rPr>
                <w:rFonts w:ascii="Arial" w:cs="Arial" w:eastAsia="Arial" w:hAnsi="Arial"/>
                <w:sz w:val="14"/>
                <w:szCs w:val="14"/>
                <w:color w:val="auto"/>
              </w:rPr>
              <w:t>Weighted average Common Shares outstanding</w:t>
            </w:r>
          </w:p>
        </w:tc>
        <w:tc>
          <w:tcPr>
            <w:tcW w:w="5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61.1</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61.1</w:t>
            </w:r>
          </w:p>
        </w:tc>
        <w:tc>
          <w:tcPr>
            <w:tcW w:w="5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61.6</w:t>
            </w:r>
          </w:p>
        </w:tc>
        <w:tc>
          <w:tcPr>
            <w:tcW w:w="5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5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61.0</w:t>
            </w:r>
          </w:p>
        </w:tc>
      </w:tr>
      <w:tr>
        <w:trPr>
          <w:trHeight w:val="26"/>
        </w:trPr>
        <w:tc>
          <w:tcPr>
            <w:tcW w:w="4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7"/>
        </w:trPr>
        <w:tc>
          <w:tcPr>
            <w:tcW w:w="464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w w:val="93"/>
              </w:rPr>
              <w:t>Common shares and dilutive potential common shares used in diluted EPS</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4"/>
        </w:trPr>
        <w:tc>
          <w:tcPr>
            <w:tcW w:w="4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calculation</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w:t>
            </w:r>
          </w:p>
        </w:tc>
      </w:tr>
    </w:tbl>
    <w:p>
      <w:pPr>
        <w:spacing w:after="0" w:line="202" w:lineRule="exact"/>
        <w:rPr>
          <w:sz w:val="20"/>
          <w:szCs w:val="20"/>
          <w:color w:val="auto"/>
        </w:rPr>
      </w:pPr>
    </w:p>
    <w:p>
      <w:pPr>
        <w:ind w:left="660" w:right="22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fourth quarter of fiscal 2012, the Company completed the wind down of its professional seed business (“Pro Seed”). As a result, effective in our fourth quarter of fiscal 2012, we classified Pro Seed as a discontinued operation in accordance with GAAP.</w:t>
      </w:r>
    </w:p>
    <w:p>
      <w:pPr>
        <w:spacing w:after="0" w:line="170" w:lineRule="exact"/>
        <w:rPr>
          <w:rFonts w:ascii="Arial" w:cs="Arial" w:eastAsia="Arial" w:hAnsi="Arial"/>
          <w:sz w:val="18"/>
          <w:szCs w:val="18"/>
          <w:color w:val="auto"/>
        </w:rPr>
      </w:pPr>
    </w:p>
    <w:p>
      <w:pPr>
        <w:ind w:left="660" w:right="10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a discontinued operation in accordance with GAAP.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9" w:right="239" w:bottom="1440" w:gutter="0" w:footer="0" w:header="0"/>
          <w:type w:val="continuous"/>
        </w:sectPr>
      </w:pPr>
    </w:p>
    <w:bookmarkStart w:id="33" w:name="page34"/>
    <w:bookmarkEnd w:id="33"/>
    <w:p>
      <w:pPr>
        <w:ind w:left="652" w:right="100"/>
        <w:spacing w:after="0" w:line="273" w:lineRule="auto"/>
        <w:rPr>
          <w:sz w:val="20"/>
          <w:szCs w:val="20"/>
          <w:color w:val="auto"/>
        </w:rPr>
      </w:pPr>
      <w:r>
        <w:rPr>
          <w:rFonts w:ascii="Arial" w:cs="Arial" w:eastAsia="Arial" w:hAnsi="Arial"/>
          <w:sz w:val="17"/>
          <w:szCs w:val="17"/>
          <w:color w:val="auto"/>
        </w:rPr>
        <w:t>Prior to April 13, 2016, we operated the Scotts LawnService</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we completed the contribution of the SLS Business to a newly formed subsidiary of TruGreen Holdings (the “TruGreen Joint Venture”) in exchange for a minority equity interest of approximately 30% in the TruGreen Joint Venture. As a result, effective in its second quarter of fiscal 2016, we classified the SLS Business as a discontinued operation in accordance with GAAP.</w:t>
      </w:r>
    </w:p>
    <w:p>
      <w:pPr>
        <w:spacing w:after="0" w:line="178" w:lineRule="exact"/>
        <w:rPr>
          <w:sz w:val="20"/>
          <w:szCs w:val="20"/>
          <w:color w:val="auto"/>
        </w:rPr>
      </w:pPr>
    </w:p>
    <w:p>
      <w:pPr>
        <w:ind w:left="652" w:right="180"/>
        <w:spacing w:after="0" w:line="277" w:lineRule="auto"/>
        <w:rPr>
          <w:sz w:val="20"/>
          <w:szCs w:val="20"/>
          <w:color w:val="auto"/>
        </w:rPr>
      </w:pPr>
      <w:r>
        <w:rPr>
          <w:rFonts w:ascii="Arial" w:cs="Arial" w:eastAsia="Arial" w:hAnsi="Arial"/>
          <w:sz w:val="18"/>
          <w:szCs w:val="18"/>
          <w:color w:val="auto"/>
        </w:rPr>
        <w:t>The Selected Financial Data has been retrospectively updated to recast Pro Seed, the wild bird food business and the SLS Business as discontinued operations for each period presented.</w:t>
      </w:r>
    </w:p>
    <w:p>
      <w:pPr>
        <w:spacing w:after="0" w:line="170" w:lineRule="exact"/>
        <w:rPr>
          <w:sz w:val="20"/>
          <w:szCs w:val="20"/>
          <w:color w:val="auto"/>
        </w:rPr>
      </w:pPr>
    </w:p>
    <w:p>
      <w:pPr>
        <w:ind w:left="652" w:right="120" w:hanging="652"/>
        <w:spacing w:after="0" w:line="269"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selected consolidated financial data includes non-GAAP financial measures, as defined in Item 10(e) of SEC Regulation S-K, which are included as additional supplemental information, of adjusted net income from operations, adjusted net income from continuing operations, adjusted net income attributable to controlling interest from continuing operations and adjusted diluted earnings per Common Share from continuing operations (“Adjusted Earnings”), which exclude costs or gains related to discrete projects or transactions. Items excluded during the five-year period ended September 30, 2016 consisted of charges or credits relating to impairments, restructurings, product registration and recall matters, discontinued operations and other unusual items such as costs or gains related to discrete projects or transactions that are apart from and not indicative of the results of the operations of the business. Adjusted Earnings also exclude charges or credits relating to transaction related costs, restructurings and other discrete projects or transactions including a non-cash fair value write down adjustment related to deferred revenue and advertising as part of the transaction accounting that are apart from and not indicative of the results of the operations of the TruGreen Joint Venture. The comparable GAAP measures are reported income from operations, reported income from continuing operations and reported diluted earnings per share from continuing operations.</w:t>
      </w:r>
    </w:p>
    <w:p>
      <w:pPr>
        <w:spacing w:after="0" w:line="182" w:lineRule="exact"/>
        <w:rPr>
          <w:rFonts w:ascii="Arial" w:cs="Arial" w:eastAsia="Arial" w:hAnsi="Arial"/>
          <w:sz w:val="17"/>
          <w:szCs w:val="17"/>
          <w:color w:val="auto"/>
        </w:rPr>
      </w:pPr>
    </w:p>
    <w:p>
      <w:pPr>
        <w:ind w:left="652"/>
        <w:spacing w:after="0" w:line="291" w:lineRule="auto"/>
        <w:rPr>
          <w:rFonts w:ascii="Arial" w:cs="Arial" w:eastAsia="Arial" w:hAnsi="Arial"/>
          <w:sz w:val="17"/>
          <w:szCs w:val="17"/>
          <w:color w:val="auto"/>
        </w:rPr>
      </w:pPr>
      <w:r>
        <w:rPr>
          <w:rFonts w:ascii="Arial" w:cs="Arial" w:eastAsia="Arial" w:hAnsi="Arial"/>
          <w:sz w:val="16"/>
          <w:szCs w:val="16"/>
          <w:color w:val="auto"/>
        </w:rPr>
        <w:t>The selected consolidated financial data also includes non-GAAP financial measures, as defined in Item 10(e) of SEC Regulation S-K, which are included as additional supplemental information, of Pro Forma Adjusted Earnings and Pro Forma Adjusted Earnings per Common Share. These measures are calculated as net income attributable to controlling interest, excluding charges or credits relating to impairments, restructurings, product registration and recall matters and other unusual items such as costs or gains related to discrete projects or transactions that are apart from and not indicative of the results of the operations of the business. These measures also include income (loss) from discontinued operations related to the SLS Business; however, exclude the gain on the contribution of the SLS Business to the TruGreen Joint Venture. The comparable GAAP measures are reported income from operations, reported income from continuing operations and reported diluted earnings per share from continuing operations.</w:t>
      </w:r>
    </w:p>
    <w:p>
      <w:pPr>
        <w:spacing w:after="0" w:line="167" w:lineRule="exact"/>
        <w:rPr>
          <w:rFonts w:ascii="Arial" w:cs="Arial" w:eastAsia="Arial" w:hAnsi="Arial"/>
          <w:sz w:val="17"/>
          <w:szCs w:val="17"/>
          <w:color w:val="auto"/>
        </w:rPr>
      </w:pPr>
    </w:p>
    <w:p>
      <w:pPr>
        <w:ind w:left="652" w:right="20"/>
        <w:spacing w:after="0" w:line="255" w:lineRule="auto"/>
        <w:rPr>
          <w:rFonts w:ascii="Arial" w:cs="Arial" w:eastAsia="Arial" w:hAnsi="Arial"/>
          <w:sz w:val="17"/>
          <w:szCs w:val="17"/>
          <w:color w:val="auto"/>
        </w:rPr>
      </w:pPr>
      <w:r>
        <w:rPr>
          <w:rFonts w:ascii="Arial" w:cs="Arial" w:eastAsia="Arial" w:hAnsi="Arial"/>
          <w:sz w:val="18"/>
          <w:szCs w:val="18"/>
          <w:color w:val="auto"/>
        </w:rPr>
        <w:t>In addition to our GAAP measures, we use these non-GAAP measures to manage the business because we believe that these measures provide additional perspective on and, in some circumstances are more closely correlated to, the performance of our underlying, ongoing business. We believe that disclosure of these non-GAAP financial measures therefore provides useful supplemental information to investors or other users of the financial statements, such as lenders. Non-GAAP financial measures should be viewed in addition to, and not as an alternative for, the Company’s reported results prepared in accordance with GAAP. A reconciliation of the non-GAAP measures to the most directly comparable GAAP measures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48"/>
              <w:spacing w:after="0"/>
              <w:rPr>
                <w:sz w:val="20"/>
                <w:szCs w:val="20"/>
                <w:color w:val="auto"/>
              </w:rPr>
            </w:pPr>
            <w:r>
              <w:rPr>
                <w:rFonts w:ascii="Arial" w:cs="Arial" w:eastAsia="Arial" w:hAnsi="Arial"/>
                <w:sz w:val="14"/>
                <w:szCs w:val="14"/>
                <w:b w:val="1"/>
                <w:bCs w:val="1"/>
                <w:color w:val="auto"/>
                <w:w w:val="92"/>
              </w:rPr>
              <w:t>Year Ended September 30,</w:t>
            </w: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459.3</w:t>
            </w: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262.1</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283.7</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280.2</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Impairment, restructuring and other (recoveries) charges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(39.4)</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registration and recall matters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income from operations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419.9</w:t>
            </w: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352.1</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333.7</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300.5</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w:t>
            </w: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137.8</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145.5</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140.2</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controlling interest from continuing operations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138.9</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Impairment, restructuring and other</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(27.7)</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related to refinancing</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Product registration and recall matters</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income tax expense from continuing operations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income attributable to controlling interest from continuing operations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241.6</w:t>
            </w: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197.4</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185.7</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from SLS Business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Gain on contribution of SLS Business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(131.2)</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Income (loss) from SLS Business in discontinued operations, net of gain on</w:t>
            </w: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of SLS Business</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 from SLS Business in discontinued operations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(11.6)</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SLS Business in discontinued operations, net of tax</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Income tax expense from impairment, restructuring and other from SLS Business in</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 Forma Adjusted Earnings</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232.6</w:t>
            </w: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219.3</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206.3</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172.6</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Diluted income per share from continuing operations</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8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0"/>
        </w:trPr>
        <w:tc>
          <w:tcPr>
            <w:tcW w:w="5160" w:type="dxa"/>
            <w:vAlign w:val="bottom"/>
          </w:tcPr>
          <w:p>
            <w:pPr>
              <w:ind w:left="40"/>
              <w:spacing w:after="0"/>
              <w:rPr>
                <w:sz w:val="20"/>
                <w:szCs w:val="20"/>
                <w:color w:val="auto"/>
              </w:rPr>
            </w:pPr>
            <w:r>
              <w:rPr>
                <w:rFonts w:ascii="Arial" w:cs="Arial" w:eastAsia="Arial" w:hAnsi="Arial"/>
                <w:sz w:val="14"/>
                <w:szCs w:val="14"/>
                <w:color w:val="auto"/>
              </w:rPr>
              <w:t>Costs related to refinancing</w:t>
            </w:r>
          </w:p>
        </w:tc>
        <w:tc>
          <w:tcPr>
            <w:tcW w:w="780" w:type="dxa"/>
            <w:vAlign w:val="bottom"/>
          </w:tcPr>
          <w:p>
            <w:pPr>
              <w:spacing w:after="0"/>
              <w:rPr>
                <w:sz w:val="18"/>
                <w:szCs w:val="18"/>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0.14</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3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 registration and recall matters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Adjustment to income tax expense from continuing operations</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(0.51)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diluted income per common share from continuing operations</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Income from discontinued operations from SLS Business</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80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contribution of SLS Business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5160" w:type="dxa"/>
            <w:vAlign w:val="bottom"/>
          </w:tcPr>
          <w:p>
            <w:pPr>
              <w:ind w:left="100"/>
              <w:spacing w:after="0" w:line="137" w:lineRule="exact"/>
              <w:rPr>
                <w:sz w:val="20"/>
                <w:szCs w:val="20"/>
                <w:color w:val="auto"/>
              </w:rPr>
            </w:pPr>
            <w:r>
              <w:rPr>
                <w:rFonts w:ascii="Arial" w:cs="Arial" w:eastAsia="Arial" w:hAnsi="Arial"/>
                <w:sz w:val="14"/>
                <w:szCs w:val="14"/>
                <w:color w:val="auto"/>
              </w:rPr>
              <w:t>Income (loss) from SLS Business in discontinued operations, net of gain on</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100"/>
              <w:spacing w:after="0"/>
              <w:rPr>
                <w:sz w:val="20"/>
                <w:szCs w:val="20"/>
                <w:color w:val="auto"/>
              </w:rPr>
            </w:pPr>
            <w:r>
              <w:rPr>
                <w:rFonts w:ascii="Arial" w:cs="Arial" w:eastAsia="Arial" w:hAnsi="Arial"/>
                <w:sz w:val="14"/>
                <w:szCs w:val="14"/>
                <w:color w:val="auto"/>
              </w:rPr>
              <w:t>contribution of SLS Business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(0.46)</w:t>
            </w:r>
          </w:p>
        </w:tc>
        <w:tc>
          <w:tcPr>
            <w:tcW w:w="80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3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0.49</w:t>
            </w:r>
          </w:p>
        </w:tc>
        <w:tc>
          <w:tcPr>
            <w:tcW w:w="3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0.48</w:t>
            </w:r>
          </w:p>
        </w:tc>
        <w:tc>
          <w:tcPr>
            <w:tcW w:w="3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from SLS Business in discontinued operations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0.17</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4"/>
        </w:trPr>
        <w:tc>
          <w:tcPr>
            <w:tcW w:w="5160" w:type="dxa"/>
            <w:vAlign w:val="bottom"/>
          </w:tcPr>
          <w:p>
            <w:pPr>
              <w:ind w:left="40"/>
              <w:spacing w:after="0"/>
              <w:rPr>
                <w:sz w:val="20"/>
                <w:szCs w:val="20"/>
                <w:color w:val="auto"/>
              </w:rPr>
            </w:pPr>
            <w:r>
              <w:rPr>
                <w:rFonts w:ascii="Arial" w:cs="Arial" w:eastAsia="Arial" w:hAnsi="Arial"/>
                <w:sz w:val="14"/>
                <w:szCs w:val="14"/>
                <w:color w:val="auto"/>
              </w:rPr>
              <w:t>Income (loss) from SLS Business in discontinued operations, net of tax</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(0.29)</w:t>
            </w:r>
          </w:p>
        </w:tc>
        <w:tc>
          <w:tcPr>
            <w:tcW w:w="800" w:type="dxa"/>
            <w:vAlign w:val="bottom"/>
          </w:tcPr>
          <w:p>
            <w:pPr>
              <w:spacing w:after="0"/>
              <w:rPr>
                <w:sz w:val="17"/>
                <w:szCs w:val="17"/>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0.34</w:t>
            </w:r>
          </w:p>
        </w:tc>
        <w:tc>
          <w:tcPr>
            <w:tcW w:w="30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0.32</w:t>
            </w:r>
          </w:p>
        </w:tc>
        <w:tc>
          <w:tcPr>
            <w:tcW w:w="34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0.31</w:t>
            </w:r>
          </w:p>
        </w:tc>
        <w:tc>
          <w:tcPr>
            <w:tcW w:w="3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160" w:type="dxa"/>
            <w:vAlign w:val="bottom"/>
          </w:tcPr>
          <w:p>
            <w:pPr>
              <w:ind w:left="40"/>
              <w:spacing w:after="0" w:line="157" w:lineRule="exact"/>
              <w:rPr>
                <w:sz w:val="20"/>
                <w:szCs w:val="20"/>
                <w:color w:val="auto"/>
              </w:rPr>
            </w:pPr>
            <w:r>
              <w:rPr>
                <w:rFonts w:ascii="Arial" w:cs="Arial" w:eastAsia="Arial" w:hAnsi="Arial"/>
                <w:sz w:val="14"/>
                <w:szCs w:val="14"/>
                <w:color w:val="auto"/>
                <w:w w:val="98"/>
              </w:rPr>
              <w:t>Income tax expense from impairment, restructuring and other from SLS Business in</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discontinued operations</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 Forma Adjusted Earnings per common share</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w:t>
            </w: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3.53</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3.29</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2.76</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The sum of the components may not equal the total due to rounding.</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total debt to total book capitalization percentage is calculated by dividing total debt by total debt plus total equity-controlling interest.</w:t>
      </w:r>
    </w:p>
    <w:p>
      <w:pPr>
        <w:spacing w:after="0" w:line="236" w:lineRule="exact"/>
        <w:rPr>
          <w:rFonts w:ascii="Arial" w:cs="Arial" w:eastAsia="Arial" w:hAnsi="Arial"/>
          <w:sz w:val="17"/>
          <w:szCs w:val="17"/>
          <w:color w:val="auto"/>
        </w:rPr>
      </w:pPr>
    </w:p>
    <w:p>
      <w:pPr>
        <w:ind w:left="660" w:right="60" w:hanging="652"/>
        <w:spacing w:after="0" w:line="29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Scotts Miracle-Gro pays a quarterly dividend to the holders of its Common Shares. On August 8, 2011, Scotts Miracle-Gro announced that its Board of Directors had increased the quarterly cash dividend to $0.30 per Common Share, which was first paid in the fourth quarter of fiscal 2011. On August 9, 2012, Scotts Miracle-Gro announced that its Board of Directors had increased the quarterly cash dividend to $0.325 per Common Share, which was first paid in the fourth quarter of fiscal 2012. On August 6, 2013, Scotts Miracle-Gro announced that its Board of Directors had increased the quarterly cash dividend to $0.4375 per Common Share, which was first paid in the fourth quarter of fiscal 2013. On August 11, 2014, Scotts Miracle-Gro announced that its Board of Directors had (i) further increased the quarterly cash dividend to $0.45 per Common Share,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9" w:right="239" w:bottom="1440" w:gutter="0" w:footer="0" w:header="0"/>
        </w:sectPr>
      </w:pPr>
    </w:p>
    <w:bookmarkStart w:id="35" w:name="page36"/>
    <w:bookmarkEnd w:id="35"/>
    <w:p>
      <w:pPr>
        <w:jc w:val="both"/>
        <w:ind w:left="652" w:right="140"/>
        <w:spacing w:after="0" w:line="354" w:lineRule="auto"/>
        <w:rPr>
          <w:sz w:val="20"/>
          <w:szCs w:val="20"/>
          <w:color w:val="auto"/>
        </w:rPr>
      </w:pPr>
      <w:r>
        <w:rPr>
          <w:rFonts w:ascii="Arial" w:cs="Arial" w:eastAsia="Arial" w:hAnsi="Arial"/>
          <w:sz w:val="16"/>
          <w:szCs w:val="16"/>
          <w:color w:val="auto"/>
        </w:rPr>
        <w:t>which was first paid in the fourth quarter of fiscal 2014 and (ii) declared a special one-time cash dividend of $2.00 per Common Share, which was paid on September 17, 2014. On August 3, 2015, Scotts Miracle-Gro announced that its Board of Directors had further increased the quarterly cash dividend to $0.47 per Common Share, which was first paid in the fourth quarter of fiscal 2015. On August 3, 2016, Scotts Miracle-Gro announced that its Board of Directors had further increased the quarterly cash dividend to $0.50 per Common Share, which was paid in September 2016.</w:t>
      </w:r>
    </w:p>
    <w:p>
      <w:pPr>
        <w:spacing w:after="0" w:line="130" w:lineRule="exact"/>
        <w:rPr>
          <w:sz w:val="20"/>
          <w:szCs w:val="20"/>
          <w:color w:val="auto"/>
        </w:rPr>
      </w:pPr>
    </w:p>
    <w:p>
      <w:pPr>
        <w:ind w:left="652" w:hanging="652"/>
        <w:spacing w:after="0" w:line="268"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view our senior secured credit agreement as material to our ability to fund operations, particularly in light of our seasonality. Please refer to “Risk Factors-Our indebtedness could limit our flexibility, adversely affect our financial condition and prevent us from making payments on the notes. The terms of our senior secured credit agreement and the indentures governing the notes and the 2026 notes impose significant operating and financial restrictions on us and our subsidiaries, which could also adversely affect our operating flexibility and put us at a competitive disadvantage by preventing us from capitalizing on business opportunities” for a more complete discussion of the risks associated with our debt and our senior secured credit agreement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agreements, and used to calculate a leverage ratio (maximum of 4.50 at September 30, 2016) and an interest coverage ratio (minimum of 3.00 for the twelve months ended September 30, 2016). Leverage ratio is calculated as average total indebtedness, as described in our credit facility, divided by Adjusted EBITDA. Interest coverage ratio is calculated as Adjusted EBITDA divided by interest expense, as described in our credit facility, and excludes costs related to refinancings. Our leverage ratio was 3.10 at September 30, 2016 and our interest coverage ratio was 7.88 for the twelve months ended September 30, 2016. Please refer to “Description of Other Indebtedness-Senior Secured Credit Agreement” for a discussion of our senior secured credit agreement.</w:t>
      </w:r>
    </w:p>
    <w:p>
      <w:pPr>
        <w:spacing w:after="0" w:line="185" w:lineRule="exact"/>
        <w:rPr>
          <w:rFonts w:ascii="Arial" w:cs="Arial" w:eastAsia="Arial" w:hAnsi="Arial"/>
          <w:sz w:val="17"/>
          <w:szCs w:val="17"/>
          <w:color w:val="auto"/>
        </w:rPr>
      </w:pPr>
    </w:p>
    <w:p>
      <w:pPr>
        <w:ind w:left="652" w:right="20"/>
        <w:spacing w:after="0" w:line="287" w:lineRule="auto"/>
        <w:rPr>
          <w:rFonts w:ascii="Arial" w:cs="Arial" w:eastAsia="Arial" w:hAnsi="Arial"/>
          <w:sz w:val="17"/>
          <w:szCs w:val="17"/>
          <w:color w:val="auto"/>
        </w:rPr>
      </w:pPr>
      <w:r>
        <w:rPr>
          <w:rFonts w:ascii="Arial" w:cs="Arial" w:eastAsia="Arial" w:hAnsi="Arial"/>
          <w:sz w:val="16"/>
          <w:szCs w:val="16"/>
          <w:color w:val="auto"/>
        </w:rPr>
        <w:t>In accordance with the terms of our senior secured credit agreement, Adjusted EBITDA is calculated as net income (loss) before interest, taxes, depreciation and amortization as well as certain other items such as the impact of the cumulative effect of changes in accounting, costs associated with debt refinancing and other non-recurring or non-cash items affecting net income. For the fourth quarter of fiscal 2015, the Company changed its calculation of Adjusted EBITDA to reflect the measure as defined in our senior secured credit agreement. Prior periods have not been adjusted as they reflect the presentation consistent with the calculation as required by our borrowing agreements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92"/>
          </w:cols>
          <w:pgMar w:left="248" w:top="39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 numeric reconciliation of Adjusted EBITDA to income from continuing operations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5"/>
              </w:rPr>
              <w:t>Year ended September 30,</w:t>
            </w: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17"/>
        </w:trPr>
        <w:tc>
          <w:tcPr>
            <w:tcW w:w="5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8"/>
                <w:szCs w:val="18"/>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8"/>
                <w:szCs w:val="18"/>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r>
      <w:tr>
        <w:trPr>
          <w:trHeight w:val="39"/>
        </w:trPr>
        <w:tc>
          <w:tcPr>
            <w:tcW w:w="55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5"/>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4"/>
        </w:trPr>
        <w:tc>
          <w:tcPr>
            <w:tcW w:w="5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253.3</w:t>
            </w:r>
          </w:p>
        </w:tc>
        <w:tc>
          <w:tcPr>
            <w:tcW w:w="82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137.8</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145.5</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Income tax expense from continuing operations</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139.4</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73.8</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80.2</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80.8</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57.9</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Income tax expense from discontinued operations</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contribution of SLS Business, net of tax</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Income tax expense from gain on contribution of SLS Business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(51.9)</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related to refinancings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65.6</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59.2</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61.8</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Amortization</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investment of unconsolidated affiliate</w:t>
            </w:r>
            <w:r>
              <w:rPr>
                <w:rFonts w:ascii="Arial" w:cs="Arial" w:eastAsia="Arial" w:hAnsi="Arial"/>
                <w:sz w:val="8"/>
                <w:szCs w:val="8"/>
                <w:color w:val="auto"/>
              </w:rPr>
              <w:t>(7)</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Impairment, restructuring and other from continuing operations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(27.7)</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90.0</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restructuring and other from discontinued operations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Product registration and recall matters, non-cash portion</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Mark-to-market adjustments on derivatives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Expense on certain leases</w:t>
            </w:r>
          </w:p>
        </w:tc>
        <w:tc>
          <w:tcPr>
            <w:tcW w:w="800" w:type="dxa"/>
            <w:vAlign w:val="bottom"/>
          </w:tcPr>
          <w:p>
            <w:pPr>
              <w:spacing w:after="0"/>
              <w:rPr>
                <w:sz w:val="18"/>
                <w:szCs w:val="18"/>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82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550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517.4</w:t>
            </w:r>
          </w:p>
        </w:tc>
        <w:tc>
          <w:tcPr>
            <w:tcW w:w="8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471.8</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412.4</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390.5</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302.9</w:t>
            </w: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1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our 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9"/>
              </w:rPr>
              <w:t>January 2, 2016</w:t>
            </w:r>
          </w:p>
        </w:tc>
      </w:tr>
      <w:tr>
        <w:trPr>
          <w:trHeight w:val="196"/>
        </w:trPr>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8"/>
              </w:rPr>
              <w:t>(In millions, except per share amounts)</w:t>
            </w:r>
          </w:p>
        </w:tc>
      </w:tr>
      <w:tr>
        <w:trPr>
          <w:trHeight w:val="276"/>
        </w:trPr>
        <w:tc>
          <w:tcPr>
            <w:tcW w:w="8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GAAP OPERATING RESULTS: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0"/>
        </w:trPr>
        <w:tc>
          <w:tcPr>
            <w:tcW w:w="8420" w:type="dxa"/>
            <w:vAlign w:val="bottom"/>
          </w:tcPr>
          <w:p>
            <w:pPr>
              <w:ind w:left="280"/>
              <w:spacing w:after="0"/>
              <w:rPr>
                <w:sz w:val="20"/>
                <w:szCs w:val="20"/>
                <w:color w:val="auto"/>
              </w:rPr>
            </w:pPr>
            <w:r>
              <w:rPr>
                <w:rFonts w:ascii="Arial" w:cs="Arial" w:eastAsia="Arial" w:hAnsi="Arial"/>
                <w:sz w:val="14"/>
                <w:szCs w:val="14"/>
                <w:color w:val="auto"/>
              </w:rPr>
              <w:t>Net 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246.8</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194.5</w:t>
            </w:r>
          </w:p>
        </w:tc>
      </w:tr>
      <w:tr>
        <w:trPr>
          <w:trHeight w:val="222"/>
        </w:trPr>
        <w:tc>
          <w:tcPr>
            <w:tcW w:w="8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r>
      <w:tr>
        <w:trPr>
          <w:trHeight w:val="197"/>
        </w:trPr>
        <w:tc>
          <w:tcPr>
            <w:tcW w:w="8420" w:type="dxa"/>
            <w:vAlign w:val="bottom"/>
          </w:tcPr>
          <w:p>
            <w:pPr>
              <w:ind w:left="28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(70.9)</w:t>
            </w:r>
          </w:p>
        </w:tc>
        <w:tc>
          <w:tcPr>
            <w:tcW w:w="2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(97.7)</w:t>
            </w:r>
          </w:p>
        </w:tc>
      </w:tr>
      <w:tr>
        <w:trPr>
          <w:trHeight w:val="209"/>
        </w:trPr>
        <w:tc>
          <w:tcPr>
            <w:tcW w:w="8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from continuing operations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w:t>
            </w:r>
          </w:p>
        </w:tc>
      </w:tr>
      <w:tr>
        <w:trPr>
          <w:trHeight w:val="197"/>
        </w:trPr>
        <w:tc>
          <w:tcPr>
            <w:tcW w:w="8420" w:type="dxa"/>
            <w:vAlign w:val="bottom"/>
          </w:tcPr>
          <w:p>
            <w:pPr>
              <w:ind w:left="280"/>
              <w:spacing w:after="0"/>
              <w:rPr>
                <w:sz w:val="20"/>
                <w:szCs w:val="20"/>
                <w:color w:val="auto"/>
              </w:rPr>
            </w:pPr>
            <w:r>
              <w:rPr>
                <w:rFonts w:ascii="Arial" w:cs="Arial" w:eastAsia="Arial" w:hAnsi="Arial"/>
                <w:sz w:val="14"/>
                <w:szCs w:val="14"/>
                <w:color w:val="auto"/>
              </w:rPr>
              <w:t>Loss from discontinued operations, net of tax</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7"/>
                <w:szCs w:val="17"/>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09"/>
        </w:trPr>
        <w:tc>
          <w:tcPr>
            <w:tcW w:w="8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r>
      <w:tr>
        <w:trPr>
          <w:trHeight w:val="191"/>
        </w:trPr>
        <w:tc>
          <w:tcPr>
            <w:tcW w:w="8420" w:type="dxa"/>
            <w:vAlign w:val="bottom"/>
          </w:tcPr>
          <w:p>
            <w:pPr>
              <w:ind w:left="280"/>
              <w:spacing w:after="0"/>
              <w:rPr>
                <w:sz w:val="20"/>
                <w:szCs w:val="20"/>
                <w:color w:val="auto"/>
              </w:rPr>
            </w:pPr>
            <w:r>
              <w:rPr>
                <w:rFonts w:ascii="Arial" w:cs="Arial" w:eastAsia="Arial" w:hAnsi="Arial"/>
                <w:sz w:val="14"/>
                <w:szCs w:val="14"/>
                <w:color w:val="auto"/>
              </w:rPr>
              <w:t>Net loss attributable to controlling interest</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(65.3)</w:t>
            </w:r>
          </w:p>
        </w:tc>
        <w:tc>
          <w:tcPr>
            <w:tcW w:w="2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POSITION:</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p>
      <w:pPr>
        <w:spacing w:after="0" w:line="4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Property, plant and equipment, net</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assets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debt to total book capitalization</w:t>
      </w:r>
      <w:r>
        <w:rPr>
          <w:rFonts w:ascii="Arial" w:cs="Arial" w:eastAsia="Arial" w:hAnsi="Arial"/>
          <w:sz w:val="8"/>
          <w:szCs w:val="8"/>
          <w:color w:val="auto"/>
        </w:rPr>
        <w:t>(4)</w:t>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debt</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equity-controlling interest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762.2</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866.3</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462.0</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440.5</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3,060.4</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2,720.9</w:t>
            </w:r>
          </w:p>
        </w:tc>
      </w:tr>
      <w:tr>
        <w:trPr>
          <w:trHeight w:val="203"/>
        </w:trPr>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74.9%</w:t>
            </w: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1,728.2</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1,527.7</w:t>
            </w:r>
          </w:p>
        </w:tc>
      </w:tr>
      <w:tr>
        <w:trPr>
          <w:trHeight w:val="216"/>
        </w:trPr>
        <w:tc>
          <w:tcPr>
            <w:tcW w:w="50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579.8</w:t>
            </w:r>
          </w:p>
        </w:tc>
        <w:tc>
          <w:tcPr>
            <w:tcW w:w="50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-806450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-532130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-266065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7620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7720" w:space="720"/>
            <w:col w:w="2980"/>
          </w:cols>
          <w:pgMar w:left="240" w:top="368"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CASH FLOWS: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ind w:left="280"/>
              <w:spacing w:after="0"/>
              <w:rPr>
                <w:sz w:val="20"/>
                <w:szCs w:val="20"/>
                <w:color w:val="auto"/>
              </w:rPr>
            </w:pPr>
            <w:r>
              <w:rPr>
                <w:rFonts w:ascii="Arial" w:cs="Arial" w:eastAsia="Arial" w:hAnsi="Arial"/>
                <w:sz w:val="14"/>
                <w:szCs w:val="14"/>
                <w:color w:val="auto"/>
              </w:rPr>
              <w:t>Cash flows used in operating activities</w:t>
            </w:r>
          </w:p>
        </w:tc>
        <w:tc>
          <w:tcPr>
            <w:tcW w:w="2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(209.8)</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(338.6)</w:t>
            </w:r>
          </w:p>
        </w:tc>
      </w:tr>
      <w:tr>
        <w:trPr>
          <w:trHeight w:val="209"/>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property, plant and equipment</w:t>
            </w:r>
          </w:p>
        </w:tc>
        <w:tc>
          <w:tcPr>
            <w:tcW w:w="2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197"/>
        </w:trPr>
        <w:tc>
          <w:tcPr>
            <w:tcW w:w="5980" w:type="dxa"/>
            <w:vAlign w:val="bottom"/>
          </w:tcPr>
          <w:p>
            <w:pPr>
              <w:ind w:left="280"/>
              <w:spacing w:after="0"/>
              <w:rPr>
                <w:sz w:val="20"/>
                <w:szCs w:val="20"/>
                <w:color w:val="auto"/>
              </w:rPr>
            </w:pPr>
            <w:r>
              <w:rPr>
                <w:rFonts w:ascii="Arial" w:cs="Arial" w:eastAsia="Arial" w:hAnsi="Arial"/>
                <w:sz w:val="14"/>
                <w:szCs w:val="14"/>
                <w:color w:val="auto"/>
              </w:rPr>
              <w:t>Investments in unconsolidated affiliates</w:t>
            </w:r>
          </w:p>
        </w:tc>
        <w:tc>
          <w:tcPr>
            <w:tcW w:w="29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5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222"/>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acquired businesses, net of cash acquired</w:t>
            </w:r>
          </w:p>
        </w:tc>
        <w:tc>
          <w:tcPr>
            <w:tcW w:w="29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598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29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w:t>
            </w:r>
          </w:p>
        </w:tc>
        <w:tc>
          <w:tcPr>
            <w:tcW w:w="58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(28.9)</w:t>
            </w:r>
          </w:p>
        </w:tc>
      </w:tr>
      <w:tr>
        <w:trPr>
          <w:trHeight w:val="222"/>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Common Shares</w:t>
            </w:r>
          </w:p>
        </w:tc>
        <w:tc>
          <w:tcPr>
            <w:tcW w:w="29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64"/>
        </w:trPr>
        <w:tc>
          <w:tcPr>
            <w:tcW w:w="5980" w:type="dxa"/>
            <w:vAlign w:val="bottom"/>
          </w:tcPr>
          <w:p>
            <w:pPr>
              <w:ind w:left="40"/>
              <w:spacing w:after="0"/>
              <w:rPr>
                <w:sz w:val="20"/>
                <w:szCs w:val="20"/>
                <w:color w:val="auto"/>
              </w:rPr>
            </w:pPr>
            <w:r>
              <w:rPr>
                <w:rFonts w:ascii="Arial" w:cs="Arial" w:eastAsia="Arial" w:hAnsi="Arial"/>
                <w:sz w:val="14"/>
                <w:szCs w:val="14"/>
                <w:b w:val="1"/>
                <w:bCs w:val="1"/>
                <w:color w:val="auto"/>
              </w:rPr>
              <w:t>PER SHARE DATA:</w:t>
            </w:r>
          </w:p>
        </w:tc>
        <w:tc>
          <w:tcPr>
            <w:tcW w:w="2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per common share from continuing operations:</w:t>
            </w:r>
          </w:p>
        </w:tc>
        <w:tc>
          <w:tcPr>
            <w:tcW w:w="29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197"/>
        </w:trPr>
        <w:tc>
          <w:tcPr>
            <w:tcW w:w="5980" w:type="dxa"/>
            <w:vAlign w:val="bottom"/>
          </w:tcPr>
          <w:p>
            <w:pPr>
              <w:ind w:left="500"/>
              <w:spacing w:after="0"/>
              <w:rPr>
                <w:sz w:val="20"/>
                <w:szCs w:val="20"/>
                <w:color w:val="auto"/>
              </w:rPr>
            </w:pPr>
            <w:r>
              <w:rPr>
                <w:rFonts w:ascii="Arial" w:cs="Arial" w:eastAsia="Arial" w:hAnsi="Arial"/>
                <w:sz w:val="14"/>
                <w:szCs w:val="14"/>
                <w:color w:val="auto"/>
              </w:rPr>
              <w:t>Basic</w:t>
            </w:r>
          </w:p>
        </w:tc>
        <w:tc>
          <w:tcPr>
            <w:tcW w:w="2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(1.08)</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(1.30)</w:t>
            </w:r>
          </w:p>
        </w:tc>
      </w:tr>
      <w:tr>
        <w:trPr>
          <w:trHeight w:val="209"/>
        </w:trPr>
        <w:tc>
          <w:tcPr>
            <w:tcW w:w="5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29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04"/>
        </w:trPr>
        <w:tc>
          <w:tcPr>
            <w:tcW w:w="5980" w:type="dxa"/>
            <w:vAlign w:val="bottom"/>
          </w:tcPr>
          <w:p>
            <w:pPr>
              <w:ind w:left="360"/>
              <w:spacing w:after="0"/>
              <w:rPr>
                <w:sz w:val="20"/>
                <w:szCs w:val="20"/>
                <w:color w:val="auto"/>
              </w:rPr>
            </w:pPr>
            <w:r>
              <w:rPr>
                <w:rFonts w:ascii="Arial" w:cs="Arial" w:eastAsia="Arial" w:hAnsi="Arial"/>
                <w:sz w:val="14"/>
                <w:szCs w:val="14"/>
                <w:color w:val="auto"/>
              </w:rPr>
              <w:t>Dividends declared per common share</w:t>
            </w:r>
            <w:r>
              <w:rPr>
                <w:rFonts w:ascii="Arial" w:cs="Arial" w:eastAsia="Arial" w:hAnsi="Arial"/>
                <w:sz w:val="8"/>
                <w:szCs w:val="8"/>
                <w:color w:val="auto"/>
              </w:rPr>
              <w:t>(5)</w:t>
            </w:r>
          </w:p>
        </w:tc>
        <w:tc>
          <w:tcPr>
            <w:tcW w:w="29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0.500</w:t>
            </w:r>
          </w:p>
        </w:tc>
        <w:tc>
          <w:tcPr>
            <w:tcW w:w="58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0.470</w:t>
            </w: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68" w:right="239" w:bottom="1440" w:gutter="0" w:footer="0" w:header="0"/>
          <w:type w:val="continuous"/>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DESCRIPTION OF CERTAIN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6.000% Senior Notes due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On October 13, 2015, we completed the sale of $400 million aggregate principal amount of our 2023 notes. The 2023 notes were sold in a private placement exempt from the registration requirements under the Securities Act pursuant to a purchase agreement, dated October 7, 2015 (the “2023 Purchase Agreement”), among the Company, the subsidiary guarantors party thereto (the “2023 subsidiary guarantors”) and Merrill Lynch, Pierce, Fenner &amp; Smith Incorporated, as an initial purchaser and representative of the several other initial purchasers named in the 2023 Purchase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2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2023 notes are our unsecured senior obligations and rank equal in right of payment with our existing and future unsecured senior debt. Our obligations under the 2023 notes are fully and unconditionally guaranteed by the 2023 subsidiary guarantors (the “2023 notes guarantees”). The 2023 notes guarantees are unsecured general obligations of the 2023 subsidiary guarantors and rank equal in right of payment with all existing and future unsecured liabilities of the 2023 subsidiary guarantors that are not subordinated in right of payment to the 2023 notes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At any time prior to October 15, 2018, we may redeem the 2023 notes, in whole or in part, at a “make-whole” redemption price, plus accrued and unpaid interest to the date of redemption as set forth in the indenture governing the 2023 notes. On and after October 15, 2018, the Company may redeem the notes, in whole or in part, at the applicable redemption prices plus accrued and unpaid interest, as set forth in the indenture governing the 2023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Interest on the 2023 notes accrues at a rate of 6.000% per annum from October 13, 2015. Interest on the 2023 notes is payable semi-annually in cash in arrears on April 15 and October 15 of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indenture governing the 2023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 As of December 31, 2016, we were in compliance with all covenants under the indenture governing the 2023 notes.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terms of our 2023 notes include customary events of default, including: (i) non-payment for 30 days of interest on the 2023 notes; (ii) non-payment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when due of the principal of or premium, if any, on the 2023 notes; (iii) failure by us to comply with our covenant obligations in connection with a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or sale of assets; (iv) failure by us to observe or perform our obligations under the reporting covenant which default continues for a period of 90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(v) a default in the observance or performance of any other covenant or agreement contained in the indenture governing the 2023 notes which default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continues for a period of 60 days after we receive written notice specifying the default from the 2023 notes trustee or the holders of at least 25%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principal amount of the 2023 notes; (vi) defaults under other debt instruments or contingent obligations in excess of $100 million, including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default under the notes offered in this prospectus; (vii) judgments entered against us or any of our significant subsidiaries involving a liability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(viii) failure of a subsidiary guarantee of any significant subsidiary to remain in full force and effect in accordance with its terms or denial by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subsidiary guarantor of its obligations under its subsidiary guarantee; or (ix) certain events of bankruptcy or insolvency with respect to us or any of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that is a significant subsidiary.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364"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October 29, 2015, we entered into the senior secured credit agreement providing us and certain of our subsidiaries with five-year senior secured loan facilities in the aggregate principal amount of $1.9 billion, comprised of a revolving credit facility of $1.6 billion and a term loan in the original principal amount of $300.0 million. The senior secured credit agreement also provides us with the right to seek additional committed credit under the senior secured credit agreement in an aggregate amount of up to $500.0 million plus an unlimited additional amount, subject to certain specified financial and other conditions. Under the senior secured credit agreement, we have the ability to obtain letters of credit up to $100.0 million. Borrowings on the senior secured revolving credit facility may be made in various currencies, including U.S. dollars, euros, British pounds, Australian dollars and Canadian dollars. The senior secured credit agreement terminates on October 29,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senior secured credit agreement is secured by (i) a perfected first priority security interest in all of the accounts receivable, inventory and equipment of us and those of our domestic subsidiaries that are parties to the fourth amended and restated guarantee and collateral agreement and (ii) the pledge of all of the capital stock of our domestic subsidiaries that are parties to the fourth amended and restated guarantee and collateral agreement and 65% of the capital stock of our first-tier foreign subsidiaries, in each case subject to exceptions and minimum thresholds. The collateral does not include any of our or our subsidiaries’ intellectual property.</w:t>
      </w:r>
    </w:p>
    <w:p>
      <w:pPr>
        <w:spacing w:after="0" w:line="188"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The obligations under the senior secured credit agreement are guaranteed by substantially all of our domestic subsidiaries. The same subsidiaries that have guaranteed our obligations under the senior secured credit agreement will guarantee the notes offered in this prospectus.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22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Loans made under our senior secured credit agreement bear interest, at our election, at a per annum rate equal to either (i) the Alternate Base Rate plus the Applicable Spread (each, as defined in the senior secured credit agreement) or (ii) the Adjusted LIBO Rate for the Interest Period in effect for such borrowing plus the Applicable Spread (all as defined in the senior secured credit agreement). Swingline loans shall bear interest at the applicable Swingline Rate (as defined in the senior secured credit agreement) set forth in the senior secured credit agreement. As of December 31, 2016, the Applicable Spread was 2.0% with respect to Adjusted LIBO Rate loans and 1.0% with respect to Alternate Base Rate loans.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terms of our senior secured credit agreement include negative covenants setting forth limitations, subject to negotiated exceptions, on: (i) liens;</w:t>
      </w:r>
    </w:p>
    <w:p>
      <w:pPr>
        <w:spacing w:after="0" w:line="35" w:lineRule="exact"/>
        <w:rPr>
          <w:sz w:val="20"/>
          <w:szCs w:val="20"/>
          <w:color w:val="auto"/>
        </w:rPr>
      </w:pPr>
    </w:p>
    <w:p>
      <w:pPr>
        <w:ind w:firstLine="8"/>
        <w:spacing w:after="0" w:line="268"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fundamental changes; (iii) acquisitions, investments, loans and advances; (iv) indebtedness; (v) restrictions on subsidiary liens and subsidiary distributions; (vi) transactions with affiliates; (vii) sales of assets; (viii) sale and leaseback transactions; (ix) changing our fiscal year end; (x) modifications of certain debt instruments; (xi) entering into new lines of business; and (xii) certain restricted payments (if after giving effect to any restricted payment the Leverage Ratio is greater than 4.0 to 1.0, we may only make restricted payments in an aggregate amount for each fiscal year not to exceed the amount set forth in the senior secured credit agreement for such fiscal year ($175 million for fiscal 2016 and fiscal 2017 and $200 million for fiscal 2018 and each fiscal year thereafter)). Our senior secured credit agreement also provides for customary representations and warranties and affirmative covenants and further requires the maintenance of a specified Leverage Ratio and Interest Coverage Ratio (each, as defined in our senior secured credit agreement). As of December 31, 2016, we were in compliance with the covenants under our senior secured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terms of our senior secured credit agreement provide for customary events of default, including: (i) non-payment of principal when due; (ii) non-payment of interest, fees or other amounts after a grace period; (iii) failure of any representation or warranty to be true in all material respects when made or deemed made; (iv) failure to maintain financial ratios; (v) violation of any other covenants subject to a grace period; (vi) defaults under other debt instruments or contingent obligations in excess of $100 million, including a default under the notes offered in this prospectus; (vii) commencement of bankruptcy or similar proceedings by or on behalf of us or one of our material subsidiaries; (viii) change of control; (ix) judgments entered against us or any of our material subsidiaries involving a liability in excess of $100 million; (x) failure of any security document to remain in full force and effect in accordance with its terms; and (xi) certain ERISA violations.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are offering to exchange in the exchange offer any and all of the original notes for an equal principal amount of the exchange notes on the terms and subject to the conditions set forth in this prospectus and the accompanying letter of transmittal. The original notes are, and the exchange notes will be, part of a single class of notes in the aggregate principal amount of $250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15, 2016, we issued and sold $250 million aggregate principal amount of the original notes to the initial purchasers in a private placement transaction that was exempt from the registration requirements of the Securities Act. In connection with the private placement, we entered into the registration rights agreement with the initial purchasers, pursuant to which we agreed to exchange the original notes for exchange notes which we agreed to register under the Securities Act, and we also granted holders of the original notes rights under limited circumstances to have resales of their original notes registered under the Securities Act.</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Under the registration rights agreement, we agreed to file within 465 days after December 15, 2016 a registration statement with the SEC for the exchange of the original notes for the exchange notes. This prospectus is a part of the registration statement we filed to satisfy that obligation. We also agreed to use our reasonable best efforts to cause the registration statement to be declared effective by the SEC within 555 days after December 15, 2016 and to commence the exchange offer following the effectiveness of the registration statement.</w:t>
      </w:r>
    </w:p>
    <w:p>
      <w:pPr>
        <w:spacing w:after="0" w:line="18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We urge you to read the registration rights agreement, a copy of which is filed as an exhibit to the registration statement of which this prospectus forms a part. Copies of the registration rights agreement are also available as set forth under the caption “Where You Can Find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Upon the terms and subject to the conditions described in this prospectus and the accompanying letter of transmittal, we will accept for exchange any and all original notes that are validly tendered at or prior to the expiration time and not validly withdrawn. The principal amount of the exchange notes issued in the exchange offer will be the same as the principal amount of the original notes that are validly tendered and accepted for exchange. You may tender your original notes in whole or in part. However, if you tender less than all of your original notes, you may tender your original notes only in minimum denominations of $2,000 and integral multiples of $1,000 in excess thereof.</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terms of the exchange notes are substantially identical to the terms of the original notes, except that the exchange notes will not be subject to the transfer restrictions, registration rights and additional interest provisions applicable to the original notes. Upon consummation of the exchange offer, the rights of holders of the notes under the registration rights agreement, including rights relating to registration and payment of additional interest upon a registration default, generally will terminate.</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exchange notes will evidence the same debt as the original notes, and will be fully and unconditionally guaranteed on a senior unsecured basis by the same subsidiary guarantors that guarantee the original notes. The indenture governing the exchange notes will be the same indenture that governs the original notes. The exchange notes and any original notes that remain outstanding after the consummation of the exchange offer will constitute a single class of debt securities under the indenture.</w:t>
      </w:r>
    </w:p>
    <w:p>
      <w:pPr>
        <w:spacing w:after="0" w:line="18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As of the date of this prospectus, $250 million aggregate principal amount of the original notes are outstanding and registered in the name of Cede &amp; Co., as nominee for DTC. Only registered holders of the original notes, or their legal representatives or attorneys-in-fact, as reflected on the records of the trustee under the indenture, may participate in the exchange offer. We will not set a fixed record date for determining registered holders of the original notes entitled to participate in the exchange offer.</w:t>
      </w:r>
    </w:p>
    <w:p>
      <w:pPr>
        <w:spacing w:after="0" w:line="187"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You do not have any appraisal or dissenters’ rights in connection with the exchange offer. We intend to conduct the exchange offer in accordance with the provisions of the registration rights agreement and the applicable requirements of the Securities Act, the Exchange Act, and the rules and regulations of the SEC promulgated thereunder. Except for the federal securities laws, no federal or state regulatory requirements must be complied with and no federal or state regulatory approvals must be obtained in connection with the consummation of the exchange offer.</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will be deemed to accept all of the original notes that are validly tendered in the exchange offer and not validly withdrawn if, as, and when we give oral or written notice of acceptance to the exchange agent. The exchange agent will act as your agent for the purposes of receiving the exchange notes from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4" w:right="259" w:bottom="1440" w:gutter="0" w:footer="0" w:header="0"/>
        </w:sectPr>
      </w:pPr>
    </w:p>
    <w:bookmarkStart w:id="40" w:name="page41"/>
    <w:bookmarkEnd w:id="40"/>
    <w:p>
      <w:pPr>
        <w:jc w:val="both"/>
        <w:ind w:right="40" w:firstLine="432"/>
        <w:spacing w:after="0" w:line="342" w:lineRule="auto"/>
        <w:rPr>
          <w:sz w:val="20"/>
          <w:szCs w:val="20"/>
          <w:color w:val="auto"/>
        </w:rPr>
      </w:pPr>
      <w:r>
        <w:rPr>
          <w:rFonts w:ascii="Arial" w:cs="Arial" w:eastAsia="Arial" w:hAnsi="Arial"/>
          <w:sz w:val="16"/>
          <w:szCs w:val="16"/>
          <w:color w:val="auto"/>
        </w:rPr>
        <w:t>If you tender your original notes in the exchange offer, you will not be required to pay any brokerage commissions or fees with respect to the exchange of your original notes for the exchange notes or, except as described below under “-Transfer Taxes,” pay any transfer taxes in connection with such exchange.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Time; Extensions; Amendments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expiration time for the exchange offer is 11:59 p.m., New York City time, on , 2017, unless we, in our sole discretion, extend the exchange offer, in which case the expiration time for the exchange offer will be the latest date and time to which we extend the exchange offer.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extend the exchange offer, we will, before 9:00 a.m., New York City time, on the next business day after the previously scheduled expiration time:</w:t>
      </w:r>
    </w:p>
    <w:p>
      <w:pPr>
        <w:spacing w:after="0" w:line="248" w:lineRule="exact"/>
        <w:rPr>
          <w:sz w:val="20"/>
          <w:szCs w:val="20"/>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notify the exchange agent of any extension orally or in writing; and</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 public announcement of the extension.</w:t>
      </w:r>
    </w:p>
    <w:p>
      <w:pPr>
        <w:spacing w:after="0" w:line="21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an extension of the expiration time, all original notes previously validly tendered will remain subject to the terms and conditions of the exchange offer and will be accepted for exchange by us, upon expiration of the exchange offer, unless validly withdrawn.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expressly reserve the right:</w:t>
      </w:r>
    </w:p>
    <w:p>
      <w:pPr>
        <w:spacing w:after="0" w:line="225" w:lineRule="exact"/>
        <w:rPr>
          <w:sz w:val="20"/>
          <w:szCs w:val="20"/>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extend the expiration time;</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delay accepting any original notes due to an extension of the exchange offer;</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amend the exchange offer in any manner; or</w:t>
      </w:r>
    </w:p>
    <w:p>
      <w:pPr>
        <w:spacing w:after="0" w:line="9" w:lineRule="exact"/>
        <w:rPr>
          <w:rFonts w:ascii="Arial" w:cs="Arial" w:eastAsia="Arial" w:hAnsi="Arial"/>
          <w:sz w:val="18"/>
          <w:szCs w:val="18"/>
          <w:color w:val="auto"/>
        </w:rPr>
      </w:pPr>
    </w:p>
    <w:p>
      <w:pPr>
        <w:ind w:left="880" w:right="420" w:hanging="359"/>
        <w:spacing w:after="0" w:line="26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conditions listed below under “-Conditions to the Exchange Offer” are not satisfied or waived, to terminate the exchange offer and not accept any original notes for exchange.</w:t>
      </w:r>
    </w:p>
    <w:p>
      <w:pPr>
        <w:spacing w:after="0" w:line="18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Any extension, delay in acceptance, amendment or termination will be followed promptly by notice to the registered holders of the original notes. If we amend the exchange offer in a manner that we determine constitutes a material change (including waiver of a material condition to the exchange offer), we will promptly disclose the amendment by means reasonably calculated to inform the registered holders of the original notes of such amendment, and we will extend the exchange offer to the extent required by law. Generally, we must keep the exchange offer open for at least five business days following a material change.</w:t>
      </w:r>
    </w:p>
    <w:p>
      <w:pPr>
        <w:spacing w:after="0" w:line="20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Without limiting the manner in which we may choose to make a public announcement of any extension, delay in acceptance, amendment or termination of the exchange offer, we will have no obligation to publish, advertise or otherwise communicate such public announcement, other than by making a timely press release to an appropriate news agency.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Exchanging original notes for exchange notes will not affect the amount of interest a holder will receive. The exchange notes will accrue interest at the same rate (5.250% per annum) and on the same terms as the original notes. Interest will be payable semi-annually in arrears on each June 15 and December 15, commencing on June 15, 2017.</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When the first interest payment is made with regard to the exchange notes, we will also pay interest on the original notes that are exchanged, from the most recent interest date on which interest has been paid to, but not including, the day the exchange notes are issued. Interest on the original notes that are exchanged will cease to accrue on the day prior to the date on which the exchange notes are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Only a record holder of original notes may tender original notes in the exchange offer. When a record holder tenders original notes for exchange and we accept such original notes for exchange, a binding agreement between us and the tendering holder is created, subject to the terms and conditions set forth in this prospectus and the accompanying letter of transmittal. Except as set forth below, a record holder who wishes to tender original notes for exchange must, at or prior to the expiration time:</w:t>
      </w:r>
    </w:p>
    <w:p>
      <w:pPr>
        <w:spacing w:after="0" w:line="187" w:lineRule="exact"/>
        <w:rPr>
          <w:sz w:val="20"/>
          <w:szCs w:val="20"/>
          <w:color w:val="auto"/>
        </w:rPr>
      </w:pPr>
    </w:p>
    <w:p>
      <w:pPr>
        <w:ind w:left="880" w:right="300" w:hanging="359"/>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transmit a properly completed and duly executed letter of transmittal, together with the original notes being tendered and any other documents required by the letter of transmittal, to U.S. Bank National Association, the exchange agent, at the address set forth below under “-Exchange Agent”;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41" w:name="page42"/>
    <w:bookmarkEnd w:id="41"/>
    <w:p>
      <w:pPr>
        <w:ind w:left="880" w:right="80" w:hanging="359"/>
        <w:spacing w:after="0" w:line="259"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original notes are tendered pursuant to DTC’s book-entry transfer procedures, an agent’s message must be transmitted by DTC to the exchange agent at the address set forth below under “-Exchange Agent,” and the exchange agent must receive, at or prior to the expiration time, a confirmation of the book-entry transfer of the original notes being tendered into the exchange agent’s account at DTC, along with the agent’s message.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“agent’s message” means a message that:</w:t>
      </w:r>
    </w:p>
    <w:p>
      <w:pPr>
        <w:spacing w:after="0" w:line="225" w:lineRule="exact"/>
        <w:rPr>
          <w:sz w:val="20"/>
          <w:szCs w:val="20"/>
          <w:color w:val="auto"/>
        </w:rPr>
      </w:pPr>
    </w:p>
    <w:p>
      <w:pPr>
        <w:ind w:left="880" w:hanging="35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electronically transmitted by DTC to the exchange agent;</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received by the exchange agent and forms a part of a book-entry transfer;</w:t>
      </w:r>
    </w:p>
    <w:p>
      <w:pPr>
        <w:spacing w:after="0" w:line="9" w:lineRule="exact"/>
        <w:rPr>
          <w:rFonts w:ascii="Arial" w:cs="Arial" w:eastAsia="Arial" w:hAnsi="Arial"/>
          <w:sz w:val="18"/>
          <w:szCs w:val="18"/>
          <w:color w:val="auto"/>
        </w:rPr>
      </w:pPr>
    </w:p>
    <w:p>
      <w:pPr>
        <w:ind w:left="880" w:right="220" w:hanging="359"/>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states that DTC has received an express acknowledgement that the tendering holder has received and agrees to be bound by, and makes each of the representations contained in, the letter of transmittal; and</w:t>
      </w:r>
    </w:p>
    <w:p>
      <w:pPr>
        <w:ind w:left="880" w:hanging="359"/>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states that we may enforce the letter of transmittal against such 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wish to tender original notes and:</w:t>
      </w:r>
    </w:p>
    <w:p>
      <w:pPr>
        <w:spacing w:after="0" w:line="225" w:lineRule="exact"/>
        <w:rPr>
          <w:sz w:val="20"/>
          <w:szCs w:val="20"/>
          <w:color w:val="auto"/>
        </w:rPr>
      </w:pPr>
    </w:p>
    <w:p>
      <w:pPr>
        <w:ind w:left="880" w:hanging="359"/>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w:t>
      </w:r>
    </w:p>
    <w:p>
      <w:pPr>
        <w:spacing w:after="0" w:line="23" w:lineRule="exact"/>
        <w:rPr>
          <w:rFonts w:ascii="Arial" w:cs="Arial" w:eastAsia="Arial" w:hAnsi="Arial"/>
          <w:sz w:val="18"/>
          <w:szCs w:val="18"/>
          <w:color w:val="auto"/>
        </w:rPr>
      </w:pPr>
    </w:p>
    <w:p>
      <w:pPr>
        <w:ind w:left="880" w:right="100" w:hanging="359"/>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the exchange agent at or prior to the expiration time; or</w:t>
      </w:r>
    </w:p>
    <w:p>
      <w:pPr>
        <w:ind w:left="880" w:right="240" w:hanging="359"/>
        <w:spacing w:after="0" w:line="26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procedures for book-entry transfer cannot be completed at or prior to the expiration time, you may tender your original notes by complying with the guaranteed delivery procedures described below under “-Guaranteed Delivery Procedures.”</w:t>
      </w:r>
    </w:p>
    <w:p>
      <w:pPr>
        <w:spacing w:after="0" w:line="193" w:lineRule="exact"/>
        <w:rPr>
          <w:sz w:val="20"/>
          <w:szCs w:val="20"/>
          <w:color w:val="auto"/>
        </w:rPr>
      </w:pPr>
    </w:p>
    <w:p>
      <w:pPr>
        <w:ind w:right="20" w:firstLine="432"/>
        <w:spacing w:after="0" w:line="281" w:lineRule="auto"/>
        <w:rPr>
          <w:sz w:val="20"/>
          <w:szCs w:val="20"/>
          <w:color w:val="auto"/>
        </w:rPr>
      </w:pPr>
      <w:r>
        <w:rPr>
          <w:rFonts w:ascii="Arial" w:cs="Arial" w:eastAsia="Arial" w:hAnsi="Arial"/>
          <w:sz w:val="17"/>
          <w:szCs w:val="17"/>
          <w:b w:val="1"/>
          <w:bCs w:val="1"/>
          <w:color w:val="auto"/>
        </w:rPr>
        <w:t>The method of delivery of the original notes, the letter of transmittal or an agent’s message, and any other required documents to the exchange agent is at your election and sole risk. We recommend that you use overnight or hand delivery service. If such delivery is by mail, we recommend that you use properly insured registered mail, return receipt requested. In all cases, you should allow sufficient time to assure delivery to the exchange agent before the expiration time. No letters of transmittal or original notes should be sent directly to us.</w:t>
      </w:r>
    </w:p>
    <w:p>
      <w:pPr>
        <w:spacing w:after="0" w:line="16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before completing, signing and delivering the letter of transmittal, together with your original notes and any other required documents, to the exchange agent, you must either:</w:t>
      </w:r>
    </w:p>
    <w:p>
      <w:pPr>
        <w:spacing w:after="0" w:line="187" w:lineRule="exact"/>
        <w:rPr>
          <w:sz w:val="20"/>
          <w:szCs w:val="20"/>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note that the transfer of registered ownership may take considerable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Signatures on a letter of transmittal or notice of withdrawal must be guaranteed unless the original notes tendered for exchange are tendered:</w:t>
      </w:r>
    </w:p>
    <w:p>
      <w:pPr>
        <w:spacing w:after="0" w:line="237" w:lineRule="exact"/>
        <w:rPr>
          <w:sz w:val="20"/>
          <w:szCs w:val="20"/>
          <w:color w:val="auto"/>
        </w:rPr>
      </w:pPr>
    </w:p>
    <w:p>
      <w:pPr>
        <w:ind w:left="880" w:right="640" w:hanging="359"/>
        <w:spacing w:after="0" w:line="25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the registered holder of the original notes who has not completed the box entitled “Special Issuance Instructions” or “Special Delivery Instructions” on the letter of transmittal; or</w:t>
      </w:r>
    </w:p>
    <w:p>
      <w:pPr>
        <w:spacing w:after="0" w:line="1" w:lineRule="exact"/>
        <w:rPr>
          <w:rFonts w:ascii="Arial" w:cs="Arial" w:eastAsia="Arial" w:hAnsi="Arial"/>
          <w:sz w:val="18"/>
          <w:szCs w:val="18"/>
          <w:color w:val="auto"/>
        </w:rPr>
      </w:pPr>
    </w:p>
    <w:p>
      <w:pPr>
        <w:ind w:left="880" w:right="20" w:hanging="359"/>
        <w:spacing w:after="0" w:line="273"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account of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 each of the foregoing being referred to herein as an “eligible institution.”</w:t>
      </w:r>
    </w:p>
    <w:p>
      <w:pPr>
        <w:spacing w:after="0" w:line="17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signatures on a letter of transmittal or notice of withdrawal are required to be guaranteed, the guarantor must be an eligible institution. If original notes are registered in the name of a person other than the person who signed the letter of transmittal, the original notes tendered for exchange must be endorsed by, or accompanied by a written instrument of transfer or exchange, in satisfactory form as determined by us in our sole discretion, duly executed by the registered holder with the registered holder’s signature guaranteed by an eligible institution.</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If trustees, executors, administrators, guardians, attorneys-in-fact, officers of corporations or others acting in a fiduciary or representative capacity sign the letter of transmittal, any original notes, any notice of withdrawal or any instrument of transfer, such persons must so indicate when signing and must submit proper evidence satisfactory to us of such person’s authority to so act.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68" w:right="259" w:bottom="1440" w:gutter="0" w:footer="0" w:header="0"/>
        </w:sectPr>
      </w:pPr>
    </w:p>
    <w:bookmarkStart w:id="42" w:name="page43"/>
    <w:bookmarkEnd w:id="42"/>
    <w:p>
      <w:pPr>
        <w:ind w:right="360" w:firstLine="432"/>
        <w:spacing w:after="0" w:line="277"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and acceptance of original notes tendered for exchange and all other required documents. We reserve the absolute right to:</w:t>
      </w:r>
    </w:p>
    <w:p>
      <w:pPr>
        <w:spacing w:after="0" w:line="170" w:lineRule="exact"/>
        <w:rPr>
          <w:sz w:val="20"/>
          <w:szCs w:val="20"/>
          <w:color w:val="auto"/>
        </w:rPr>
      </w:pPr>
    </w:p>
    <w:p>
      <w:pPr>
        <w:ind w:left="880" w:hanging="35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reject any and all tenders of any original notes not validly tendered;</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refuse to accept any original notes if, in our judgment or the judgment of our counsel, acceptance of the original notes may be deemed unlawful;</w:t>
      </w:r>
    </w:p>
    <w:p>
      <w:pPr>
        <w:spacing w:after="0" w:line="32" w:lineRule="exact"/>
        <w:rPr>
          <w:rFonts w:ascii="Arial" w:cs="Arial" w:eastAsia="Arial" w:hAnsi="Arial"/>
          <w:sz w:val="16"/>
          <w:szCs w:val="16"/>
          <w:color w:val="auto"/>
        </w:rPr>
      </w:pPr>
    </w:p>
    <w:p>
      <w:pPr>
        <w:ind w:left="880" w:hanging="35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any defects or irregularities as to all or any particular original notes, either before or after the expiration time;</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any conditions of the exchange offer; and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 the eligibility of any holder who seeks to tender original notes in the exchange offer.</w:t>
      </w:r>
    </w:p>
    <w:p>
      <w:pPr>
        <w:spacing w:after="0" w:line="224"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determinations, either before or after the expiration time, with respect to the exchange offer, including the letter of transmittal and the instructions to the letter of transmittal, or as to any questions with respect to the tender of any original notes, will be final and binding on all parties. To the extent we waive any conditions to the exchange offer, we will waive such conditions as to all original notes. Holders must cure any defects and irregularities in connection with tenders of original notes for exchange within such reasonable period of time as we may determine, unless we waive such defects or irregularities. Neither we nor the exchange agent will be under any duty to give notification of any defect or irregularity with respect to any tender of original notes for exchange, or to waive any such defects or irregularities, nor will either of us incur any liability for failure to give such notification or waiver.</w:t>
      </w:r>
    </w:p>
    <w:p>
      <w:pPr>
        <w:spacing w:after="0" w:line="16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to purchase any original notes that remain outstanding after consummation of the exchange offer. We also reserve the right to terminate the exchange offer, as described below under “-Conditions to the Exchange Offer,” and, to the extent permitted by applicable law, purchase the original notes in the open market, in privately negotiated transactions or otherwise. The terms of any such purchases or offers could differ materially from the terms of the exchange offer.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 wish to tender your original notes for exchange notes in the exchange offer, we will require you to represent that:</w:t>
      </w:r>
    </w:p>
    <w:p>
      <w:pPr>
        <w:spacing w:after="0" w:line="225" w:lineRule="exact"/>
        <w:rPr>
          <w:sz w:val="20"/>
          <w:szCs w:val="20"/>
          <w:color w:val="auto"/>
        </w:rPr>
      </w:pPr>
    </w:p>
    <w:p>
      <w:pPr>
        <w:ind w:left="880" w:hanging="35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23" w:lineRule="exact"/>
        <w:rPr>
          <w:rFonts w:ascii="Arial" w:cs="Arial" w:eastAsia="Arial" w:hAnsi="Arial"/>
          <w:sz w:val="18"/>
          <w:szCs w:val="18"/>
          <w:color w:val="auto"/>
        </w:rPr>
      </w:pPr>
    </w:p>
    <w:p>
      <w:pPr>
        <w:ind w:left="880" w:right="260" w:hanging="359"/>
        <w:spacing w:after="0" w:line="250"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you are not participating, and you do not intend to participate, in the distribution of the exchange notes (within the meaning of the Securities Act);</w:t>
      </w:r>
    </w:p>
    <w:p>
      <w:pPr>
        <w:ind w:left="880" w:hanging="35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not an “affiliate” (as such term is defined in Rule 405 under the Securities Act) of ours;</w:t>
      </w:r>
    </w:p>
    <w:p>
      <w:pPr>
        <w:spacing w:after="0" w:line="9" w:lineRule="exact"/>
        <w:rPr>
          <w:rFonts w:ascii="Arial" w:cs="Arial" w:eastAsia="Arial" w:hAnsi="Arial"/>
          <w:sz w:val="18"/>
          <w:szCs w:val="18"/>
          <w:color w:val="auto"/>
        </w:rPr>
      </w:pPr>
    </w:p>
    <w:p>
      <w:pPr>
        <w:ind w:left="880" w:hanging="359"/>
        <w:spacing w:after="0" w:line="250"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not tendering original notes that have, or that are reasonably likely to have, the status of an unsold allotment of the initial placement of the original notes; and</w:t>
      </w:r>
    </w:p>
    <w:p>
      <w:pPr>
        <w:ind w:left="880" w:right="100" w:hanging="359"/>
        <w:spacing w:after="0" w:line="255"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are a broker-dealer, (i) you will receive the exchange notes for your own account, (ii) you acquired the original notes as a result of market-making activities or other trading activities and (iii) you will deliver a prospectus meeting the requirements of the Securities Act in connection with any resale of such exchange notes.</w:t>
      </w:r>
    </w:p>
    <w:p>
      <w:pPr>
        <w:spacing w:after="0" w:line="190"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If you do not meet these requirements and are unable to make the foregoing representations, you may not participate in the exchange offer, and any sale or transfer of your original notes must comply with the registration and prospectus delivery requirements of the Securities Act, unless such sale or transfer is made pursuant to an exemption from those requirements. See “-Consequences of Failure to Exchange Original Notes” below for additional information.</w:t>
      </w:r>
    </w:p>
    <w:p>
      <w:pPr>
        <w:spacing w:after="0" w:line="143" w:lineRule="exact"/>
        <w:rPr>
          <w:sz w:val="20"/>
          <w:szCs w:val="20"/>
          <w:color w:val="auto"/>
        </w:rPr>
      </w:pPr>
    </w:p>
    <w:p>
      <w:pPr>
        <w:ind w:right="160" w:firstLine="432"/>
        <w:spacing w:after="0" w:line="261" w:lineRule="auto"/>
        <w:rPr>
          <w:sz w:val="20"/>
          <w:szCs w:val="20"/>
          <w:color w:val="auto"/>
        </w:rPr>
      </w:pPr>
      <w:r>
        <w:rPr>
          <w:rFonts w:ascii="Arial" w:cs="Arial" w:eastAsia="Arial" w:hAnsi="Arial"/>
          <w:sz w:val="18"/>
          <w:szCs w:val="18"/>
          <w:b w:val="1"/>
          <w:bCs w:val="1"/>
          <w:color w:val="auto"/>
        </w:rPr>
        <w:t>We make no recommendation as to whether you should exchange or refrain from exchanging all or any portion of your original notes in the exchange offer. In addition, we have not authorized anyone to make any such recommendation. You must make your own decision as to whether to exchange your original notes in the exchange offer and, if so, the aggregate amount of original notes to exchange, after reading this prospectus and the letter of transmittal and consulting with your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the Exchange Notes</w:t>
      </w:r>
    </w:p>
    <w:p>
      <w:pPr>
        <w:spacing w:after="0" w:line="229"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Based on interpretations by the staff of the SEC contained in several no-action letters issued to third parties, we believe that a holder of original notes who meets the requirements and is able to make the representations described above under “-Procedures for Tendering Original Notes” may offer for resale, resell or otherwise transfer the exchange notes received in the exchange offer without further registration and, except as described below, without the need to deliver a prospectus under the Securities Act. Any holder who does not meet these requirements and is unable to make such representations:</w:t>
      </w:r>
    </w:p>
    <w:p>
      <w:pPr>
        <w:spacing w:after="0" w:line="154" w:lineRule="exact"/>
        <w:rPr>
          <w:sz w:val="20"/>
          <w:szCs w:val="20"/>
          <w:color w:val="auto"/>
        </w:rPr>
      </w:pPr>
    </w:p>
    <w:p>
      <w:pPr>
        <w:ind w:left="880" w:hanging="35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such no-action letters;</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9" w:lineRule="exact"/>
        <w:rPr>
          <w:rFonts w:ascii="Arial" w:cs="Arial" w:eastAsia="Arial" w:hAnsi="Arial"/>
          <w:sz w:val="18"/>
          <w:szCs w:val="18"/>
          <w:color w:val="auto"/>
        </w:rPr>
      </w:pPr>
    </w:p>
    <w:p>
      <w:pPr>
        <w:ind w:left="880" w:right="460" w:hanging="359"/>
        <w:spacing w:after="0" w:line="290"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68" w:right="259" w:bottom="1440" w:gutter="0" w:footer="0" w:header="0"/>
        </w:sectPr>
      </w:pPr>
    </w:p>
    <w:bookmarkStart w:id="43" w:name="page44"/>
    <w:bookmarkEnd w:id="43"/>
    <w:p>
      <w:pPr>
        <w:ind w:right="40" w:firstLine="432"/>
        <w:spacing w:after="0" w:line="291" w:lineRule="auto"/>
        <w:rPr>
          <w:sz w:val="20"/>
          <w:szCs w:val="20"/>
          <w:color w:val="auto"/>
        </w:rPr>
      </w:pPr>
      <w:r>
        <w:rPr>
          <w:rFonts w:ascii="Arial" w:cs="Arial" w:eastAsia="Arial" w:hAnsi="Arial"/>
          <w:sz w:val="16"/>
          <w:szCs w:val="16"/>
          <w:color w:val="auto"/>
        </w:rPr>
        <w:t>Under the registration rights agreement, we agreed, among other matters, to file a shelf registration statement covering resales of the original notes (i) if any changes in applicable law or SEC policy do not permit us to effect the exchange offer, (ii) if for any reason the exchange offer is not consummated within 555 days following December 15, 2016,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See “-Filing of Shelf Registration Statement” below for additional information. We do not intend to file a shelf registration statement covering resales of the original notes unless we are required to do so under the registration rights agreement.</w:t>
      </w:r>
    </w:p>
    <w:p>
      <w:pPr>
        <w:spacing w:after="0" w:line="16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connection with the resale of exchange notes, any participating broker-dealer who acquired the original notes for its own account as a result of market-making activities or other trading activities may be a statutory underwriter and must deliver a prospectus meeting the requirements of the Securities Act. In no-action letters issued to third parties, the SEC has taken the position that participating broker-dealers may fulfill their prospectus delivery requirements with respect to the exchange notes by delivery of the prospectus relating to the exchange offer.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the exchange notes during the one-year period following the consummation of the exchange offer. See “Plan of Distribution” for a discussion of certain exchange and resale obligations of broker-dealers in connection with the exchange offer.</w:t>
      </w:r>
    </w:p>
    <w:p>
      <w:pPr>
        <w:spacing w:after="0" w:line="192"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have not requested, and do not intend to request, an interpretation by the staff of the SEC as to whether the exchange notes issued in the exchange offer may be offered for resale, resold or otherwise transferred by any holder without compliance with the registration and prospectus delivery provisions of the Securities Act. 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 Original Notes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you do not exchange your original notes in the exchange offer, whether because you are not eligible to participate in the exchange offer or you decline to tender your original notes for exchange, your original notes will, following the consummation of the exchange offer, continue to be subject to the restrictions on transfer as stated in the indenture and the legend on the original notes. In general, original notes, unless the transfer is registered under the Securities Act, may not be offered, resold or otherwise transferred except pursuant to an exemption from, or in a transaction not subject to, the registration requirements of the Securities Act and applicable state securities laws.</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See “-Filing of Shelf Registration Statement” below for additional information. If you are eligible to participate in the exchange offer, you should not decline to do so based on the assumption that a shelf registration statement will be on file and effective when you intend to resell your original notes.</w:t>
      </w:r>
    </w:p>
    <w:p>
      <w:pPr>
        <w:spacing w:after="0" w:line="15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See “Risk Factors-Risks Related to the Exchange Notes and the Exchange Offer” for a discussion of certain risks you should consider before deciding whether to participate in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229"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6"/>
          <w:szCs w:val="16"/>
          <w:color w:val="auto"/>
        </w:rPr>
        <w:t>Within two business days after receipt of this prospectus, the exchange agent is obligated to make a request to establish an account for the original notes at DTC for purposes of the exchange offer, unless the exchange agent already has established an account with DTC suitable for the exchange offer. Subject to the establishment of the account, any financial institution that is a participant in DTC’s system may make book-entry delivery of the original notes by causing DTC to transfer the original notes into the exchange agent’s account at DTC in accordance with DTC’s Automated Tender Offer Program, known as ATOP.</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Such participant should transmit its acceptance to DTC at or prior to the expiration time or comply with the guaranteed delivery procedures described below under “-Guaranteed Delivery Procedures.” DTC will verify such acceptance, execute a book-entry transfer of the tendered original notes into the exchange agent’s account at DTC and then send to the exchange agent confirmation of such book-entry transfer.</w:t>
      </w:r>
    </w:p>
    <w:p>
      <w:pPr>
        <w:spacing w:after="0" w:line="1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confirmation of such book-entry transfer will include an agent’s message or a validly completed and duly executed letter of transmittal. The agent’s message or letter of transmittal, with any required signature guarantees, and any other required documents,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44" w:name="page45"/>
    <w:bookmarkEnd w:id="44"/>
    <w:p>
      <w:pPr>
        <w:ind w:right="280"/>
        <w:spacing w:after="0" w:line="308" w:lineRule="auto"/>
        <w:rPr>
          <w:sz w:val="20"/>
          <w:szCs w:val="20"/>
          <w:color w:val="auto"/>
        </w:rPr>
      </w:pPr>
      <w:r>
        <w:rPr>
          <w:rFonts w:ascii="Arial" w:cs="Arial" w:eastAsia="Arial" w:hAnsi="Arial"/>
          <w:sz w:val="17"/>
          <w:szCs w:val="17"/>
          <w:color w:val="auto"/>
        </w:rPr>
        <w:t>must be transmitted to and received by the exchange agent at the address set forth below under “-Exchange Agent” at or prior to the expiration time, or the holder must comply with the guaranteed delivery procedures described below under “-Guaranteed Delivery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If you wish to tender your original notes and: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you may effect a tender if:</w:t>
      </w:r>
    </w:p>
    <w:p>
      <w:pPr>
        <w:spacing w:after="0" w:line="181" w:lineRule="exact"/>
        <w:rPr>
          <w:sz w:val="20"/>
          <w:szCs w:val="20"/>
          <w:color w:val="auto"/>
        </w:rPr>
      </w:pPr>
    </w:p>
    <w:p>
      <w:pPr>
        <w:ind w:left="880" w:right="220" w:hanging="359"/>
        <w:spacing w:after="0" w:line="284"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or prior to the expiration time, the exchange agent receives from an eligible institution a validly completed and duly executed notice of guaranteed delivery, substantially in the form accompanying the letter of transmittal, setting forth your name and address and the amount of the original notes being tendered. The notice of guaranteed delivery will state that the tender is being made and will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will be transmitted to the exchange agent; and</w:t>
      </w:r>
    </w:p>
    <w:p>
      <w:pPr>
        <w:spacing w:after="0" w:line="4" w:lineRule="exact"/>
        <w:rPr>
          <w:rFonts w:ascii="Arial" w:cs="Arial" w:eastAsia="Arial" w:hAnsi="Arial"/>
          <w:sz w:val="16"/>
          <w:szCs w:val="16"/>
          <w:color w:val="auto"/>
        </w:rPr>
      </w:pPr>
    </w:p>
    <w:p>
      <w:pPr>
        <w:ind w:left="880" w:right="80" w:hanging="359"/>
        <w:spacing w:after="0" w:line="30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exchange agent receives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within three business days after the expiration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You may withdraw tenders of your original notes at any time prior to the expiration time. For a withdrawal to be effective, a written notice of withdrawal must be received by the exchange agent at the address set forth below under “-Exchange Agent” prior to the expiration time. Any such notice of withdrawal must:</w:t>
      </w:r>
    </w:p>
    <w:p>
      <w:pPr>
        <w:spacing w:after="0" w:line="181" w:lineRule="exact"/>
        <w:rPr>
          <w:sz w:val="20"/>
          <w:szCs w:val="20"/>
          <w:color w:val="auto"/>
        </w:rPr>
      </w:pPr>
    </w:p>
    <w:p>
      <w:pPr>
        <w:ind w:left="880" w:hanging="359"/>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9" w:lineRule="exact"/>
        <w:rPr>
          <w:rFonts w:ascii="Arial" w:cs="Arial" w:eastAsia="Arial" w:hAnsi="Arial"/>
          <w:sz w:val="18"/>
          <w:szCs w:val="18"/>
          <w:color w:val="auto"/>
        </w:rPr>
      </w:pPr>
    </w:p>
    <w:p>
      <w:pPr>
        <w:ind w:left="880" w:right="100" w:hanging="359"/>
        <w:spacing w:after="0" w:line="250"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ind w:left="880" w:right="300" w:hanging="359"/>
        <w:spacing w:after="0" w:line="265"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DTC’s book-entry transfer procedures; and</w:t>
      </w:r>
    </w:p>
    <w:p>
      <w:pPr>
        <w:ind w:left="880" w:right="120" w:hanging="359"/>
        <w:spacing w:after="0" w:line="26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the signature of the holder in the same manner as the original signature on the letter of transmittal, if any, by which such original notes were tendered, with such signature guaranteed by an eligible institution, unless such holder is an eligible institution.</w:t>
      </w:r>
    </w:p>
    <w:p>
      <w:pPr>
        <w:spacing w:after="0" w:line="18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such notices of withdrawal, and our determination will be final and binding on all parties. Any original notes validly withdrawn will be deemed not to have been validly tendered for exchange for purposes of the exchange offer, and we will not issue exchange notes with respect to such original notes, unless such original notes are validly re-tendered. Validly withdrawn notes may be re-tendered by following one of the procedures described above under “-Procedures for Tendering Original Notes” at any time at or prior to the expiration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Original Notes for Exchange; Delivery of Exchange Notes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Subject to the satisfaction or waiver of the conditions to the exchange offer, promptly following the expiration time, we will accept for exchange all original notes that are validly tendered and not validly withdrawn and will issue the exchange notes. For purposes of the exchange offer, we will be deemed to have accepted validly tendered original notes for exchange when, as, and if we have given oral or written notice of acceptance to the exchange agent. For each original note accepted for exchange, the holder will receive an exchange note, the issuance of which is registered under the Securities Act, having a principal amount equal to, and in the denomination of, that of the tendered original note.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Return of Notes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If we do not accept any tendered original notes, or if a holder withdraws previously tendered original notes or submits original notes for a greater principal amount than the holder desires to exchange, we will return such unaccepted, withdrawn or non-exchanged original notes without cost to the tendering holder promptly following the rejection of the tender, withdrawal or expiration or termination of the exchange offer, as applicable. In the case of original notes tendered by book-entry transfer into the exchange agent’s account at DTC, such unaccepted, withdrawn or non-exchanged original notes will be credited to an account maintained with DTC.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exchange offer is not conditioned upon the tender of any minimum principal amount of original notes. Notwithstanding any other provision of the exchange offer, or any extension of the exchange offer, we will not be required to accept for exchange, or to issue exchange notes in exchange for, any original notes, and we may amend or terminate the exchange offer as provided in this prospectus if, at any time before the expiration time, any of the following circumstances or events occurs and is not waived:</w:t>
      </w:r>
    </w:p>
    <w:p>
      <w:pPr>
        <w:spacing w:after="0" w:line="187" w:lineRule="exact"/>
        <w:rPr>
          <w:sz w:val="20"/>
          <w:szCs w:val="20"/>
          <w:color w:val="auto"/>
        </w:rPr>
      </w:pPr>
    </w:p>
    <w:p>
      <w:pPr>
        <w:ind w:left="880" w:hanging="359"/>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action or proceeding is instituted or threatened in any court or by or before any governmental agency with respect to the exchange offer;</w:t>
      </w:r>
    </w:p>
    <w:p>
      <w:pPr>
        <w:spacing w:after="0" w:line="34" w:lineRule="exact"/>
        <w:rPr>
          <w:rFonts w:ascii="Arial" w:cs="Arial" w:eastAsia="Arial" w:hAnsi="Arial"/>
          <w:sz w:val="17"/>
          <w:szCs w:val="17"/>
          <w:color w:val="auto"/>
        </w:rPr>
      </w:pPr>
    </w:p>
    <w:p>
      <w:pPr>
        <w:ind w:left="880" w:right="640" w:hanging="359"/>
        <w:spacing w:after="0" w:line="250"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stop order is threatened or in effect with respect to either (i) the registration statement of which this prospectus forms a part or (ii) the qualification of the indenture under the Trust Indenture Act of 1939, as amended; or</w:t>
      </w:r>
    </w:p>
    <w:p>
      <w:pPr>
        <w:ind w:left="880" w:right="240" w:hanging="359"/>
        <w:spacing w:after="0" w:line="261"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original notes would violate applicable law or any applicable interpretation of the staff of the SEC.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at any time prior to the expiration time, any of the foregoing circumstances or events has occurred, we may:</w:t>
      </w:r>
    </w:p>
    <w:p>
      <w:pPr>
        <w:spacing w:after="0" w:line="225" w:lineRule="exact"/>
        <w:rPr>
          <w:sz w:val="20"/>
          <w:szCs w:val="20"/>
          <w:color w:val="auto"/>
        </w:rPr>
      </w:pPr>
    </w:p>
    <w:p>
      <w:pPr>
        <w:ind w:left="880" w:hanging="359"/>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refuse to accept any original notes and return all tendered original notes to the respective holders;</w:t>
      </w:r>
    </w:p>
    <w:p>
      <w:pPr>
        <w:spacing w:after="0" w:line="23" w:lineRule="exact"/>
        <w:rPr>
          <w:rFonts w:ascii="Arial" w:cs="Arial" w:eastAsia="Arial" w:hAnsi="Arial"/>
          <w:sz w:val="18"/>
          <w:szCs w:val="18"/>
          <w:color w:val="auto"/>
        </w:rPr>
      </w:pPr>
    </w:p>
    <w:p>
      <w:pPr>
        <w:ind w:left="880" w:hanging="359"/>
        <w:spacing w:after="0" w:line="250"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 the exchange offer and retain all original notes tendered at or prior to the expiration time, subject, however, to your rights to withdraw such original notes; or</w:t>
      </w:r>
    </w:p>
    <w:p>
      <w:pPr>
        <w:ind w:left="880" w:right="100" w:hanging="359"/>
        <w:spacing w:after="0" w:line="261"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 the occurrence of such circumstance or event with respect to the exchange offer and accept all validly tendered original notes that have not been validly withdrawn.</w:t>
      </w:r>
    </w:p>
    <w:p>
      <w:pPr>
        <w:spacing w:after="0" w:line="18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If the waiver constitutes a material change to the terms of the exchange offer, we will promptly disclose the waiver by means reasonably calculated to inform the registered holders of the original notes of such waiver, and we will extend the exchange offer to the extent required by law. Generally, we must keep the exchange offer open for at least five business days following a material change.</w:t>
      </w:r>
    </w:p>
    <w:p>
      <w:pPr>
        <w:spacing w:after="0" w:line="18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condition that none of the foregoing circumstances or events have occurred is for our sole benefit and may be asserted by us, regardless of the circumstances giving rise to such circumstances or events, and the occurrence of any circumstance or event may be waived by us, in whole or in part, in our sole discretion. Any determination by us concerning the circumstances or events described above will be final and binding on all parties. Our rights hereunder will be deemed an ongoing right which may be asserted at any time and from time to time by us prior to the expiration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Rights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you are a holder of original notes, your rights under the registration rights agreement will generally terminate upon consummation of the exchange offer, except with respect to our continuing obligations to indemnify you and your related parties against certain liabilities, including liabilities under the Securities Act. After the exchange offer is consummated, except in limited circumstances, you will no longer be entitled to any exchange or registration rights with respect to any original notes that you continue to own.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Filing of Shelf Registration Statement</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Under the registration rights agreement, we agreed, among other matters, that (i) if any changes in applicable law or SEC policy do not permit us to effect the exchange offer, (ii) if for any reason the exchange offer is not consummated within 555 days following December 15, 2016,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then, upon such holder’s request, we and the subsidiary guarantors will, at our cost:</w:t>
      </w:r>
    </w:p>
    <w:p>
      <w:pPr>
        <w:spacing w:after="0" w:line="193" w:lineRule="exact"/>
        <w:rPr>
          <w:sz w:val="20"/>
          <w:szCs w:val="20"/>
          <w:color w:val="auto"/>
        </w:rPr>
      </w:pPr>
    </w:p>
    <w:p>
      <w:pPr>
        <w:jc w:val="both"/>
        <w:ind w:left="880" w:right="80" w:hanging="359"/>
        <w:spacing w:after="0" w:line="19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promptly as practicable and in any event on or prior to the earliest to occur of (i)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date on which we determine that we are not required to file the exchange offer registration statement, (ii)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date on which we receive notice from a holder of the notes as contemplated under this section and (iii) the 525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December 15, 2016 (such earlier date being the “shelf filing deadline”), file a shelf registration statement covering resales of the original notes;</w:t>
      </w:r>
    </w:p>
    <w:p>
      <w:pPr>
        <w:ind w:left="880" w:right="80" w:hanging="359"/>
        <w:spacing w:after="0" w:line="250"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use our respective reasonable best efforts to cause the shelf registration statement to be declared effective under the Securities Act within 60 days after the shelf filing deadline; and</w:t>
      </w:r>
    </w:p>
    <w:p>
      <w:pPr>
        <w:ind w:left="880" w:right="120" w:hanging="359"/>
        <w:spacing w:after="0" w:line="26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use our reasonable best efforts to keep the shelf registration continuously effective for a period of at least one year following the effective date of such shelf registration.</w:t>
      </w:r>
    </w:p>
    <w:p>
      <w:pPr>
        <w:spacing w:after="0" w:line="18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do not intend to file a shelf registration statement covering resales of the original notes unless we are required to do so under the registration rights agreement. If we file a shelf registration statement, we will provide to each holder of the original notes copies of the shelf registration statement and the prospectus which forms a part of the shelf registration statement, notify each holder when the shelf registration statement for the original notes has been filed with the SEC and become effective and take other actions as are required to permit unrestricted resales of the original notes. A holder of original notes that sells the original notes pursuant to the shelf registration statement generally will be:</w:t>
      </w:r>
    </w:p>
    <w:p>
      <w:pPr>
        <w:spacing w:after="0" w:line="188" w:lineRule="exact"/>
        <w:rPr>
          <w:sz w:val="20"/>
          <w:szCs w:val="20"/>
          <w:color w:val="auto"/>
        </w:rPr>
      </w:pPr>
    </w:p>
    <w:p>
      <w:pPr>
        <w:ind w:left="880" w:hanging="359"/>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required to be named as a selling security holder in the related prospectus and deliver a prospectus to purchasers;</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certain of the civil liability provisions under the Securities Act in connection with the sales; and</w:t>
      </w:r>
    </w:p>
    <w:p>
      <w:pPr>
        <w:spacing w:after="0" w:line="9" w:lineRule="exact"/>
        <w:rPr>
          <w:rFonts w:ascii="Arial" w:cs="Arial" w:eastAsia="Arial" w:hAnsi="Arial"/>
          <w:sz w:val="18"/>
          <w:szCs w:val="18"/>
          <w:color w:val="auto"/>
        </w:rPr>
      </w:pPr>
    </w:p>
    <w:p>
      <w:pPr>
        <w:ind w:left="880" w:hanging="359"/>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bound by the provisions of the registration rights agreement which are applicable to such a holder, including indemnification obligations.</w:t>
      </w:r>
    </w:p>
    <w:p>
      <w:pPr>
        <w:spacing w:after="0" w:line="222"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In addition, each holder of the original notes will be required to deliver information to be used in connection with the shelf registration statement and to provide any comments on the shelf registration statement within the time periods described in the registration rights agreement to have their notes included in the shelf registration statement and to benefit from the provisions regarding additional interest described in “-Additional Interest”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(each a “registration default”) occurs:</w:t>
      </w:r>
    </w:p>
    <w:p>
      <w:pPr>
        <w:spacing w:after="0" w:line="225" w:lineRule="exact"/>
        <w:rPr>
          <w:sz w:val="20"/>
          <w:szCs w:val="20"/>
          <w:color w:val="auto"/>
        </w:rPr>
      </w:pPr>
    </w:p>
    <w:p>
      <w:pPr>
        <w:ind w:left="880" w:hanging="35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exchange offer registration statement is not filed with the SEC on or before the 465th calendar day following December 15, 2016;</w:t>
      </w:r>
    </w:p>
    <w:p>
      <w:pPr>
        <w:spacing w:after="0" w:line="34" w:lineRule="exact"/>
        <w:rPr>
          <w:rFonts w:ascii="Arial" w:cs="Arial" w:eastAsia="Arial" w:hAnsi="Arial"/>
          <w:sz w:val="17"/>
          <w:szCs w:val="17"/>
          <w:color w:val="auto"/>
        </w:rPr>
      </w:pPr>
    </w:p>
    <w:p>
      <w:pPr>
        <w:ind w:left="880" w:hanging="359"/>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exchange offer registration statement is not declared effective on or before the 555th calendar day following December 15, 2016;</w:t>
      </w:r>
    </w:p>
    <w:p>
      <w:pPr>
        <w:spacing w:after="0" w:line="20" w:lineRule="exact"/>
        <w:rPr>
          <w:rFonts w:ascii="Arial" w:cs="Arial" w:eastAsia="Arial" w:hAnsi="Arial"/>
          <w:sz w:val="17"/>
          <w:szCs w:val="17"/>
          <w:color w:val="auto"/>
        </w:rPr>
      </w:pPr>
    </w:p>
    <w:p>
      <w:pPr>
        <w:ind w:left="880" w:hanging="359"/>
        <w:spacing w:after="0" w:line="181"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offer is not consummated on or before the 555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calendar day following December 15, 2016; or</w:t>
      </w:r>
    </w:p>
    <w:p>
      <w:pPr>
        <w:ind w:left="880" w:right="420" w:hanging="359"/>
        <w:spacing w:after="0" w:line="254"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offer registration statement has been filed and declared effective but thereafter ceases to be effective or fails to be usable for its intended purpose without being succeeded immediately by a post-effective amendment that cures such failure and that is itself immediately declared effective,</w:t>
      </w:r>
    </w:p>
    <w:p>
      <w:pPr>
        <w:spacing w:after="0" w:line="205" w:lineRule="exact"/>
        <w:rPr>
          <w:sz w:val="20"/>
          <w:szCs w:val="20"/>
          <w:color w:val="auto"/>
        </w:rPr>
      </w:pPr>
    </w:p>
    <w:p>
      <w:pPr>
        <w:ind w:right="280" w:firstLine="432"/>
        <w:spacing w:after="0" w:line="288" w:lineRule="auto"/>
        <w:rPr>
          <w:sz w:val="20"/>
          <w:szCs w:val="20"/>
          <w:color w:val="auto"/>
        </w:rPr>
      </w:pPr>
      <w:r>
        <w:rPr>
          <w:rFonts w:ascii="Arial" w:cs="Arial" w:eastAsia="Arial" w:hAnsi="Arial"/>
          <w:sz w:val="16"/>
          <w:szCs w:val="16"/>
          <w:color w:val="auto"/>
        </w:rPr>
        <w:t>the interest rate payable with respect to the original notes will be increased by 0.25% per annum during the 90 day period immediately following the occurrence of such registration default. After such 90 day period, if such registration default has not yet been cured, the interest rate will increase by an additional 0.25% per annum with respect to the next subsequent 90 day period; provided, however, in no event shall any increase exceed an aggregate of</w:t>
      </w:r>
    </w:p>
    <w:p>
      <w:pPr>
        <w:jc w:val="both"/>
        <w:spacing w:after="0" w:line="255" w:lineRule="auto"/>
        <w:rPr>
          <w:sz w:val="20"/>
          <w:szCs w:val="20"/>
          <w:color w:val="auto"/>
        </w:rPr>
      </w:pPr>
      <w:r>
        <w:rPr>
          <w:rFonts w:ascii="Arial" w:cs="Arial" w:eastAsia="Arial" w:hAnsi="Arial"/>
          <w:sz w:val="18"/>
          <w:szCs w:val="18"/>
          <w:color w:val="auto"/>
        </w:rPr>
        <w:t>0.50% per annum. Such interest is payable in addition to any other interest payable from time to time with respect to the original notes in cash on each interest payment date to the holders of record for such interest payment date. Following the cure of all registration defaults, the accrual of additional interest will stop and the interest rate will be reduced to the original rate.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Exchange Agent</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appointed U.S. Bank National Association as the exchange agent for the exchange offer. All executed letters of transmittal and any other required documents should be directed to the exchange agent at the address set forth below. Questions and requests for assistance with respect to the exchange offer, and requests for additional copies of this prospectus, the letter of transmittal and any other required documents, should also be directed to the exchange agent at the address set forth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registered mail, certified mail, overnight courier or hand delivery: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facsimile (for eligible institutions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information or confirmation by telephone: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 934-6802</w:t>
      </w:r>
    </w:p>
    <w:p>
      <w:pPr>
        <w:spacing w:after="0" w:line="207" w:lineRule="exact"/>
        <w:rPr>
          <w:sz w:val="20"/>
          <w:szCs w:val="20"/>
          <w:color w:val="auto"/>
        </w:rPr>
      </w:pPr>
    </w:p>
    <w:p>
      <w:pPr>
        <w:ind w:right="20" w:firstLine="432"/>
        <w:spacing w:after="0" w:line="347" w:lineRule="auto"/>
        <w:rPr>
          <w:sz w:val="20"/>
          <w:szCs w:val="20"/>
          <w:color w:val="auto"/>
        </w:rPr>
      </w:pPr>
      <w:r>
        <w:rPr>
          <w:rFonts w:ascii="Arial" w:cs="Arial" w:eastAsia="Arial" w:hAnsi="Arial"/>
          <w:sz w:val="16"/>
          <w:szCs w:val="16"/>
          <w:b w:val="1"/>
          <w:bCs w:val="1"/>
          <w:color w:val="auto"/>
        </w:rPr>
        <w:t>Delivery of the letter of transmittal or any other required documents to an address other than as set forth above or transmission of the letter of transmittal or any other required documents via facsimile to a number other than the one listed above will not constitute a valid delivery.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We will bear the expenses of soliciting tenders for the exchange offer. We are making the principal solicitation of tenders through DTC. However, solicitations may also be made by mail, electronic mail, facsimile or telephone or in person by our officers and regular employees.</w:t>
      </w:r>
    </w:p>
    <w:p>
      <w:pPr>
        <w:spacing w:after="0" w:line="1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not retained any dealer manager in connection with the exchange offer, and we will not make any payments to brokers, dealers or other persons soliciting acceptances of the exchange offer. We will, however, pay the exchange agent reasonable and customary fees for its services and reimburse the exchange agent for its reasonable out-of-pocket expenses. We will also reimburse brokers, dealers, commercial banks, trust companies and other nominees for the reasonable out-of-pocket expenses they incur in forwarding copies of this prospectus, the letter of transmittal and related documents to the beneficial owners of the original notes and in handling or forwarding tenders of the original notes for exchange.</w:t>
      </w:r>
    </w:p>
    <w:p>
      <w:pPr>
        <w:spacing w:after="0" w:line="173"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estimate that our cash expenses in connection with the exchange offer will be approximately $150,000. These expenses include SEC registration fees, fees and expenses of the exchange agent and the trustee, accounting and legal fees, printing costs and related fees and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will pay all transfer taxes, if any, applicable to the exchange of original notes in the exchange offer. The tendering holder, however, will be required to pay any transfer taxes, whether imposed on the record holder or any other person, if we are instructed to register exchange notes in the name of, or requested to return any original notes not tendered or accepted for exchange to, a person other than the registered tendering holder, or if a transfer tax is imposed for any other reason, other than by reason of the exchange of the original notes in the exchange offer. If satisfactory evidence of payment of such transfer taxes or exemption from payment is not submitted with the letter of transmittal, the amount of the transfer taxes will be billed directly to the tendering 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29" w:lineRule="exact"/>
        <w:rPr>
          <w:sz w:val="20"/>
          <w:szCs w:val="20"/>
          <w:color w:val="auto"/>
        </w:rPr>
      </w:pPr>
    </w:p>
    <w:p>
      <w:pPr>
        <w:jc w:val="both"/>
        <w:ind w:right="720" w:firstLine="432"/>
        <w:spacing w:after="0" w:line="264" w:lineRule="auto"/>
        <w:rPr>
          <w:sz w:val="20"/>
          <w:szCs w:val="20"/>
          <w:color w:val="auto"/>
        </w:rPr>
      </w:pPr>
      <w:r>
        <w:rPr>
          <w:rFonts w:ascii="Arial" w:cs="Arial" w:eastAsia="Arial" w:hAnsi="Arial"/>
          <w:sz w:val="18"/>
          <w:szCs w:val="18"/>
          <w:color w:val="auto"/>
        </w:rPr>
        <w:t>The exchange notes will be recorded in our accounting records at the same carrying value as the original notes for which they are exchanged. Accordingly, we will not recognize any gain or loss for accounting purposes as a result of the exchange offer. We will amortize expenses incurred in connection with the issuance of the exchange notes over the term of the exchange notes.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64"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As used in this “Description of Notes” section, the words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Issuer</w:t>
      </w:r>
      <w:r>
        <w:rPr>
          <w:rFonts w:ascii="Arial" w:cs="Arial" w:eastAsia="Arial" w:hAnsi="Arial"/>
          <w:sz w:val="16"/>
          <w:szCs w:val="16"/>
          <w:color w:val="auto"/>
        </w:rPr>
        <w:t>,” “</w:t>
      </w:r>
      <w:r>
        <w:rPr>
          <w:rFonts w:ascii="Arial" w:cs="Arial" w:eastAsia="Arial" w:hAnsi="Arial"/>
          <w:sz w:val="16"/>
          <w:szCs w:val="16"/>
          <w:i w:val="1"/>
          <w:iCs w:val="1"/>
          <w:color w:val="auto"/>
        </w:rPr>
        <w:t>Scotts</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only to The Scotts Miracle-Gro Company, an Ohio corporation, and not any of its Subsidiaries. The term “</w:t>
      </w:r>
      <w:r>
        <w:rPr>
          <w:rFonts w:ascii="Arial" w:cs="Arial" w:eastAsia="Arial" w:hAnsi="Arial"/>
          <w:sz w:val="16"/>
          <w:szCs w:val="16"/>
          <w:i w:val="1"/>
          <w:iCs w:val="1"/>
          <w:color w:val="auto"/>
        </w:rPr>
        <w:t>Notes</w:t>
      </w:r>
      <w:r>
        <w:rPr>
          <w:rFonts w:ascii="Arial" w:cs="Arial" w:eastAsia="Arial" w:hAnsi="Arial"/>
          <w:sz w:val="16"/>
          <w:szCs w:val="16"/>
          <w:color w:val="auto"/>
        </w:rPr>
        <w:t>” means the Issuer’s senior debt securities designated as its 5.250% Senior Notes due 2026, including the original notes and the exchange notes, in each case except as otherwise expressly provided or as the context otherwise requires.</w:t>
      </w:r>
    </w:p>
    <w:p>
      <w:pPr>
        <w:spacing w:after="0" w:line="14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Issuer issued the original notes, and will issue the exchange notes, under an indenture, dated as of December 15, 2016, among the Issuer, the Guarantors and U.S. Bank National Association, as trustee (the “</w:t>
      </w:r>
      <w:r>
        <w:rPr>
          <w:rFonts w:ascii="Arial" w:cs="Arial" w:eastAsia="Arial" w:hAnsi="Arial"/>
          <w:sz w:val="18"/>
          <w:szCs w:val="18"/>
          <w:i w:val="1"/>
          <w:iCs w:val="1"/>
          <w:color w:val="auto"/>
        </w:rPr>
        <w:t>Indenture</w:t>
      </w:r>
      <w:r>
        <w:rPr>
          <w:rFonts w:ascii="Arial" w:cs="Arial" w:eastAsia="Arial" w:hAnsi="Arial"/>
          <w:sz w:val="18"/>
          <w:szCs w:val="18"/>
          <w:color w:val="auto"/>
        </w:rPr>
        <w:t>”). The terms of the Notes include those set forth in the Indenture and those made part of the Indenture by reference to the Trust Indenture Act. You may obtain a copy of the Indenture from the Issuer at its address set forth under “Where You Can Find More Information.” The terms of the exchange notes are substantially identical to the terms of the original notes, including interest rates and maturity, except that the exchange notes will not be subject to the transfer restrictions, registration rights and additional interest provisions applicable to the original notes.</w:t>
      </w:r>
    </w:p>
    <w:p>
      <w:pPr>
        <w:spacing w:after="0" w:line="193"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exchange notes and any original notes that remain outstanding after the consummation of the exchange offer will have the same terms, will constitute a single class of debt securities under the Indenture and, therefore, will vote together as a single class for purposes of determining whether holders of the requisite percentage in principal amount thereof have taken actions or exercised rights they are entitled to take or exercise under the Indenture.</w:t>
      </w:r>
    </w:p>
    <w:p>
      <w:pPr>
        <w:spacing w:after="0" w:line="14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is a summary of the material terms and provisions of the Notes. Certain terms used in this “Description of Notes” section are defined under “-Certain Definitions.”</w:t>
      </w:r>
    </w:p>
    <w:p>
      <w:pPr>
        <w:spacing w:after="0" w:line="1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 registered holder of a Note (each, a “</w:t>
      </w:r>
      <w:r>
        <w:rPr>
          <w:rFonts w:ascii="Arial" w:cs="Arial" w:eastAsia="Arial" w:hAnsi="Arial"/>
          <w:sz w:val="18"/>
          <w:szCs w:val="18"/>
          <w:i w:val="1"/>
          <w:iCs w:val="1"/>
          <w:color w:val="auto"/>
        </w:rPr>
        <w:t>Holder</w:t>
      </w:r>
      <w:r>
        <w:rPr>
          <w:rFonts w:ascii="Arial" w:cs="Arial" w:eastAsia="Arial" w:hAnsi="Arial"/>
          <w:sz w:val="18"/>
          <w:szCs w:val="18"/>
          <w:color w:val="auto"/>
        </w:rPr>
        <w:t>”) will be treated as its owner for all purposes. Only registered Holders will have rights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Notes and the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Notes will be:</w:t>
      </w:r>
    </w:p>
    <w:p>
      <w:pPr>
        <w:spacing w:after="0" w:line="225" w:lineRule="exact"/>
        <w:rPr>
          <w:sz w:val="20"/>
          <w:szCs w:val="20"/>
          <w:color w:val="auto"/>
        </w:rPr>
      </w:pPr>
    </w:p>
    <w:p>
      <w:pPr>
        <w:ind w:left="1220" w:hanging="348"/>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unsecured obligations of the Company;</w:t>
      </w:r>
    </w:p>
    <w:p>
      <w:pPr>
        <w:spacing w:after="0" w:line="23" w:lineRule="exact"/>
        <w:rPr>
          <w:rFonts w:ascii="Arial" w:cs="Arial" w:eastAsia="Arial" w:hAnsi="Arial"/>
          <w:sz w:val="18"/>
          <w:szCs w:val="18"/>
          <w:color w:val="auto"/>
        </w:rPr>
      </w:pPr>
    </w:p>
    <w:p>
      <w:pPr>
        <w:ind w:left="1220" w:right="20" w:hanging="348"/>
        <w:spacing w:after="0" w:line="250"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pari passu in right of payment with all of the Company’s existing and future unsecured, unsubordinated Indebtedness, including Indebtedness arising under the 2023 Notes;</w:t>
      </w:r>
    </w:p>
    <w:p>
      <w:pPr>
        <w:ind w:left="1220" w:right="420" w:hanging="348"/>
        <w:spacing w:after="0" w:line="250"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effectively subordinated to all of the Company’s existing and future secured Indebtedness, including under the Credit Agreement, to the extent of the value of the assets securing such Indebtedness;</w:t>
      </w:r>
    </w:p>
    <w:p>
      <w:pPr>
        <w:ind w:left="1220" w:right="20" w:hanging="348"/>
        <w:spacing w:after="0" w:line="250"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in right of payment to any of the Company’s future Indebtedness that is, by its terms, expressly subordinated in right of payment to the Notes; and</w:t>
      </w:r>
    </w:p>
    <w:p>
      <w:pPr>
        <w:ind w:left="1220" w:hanging="348"/>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structurally subordinated to all liabilities of the Company’s Subsidiaries that are not Guarantors.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the Issue Date, the Notes will be guaranteed by all of the Restricted Subsidiaries of the Company that are guarantors of the 2023 Notes and the Indebtedness under the Credit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Guarantees of the Notes will be:</w:t>
      </w:r>
    </w:p>
    <w:p>
      <w:pPr>
        <w:spacing w:after="0" w:line="225" w:lineRule="exact"/>
        <w:rPr>
          <w:sz w:val="20"/>
          <w:szCs w:val="20"/>
          <w:color w:val="auto"/>
        </w:rPr>
      </w:pPr>
    </w:p>
    <w:p>
      <w:pPr>
        <w:ind w:left="1220" w:hanging="348"/>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23" w:lineRule="exact"/>
        <w:rPr>
          <w:rFonts w:ascii="Arial" w:cs="Arial" w:eastAsia="Arial" w:hAnsi="Arial"/>
          <w:sz w:val="18"/>
          <w:szCs w:val="18"/>
          <w:color w:val="auto"/>
        </w:rPr>
      </w:pPr>
    </w:p>
    <w:p>
      <w:pPr>
        <w:ind w:left="1220" w:hanging="348"/>
        <w:spacing w:after="0" w:line="250"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each Guarantor, including Indebtedness arising under such Guarantor’s guarantee of the 2023 Notes;</w:t>
      </w:r>
    </w:p>
    <w:p>
      <w:pPr>
        <w:ind w:left="1220" w:hanging="348"/>
        <w:spacing w:after="0" w:line="250"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each Guarantor that is, by its terms, expressly subordinated in right of payment to the Subsidiary Guarantee of such Guarantor; and</w:t>
      </w:r>
    </w:p>
    <w:p>
      <w:pPr>
        <w:ind w:left="1220" w:right="180" w:hanging="348"/>
        <w:spacing w:after="0" w:line="276"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effectively subordinated to any secured Indebtedness of each Guarantor (including each Guarantor’s guarantee of the Credit Agreement) to the extent of the value of the assets securing such Indebtedness.</w:t>
      </w:r>
    </w:p>
    <w:p>
      <w:pPr>
        <w:spacing w:after="0" w:line="171"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obligations of each Guarantor under its Subsidiary Guarantee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Subsidiary Guarantee or pursuant to its contribution obligations under the Indenture, result in the obligations of such Guarantor under its Subsidiary Guarantee not constituting a fraudulent conveyance or fraudulent transfer under federal or state law. Each Guarantor that makes a payment for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64" w:right="259" w:bottom="1440" w:gutter="0" w:footer="0" w:header="0"/>
        </w:sectPr>
      </w:pPr>
    </w:p>
    <w:bookmarkStart w:id="49" w:name="page50"/>
    <w:bookmarkEnd w:id="49"/>
    <w:p>
      <w:pPr>
        <w:ind w:right="260"/>
        <w:spacing w:after="0" w:line="277" w:lineRule="auto"/>
        <w:rPr>
          <w:sz w:val="20"/>
          <w:szCs w:val="20"/>
          <w:color w:val="auto"/>
        </w:rPr>
      </w:pPr>
      <w:r>
        <w:rPr>
          <w:rFonts w:ascii="Arial" w:cs="Arial" w:eastAsia="Arial" w:hAnsi="Arial"/>
          <w:sz w:val="18"/>
          <w:szCs w:val="18"/>
          <w:color w:val="auto"/>
        </w:rPr>
        <w:t>distribution under its Subsidiary Guarantee is entitled to a contribution from each other Guarantor in a pro rata amount based on adjusted net assets of each Guarantor.</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As of December 31, 2016, the Company and the Guarantors had total secured Indebtedness of $1,013.5 million (excluding $25.9 million of letters of credit outstanding), and $845.6 million of additional secured Indebtedness was available to be borrowed under the Credit Agreement. The Indenture permits us and the Guarantors to incur additional Indebtedness, including secured Indebtedness. As of the date of this prospectus, all of our subsidiaries, including our Foreign Subsidiaries, are “Restricted Subsidiaries.” However, under the circumstances described below under the caption “-Certain Covenants-Unrestricted Subsidiaries,” we are permitted to designate certain of our subsidiaries as “Unrestricted Subsidiaries.” Unrestricted Subsidiaries are not subject to many of the restrictive covenants in the Indenture and will not guarantee these Notes. As of the date of this prospectus, all of our Subsidiaries, except for our Foreign Subsidiaries and AeroGrow International, Inc., a Nevada corporation; American Agritech, L.L.C., an Arizona limited liability company; Scotts Global Services, Inc., an Ohio corporation; Scotts Global Investments, Inc., a Delaware corporation; and Teak 2, Ltd., a Delaware corporation, will guarantee the Notes. In the event of a bankruptcy, liquidation or reorganization of any of these non-guarantor subsidiaries, these non-guarantor subsidiaries will pay the holders of their debt and their trade creditors before they will be able to distribute any of their assets to us. Our non-guarantor subsidiaries generated 19.4% of our consolidated net sales and 5.5% of our consolidated net income for the fiscal year ended September 30, 2016 and accounted for 24.9% of our consolidated assets and 23.8% of our consolidated liabilities as of December 31, 2016. As of December 31, 2016, the notes and the guarantees were structurally subordinated to $131.2 million of indebtedness of the non-guarantor subsidiaries.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225" w:lineRule="exact"/>
        <w:rPr>
          <w:sz w:val="20"/>
          <w:szCs w:val="20"/>
          <w:color w:val="auto"/>
        </w:rPr>
      </w:pPr>
    </w:p>
    <w:p>
      <w:pPr>
        <w:ind w:left="760" w:right="900" w:firstLine="761"/>
        <w:spacing w:after="0" w:line="308" w:lineRule="auto"/>
        <w:tabs>
          <w:tab w:leader="none" w:pos="1771"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any sale or other disposition of all or substantially all of the assets of that Guarantor (including by way of merger or consolidation), in accordance with the Indenture, to any Person other than the Company or any Restricted Subsidiary;</w:t>
      </w:r>
    </w:p>
    <w:p>
      <w:pPr>
        <w:spacing w:after="0" w:line="146" w:lineRule="exact"/>
        <w:rPr>
          <w:rFonts w:ascii="Arial" w:cs="Arial" w:eastAsia="Arial" w:hAnsi="Arial"/>
          <w:sz w:val="17"/>
          <w:szCs w:val="17"/>
          <w:color w:val="auto"/>
        </w:rPr>
      </w:pPr>
    </w:p>
    <w:p>
      <w:pPr>
        <w:ind w:left="1780" w:hanging="259"/>
        <w:spacing w:after="0"/>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w:t>
      </w:r>
    </w:p>
    <w:p>
      <w:pPr>
        <w:spacing w:after="0" w:line="225" w:lineRule="exact"/>
        <w:rPr>
          <w:rFonts w:ascii="Arial" w:cs="Arial" w:eastAsia="Arial" w:hAnsi="Arial"/>
          <w:sz w:val="18"/>
          <w:szCs w:val="18"/>
          <w:color w:val="auto"/>
        </w:rPr>
      </w:pPr>
    </w:p>
    <w:p>
      <w:pPr>
        <w:ind w:left="760" w:right="300" w:firstLine="761"/>
        <w:spacing w:after="0" w:line="277" w:lineRule="auto"/>
        <w:tabs>
          <w:tab w:leader="none" w:pos="17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such Guarantor is designated an Unrestricted Subsidiary in accordance with the Indenture or otherwise ceases to be a Restricted Subsidiary (including by way of liquidation or dissolution) in a transaction permitted by the Indenture;</w:t>
      </w:r>
    </w:p>
    <w:p>
      <w:pPr>
        <w:spacing w:after="0" w:line="170" w:lineRule="exact"/>
        <w:rPr>
          <w:rFonts w:ascii="Arial" w:cs="Arial" w:eastAsia="Arial" w:hAnsi="Arial"/>
          <w:sz w:val="18"/>
          <w:szCs w:val="18"/>
          <w:color w:val="auto"/>
        </w:rPr>
      </w:pPr>
    </w:p>
    <w:p>
      <w:pPr>
        <w:ind w:left="760" w:right="320" w:firstLine="761"/>
        <w:spacing w:after="0" w:line="264" w:lineRule="auto"/>
        <w:tabs>
          <w:tab w:leader="none" w:pos="17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exercise our Legal Defeasance option or Covenant Defeasance option as described under “-Legal Defeasance and Covenant Defeasance” or if our obligations under the Indenture are discharged in accordance with the terms of the Indenture as described under “-Satisfaction and Discharge”;</w:t>
      </w:r>
    </w:p>
    <w:p>
      <w:pPr>
        <w:spacing w:after="0" w:line="181" w:lineRule="exact"/>
        <w:rPr>
          <w:rFonts w:ascii="Arial" w:cs="Arial" w:eastAsia="Arial" w:hAnsi="Arial"/>
          <w:sz w:val="18"/>
          <w:szCs w:val="18"/>
          <w:color w:val="auto"/>
        </w:rPr>
      </w:pPr>
    </w:p>
    <w:p>
      <w:pPr>
        <w:ind w:left="760" w:right="340" w:firstLine="761"/>
        <w:spacing w:after="0" w:line="277" w:lineRule="auto"/>
        <w:tabs>
          <w:tab w:leader="none" w:pos="17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such Guarantor ceases to be a Restricted Subsidiary and such Guarantor is not otherwise required to provide a Guarantee of the Notes pursuant to the provisions described under “-Certain Covenants-Additional Subsidiary Guarantees”;</w:t>
      </w:r>
    </w:p>
    <w:p>
      <w:pPr>
        <w:spacing w:after="0" w:line="183" w:lineRule="exact"/>
        <w:rPr>
          <w:rFonts w:ascii="Arial" w:cs="Arial" w:eastAsia="Arial" w:hAnsi="Arial"/>
          <w:sz w:val="18"/>
          <w:szCs w:val="18"/>
          <w:color w:val="auto"/>
        </w:rPr>
      </w:pPr>
    </w:p>
    <w:p>
      <w:pPr>
        <w:ind w:left="760" w:right="260" w:firstLine="761"/>
        <w:spacing w:after="0" w:line="277" w:lineRule="auto"/>
        <w:tabs>
          <w:tab w:leader="none" w:pos="17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the election of the Company following such Guarantor’s release as a guarantor under the Credit Agreement and the 2023 Notes, except a release by or as a result of the repayment of the Credit Agreement or the 2023 Notes; or</w:t>
      </w:r>
    </w:p>
    <w:p>
      <w:pPr>
        <w:spacing w:after="0" w:line="170" w:lineRule="exact"/>
        <w:rPr>
          <w:rFonts w:ascii="Arial" w:cs="Arial" w:eastAsia="Arial" w:hAnsi="Arial"/>
          <w:sz w:val="18"/>
          <w:szCs w:val="18"/>
          <w:color w:val="auto"/>
        </w:rPr>
      </w:pPr>
    </w:p>
    <w:p>
      <w:pPr>
        <w:ind w:left="760" w:right="20" w:firstLine="761"/>
        <w:spacing w:after="0" w:line="312" w:lineRule="auto"/>
        <w:tabs>
          <w:tab w:leader="none" w:pos="17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 Domestic Restricted Subsidiary required to become a Guarantor following the Issue Date by virtue of the provisions described under “-Certain Covenants-Additional Subsidiary Guarantees” thereafter ceases to Guarantee or be a primary obligor with respect to (as applicable) the underlying obligation (other than the Credit Agreement or the 2023 Notes) initially giving rise to the creation of such Guarantee.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2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may issue additional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identical terms and conditions as the Notes except for issue date, issue price and first interest payment date. The Notes and any Additional Notes subsequently issued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15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original notes were and the exchange notes will be issued only in denominations of $2,000 and integral multiples of $1,000 in excess thereof. The Notes will mature on December 15, 2026.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50" w:name="page51"/>
    <w:bookmarkEnd w:id="50"/>
    <w:p>
      <w:pPr>
        <w:ind w:right="280" w:firstLine="405"/>
        <w:spacing w:after="0" w:line="264" w:lineRule="auto"/>
        <w:rPr>
          <w:sz w:val="20"/>
          <w:szCs w:val="20"/>
          <w:color w:val="auto"/>
        </w:rPr>
      </w:pPr>
      <w:r>
        <w:rPr>
          <w:rFonts w:ascii="Arial" w:cs="Arial" w:eastAsia="Arial" w:hAnsi="Arial"/>
          <w:sz w:val="18"/>
          <w:szCs w:val="18"/>
          <w:color w:val="auto"/>
        </w:rPr>
        <w:t>Interest on the Notes will accrue at the rate of 5.250% per annum. Interest is payable semi-annually in arrears on June 15 and December 15, commencing on June 15, 2017. The Company will make each interest payment to the Holders of record of the Notes on the immediately preceding June 1 and December 1.</w:t>
      </w:r>
    </w:p>
    <w:p>
      <w:pPr>
        <w:spacing w:after="0" w:line="1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If a Holder has given wire transfer instructions to the Company, the Company will make all principal, premium and interest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18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We will pay principal of, premium, if any, and interest on, the Notes in global form registered in the name of The Depository Trust Company or its nominee in immediately available funds to The Depository Trust Company or its nominee, as the case may be, as the registered holder of such global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On or after December 15, 2021, the Company may redeem all or a part of the Notes upon not less than 15 nor more than 60 days’ notice, at the redemption prices (expressed as percentages of principal amount) set forth below plus accrued and unpaid interest to the applicable redemption date, if redeemed during the twelve-month period beginning on December 15 of the years indicated below:</w:t>
      </w:r>
    </w:p>
    <w:p>
      <w:pPr>
        <w:spacing w:after="0" w:line="116"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Redemption Year</w:t>
            </w:r>
          </w:p>
        </w:tc>
        <w:tc>
          <w:tcPr>
            <w:tcW w:w="2160" w:type="dxa"/>
            <w:vAlign w:val="bottom"/>
            <w:gridSpan w:val="3"/>
          </w:tcPr>
          <w:p>
            <w:pPr>
              <w:ind w:left="720"/>
              <w:spacing w:after="0"/>
              <w:rPr>
                <w:sz w:val="20"/>
                <w:szCs w:val="20"/>
                <w:color w:val="auto"/>
              </w:rPr>
            </w:pPr>
            <w:r>
              <w:rPr>
                <w:rFonts w:ascii="Arial" w:cs="Arial" w:eastAsia="Arial" w:hAnsi="Arial"/>
                <w:sz w:val="14"/>
                <w:szCs w:val="14"/>
                <w:b w:val="1"/>
                <w:bCs w:val="1"/>
                <w:color w:val="auto"/>
              </w:rPr>
              <w:t>Price</w:t>
            </w:r>
          </w:p>
        </w:tc>
      </w:tr>
      <w:tr>
        <w:trPr>
          <w:trHeight w:val="21"/>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102.625%</w:t>
            </w:r>
          </w:p>
        </w:tc>
      </w:tr>
      <w:tr>
        <w:trPr>
          <w:trHeight w:val="243"/>
        </w:trPr>
        <w:tc>
          <w:tcPr>
            <w:tcW w:w="11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020" w:type="dxa"/>
            <w:vAlign w:val="bottom"/>
          </w:tcPr>
          <w:p>
            <w:pPr>
              <w:spacing w:after="0"/>
              <w:rPr>
                <w:sz w:val="21"/>
                <w:szCs w:val="21"/>
                <w:color w:val="auto"/>
              </w:rPr>
            </w:pP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rPr>
              <w:t>101.750%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100.875%</w:t>
            </w:r>
          </w:p>
        </w:tc>
      </w:tr>
      <w:tr>
        <w:trPr>
          <w:trHeight w:val="243"/>
        </w:trPr>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2160" w:type="dxa"/>
            <w:vAlign w:val="bottom"/>
            <w:gridSpan w:val="3"/>
          </w:tcPr>
          <w:p>
            <w:pPr>
              <w:ind w:left="720"/>
              <w:spacing w:after="0"/>
              <w:rPr>
                <w:sz w:val="20"/>
                <w:szCs w:val="20"/>
                <w:color w:val="auto"/>
              </w:rPr>
            </w:pPr>
            <w:r>
              <w:rPr>
                <w:rFonts w:ascii="Arial" w:cs="Arial" w:eastAsia="Arial" w:hAnsi="Arial"/>
                <w:sz w:val="18"/>
                <w:szCs w:val="18"/>
                <w:color w:val="auto"/>
              </w:rPr>
              <w:t>100.000%</w:t>
            </w:r>
          </w:p>
        </w:tc>
      </w:tr>
    </w:tbl>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 xml:space="preserve">Prior to December 15, 2019, the Company may on any one or more occasions redeem up to 35% of the aggregate principal amount of Notes issued under the Indenture with the Net Cash Proceeds of one or more Equity Offerings at a redemption price of 105.250%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(1) at least 65% of the aggregate principal amount of Notes issued under the Indenture remains outstanding after each such redemption;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 the redemption occurs within 60 days after the closing of such Equity Offering.</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at any time prior to December 15, 2021, the Company may redeem all or a part of the Notes upon not less than 15 nor more than 60 days’ notice, at a redemption price equal to 100% of the principal amount thereof plus the Applicable Premium plus accrued and unpaid interest, if any, to the redemption date.</w:t>
      </w:r>
    </w:p>
    <w:p>
      <w:pPr>
        <w:spacing w:after="0" w:line="1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 Note at any redemption date, the greater of (i) 1.0% of the principal amount of such Note and (ii) the excess of (A) the present value at such time of (1) the redemption price of such Note at December 15, 2021 (such redemption price being set forth in the table above) plus (2) all required interest payments due on such Note (excluding accrued and unpaid interest to such redemption date) through December 15, 2021, computed using a discount rate equal to the Treasury Rate plus 50 basis points, over (B) the principal amount of such Note.</w:t>
      </w:r>
    </w:p>
    <w:p>
      <w:pPr>
        <w:spacing w:after="0" w:line="171"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368" w:right="279" w:bottom="1440" w:gutter="0" w:footer="0" w:header="0"/>
        </w:sectPr>
      </w:pPr>
    </w:p>
    <w:bookmarkStart w:id="51" w:name="page52"/>
    <w:bookmarkEnd w:id="51"/>
    <w:p>
      <w:pPr>
        <w:ind w:right="160"/>
        <w:spacing w:after="0" w:line="297" w:lineRule="auto"/>
        <w:rPr>
          <w:sz w:val="20"/>
          <w:szCs w:val="20"/>
          <w:color w:val="auto"/>
        </w:rPr>
      </w:pPr>
      <w:r>
        <w:rPr>
          <w:rFonts w:ascii="Arial" w:cs="Arial" w:eastAsia="Arial" w:hAnsi="Arial"/>
          <w:sz w:val="16"/>
          <w:szCs w:val="16"/>
          <w:color w:val="auto"/>
        </w:rPr>
        <w:t xml:space="preserve">available source or similar market data)) most nearly equal to the period from the redemption date to December 15,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December 15, 2021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December 15, 2021 is less than one year, the weekly average yield on actually traded United States Treasury securities adjusted to a constant maturity of one year shall be used.</w:t>
      </w:r>
    </w:p>
    <w:p>
      <w:pPr>
        <w:spacing w:after="0" w:line="15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(1) if the Notes are listed, in compliance with the requirements of the principal national securities exchange on which the Notes are</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listed; or</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(2) 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No Notes of $2,000 or less shall be redeemed in part. Notices of redemption shall be mailed by first class mail at least 15 but not more than 60 days before the redemption date to each Holder of Notes to be redeemed at its registered address.</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Notice of any redemption of Notes may, at the Company’s discretion, be subject to one or more conditions precedent. If such redemption is subject to satisfaction of one or more conditions precedent, such notice of redemption shall describe each such condition and, if applicable, shall state that, in the Company’s discretion, the redemption date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redemption date as so delayed. The Company may provide in such notice that payment of the redemption price and performance of the Company’s obligations with respect to such redemption may be performed by another Person. The Company will provide prompt written notice to the Trustee rescinding any such conditional redemption in the event that any such condition precedent shall not have occurred, and thereafter such redemption and notice of redemption shall be rescinded and of no force or effect. Upon receipt of such notice from the Company rescinding such conditional redemption, the Trustee will promptly send a copy of such notice to the Holders of the Notes to be redeemed.</w:t>
      </w:r>
    </w:p>
    <w:p>
      <w:pPr>
        <w:spacing w:after="0" w:line="17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upon Change of Control</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If a Change of Control occurs, each Holder of Notes will have the right to require the Company to repurchase all or any part (equal to $2,000 or integral multiples of $1,000 in excess thereof) of that Holder’s Notes pursuant to the “Change of Control Offer.” In the Change of Control Offer, the Company will offer a “Change of Control Payment” in cash equal to 101% of the aggregate principal amount of Notes repurchased plus accrued and unpaid interest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52" w:name="page53"/>
    <w:bookmarkEnd w:id="52"/>
    <w:p>
      <w:pPr>
        <w:ind w:left="42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225" w:lineRule="exact"/>
        <w:rPr>
          <w:sz w:val="20"/>
          <w:szCs w:val="20"/>
          <w:color w:val="auto"/>
        </w:rPr>
      </w:pPr>
    </w:p>
    <w:p>
      <w:pPr>
        <w:ind w:left="1780" w:hanging="259"/>
        <w:spacing w:after="0"/>
        <w:tabs>
          <w:tab w:leader="none" w:pos="1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deposit with the Paying Agent an amount equal to the Change of Control Payment in respect of all Notes or portions thereof so</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tendered; and</w:t>
      </w:r>
    </w:p>
    <w:p>
      <w:pPr>
        <w:spacing w:after="0" w:line="210" w:lineRule="exact"/>
        <w:rPr>
          <w:rFonts w:ascii="Arial" w:cs="Arial" w:eastAsia="Arial" w:hAnsi="Arial"/>
          <w:sz w:val="17"/>
          <w:szCs w:val="17"/>
          <w:color w:val="auto"/>
        </w:rPr>
      </w:pPr>
    </w:p>
    <w:p>
      <w:pPr>
        <w:ind w:left="760" w:right="580" w:firstLine="761"/>
        <w:spacing w:after="0" w:line="277" w:lineRule="auto"/>
        <w:tabs>
          <w:tab w:leader="none" w:pos="17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70"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 xml:space="preserve">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$2,000 or integral multiples of $1,000 in excess thereof. The Company will publicly announce the results of the Change of Control Offer on or as soon as practicable after the Change of Control Payment Date.</w:t>
      </w:r>
    </w:p>
    <w:p>
      <w:pPr>
        <w:spacing w:after="0" w:line="154"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18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 Change of Control will constitute an event of default under the Credit Agreement and may constitute an event of default under other Credit Facilities or Receivables Financings. Agreements governing existing or future Indebtedness of the Company may contain prohibitions of certain events that would constitute a Change of Control or require such Indebtedness (including the 2023 Notes) to be repurchased or repaid upon a Change of Control. The Credit Agreement prohibits, and the agreements governing existing or future Indebtedness of the Company may prohibit, the Company from repurchasing the Notes upon a Change of Control unless the Indebtedness governed by the Credit Agreement or the agreements governing such existing or future Indebtedness, as the case may be, has been repurchased or repaid. Moreover, the exercise by the Holders of their right to require the Company to repurchase the Notes could cause a default under such agreements, even if the Change of Control itself does not, due to the financial effect of such repurchase on the Company. The Company’s ability to pay cash to the Holders upon a repurchase may be limited by the Company’s then existing financial resources. There can be no assurance that sufficient funds will be available when necessary to make any required repurchases. In addition, we cannot assure you that in the event of a Change of Control the Company will be able to obtain the consents necessary to consummate a Change of Control Offer from the lenders under agreements governing outstanding Indebtedness which may prohibit the offer. In addition, the definition of “Change of Control” under the Indenture may not correspond exactly to the definition of “change of control” (or similar term) under the Company’s other Indebtedness (including the 2023 Notes), and as a result, a “change of control” offer may be made to holders of all or some of such other Indebtedness after a transaction that does not constitute a Change of Control under the Indenture.</w:t>
      </w:r>
    </w:p>
    <w:p>
      <w:pPr>
        <w:spacing w:after="0" w:line="18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19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the Company to repurchase such Notes as a result of a sale, lease, transfer, conveyance or other disposition of less than all of the assets of the Company and its Subsidiaries taken as a whole to another Person or group may be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by Application of Excess Proceeds of Asset Sales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225" w:lineRule="exact"/>
        <w:rPr>
          <w:sz w:val="20"/>
          <w:szCs w:val="20"/>
          <w:color w:val="auto"/>
        </w:rPr>
      </w:pPr>
    </w:p>
    <w:p>
      <w:pPr>
        <w:ind w:left="740" w:right="80" w:firstLine="646"/>
        <w:spacing w:after="0" w:line="264" w:lineRule="auto"/>
        <w:tabs>
          <w:tab w:leader="none" w:pos="1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as approved in good faith by the Company’s Board of Directors;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53" w:name="page54"/>
    <w:bookmarkEnd w:id="53"/>
    <w:p>
      <w:pPr>
        <w:ind w:left="740" w:right="260" w:firstLine="646"/>
        <w:spacing w:after="0" w:line="264" w:lineRule="auto"/>
        <w:tabs>
          <w:tab w:leader="none" w:pos="16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the Company or such Restricted Subsidiary is in the form of cash or Cash Equivalents. For purposes of this provision only (and specifically not for the purposes of the definition of “Net Proceeds”), each of the following shall be deemed to be cash:</w:t>
      </w:r>
    </w:p>
    <w:p>
      <w:pPr>
        <w:spacing w:after="0" w:line="181" w:lineRule="exact"/>
        <w:rPr>
          <w:rFonts w:ascii="Arial" w:cs="Arial" w:eastAsia="Arial" w:hAnsi="Arial"/>
          <w:sz w:val="18"/>
          <w:szCs w:val="18"/>
          <w:color w:val="auto"/>
        </w:rPr>
      </w:pPr>
    </w:p>
    <w:p>
      <w:pPr>
        <w:ind w:left="1620" w:right="280" w:firstLine="576"/>
        <w:spacing w:after="0" w:line="264" w:lineRule="auto"/>
        <w:tabs>
          <w:tab w:leader="none" w:pos="240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w:t>
      </w:r>
    </w:p>
    <w:p>
      <w:pPr>
        <w:spacing w:after="0" w:line="181" w:lineRule="exact"/>
        <w:rPr>
          <w:rFonts w:ascii="Arial" w:cs="Arial" w:eastAsia="Arial" w:hAnsi="Arial"/>
          <w:sz w:val="18"/>
          <w:szCs w:val="18"/>
          <w:color w:val="auto"/>
        </w:rPr>
      </w:pPr>
    </w:p>
    <w:p>
      <w:pPr>
        <w:ind w:left="1620" w:right="180" w:firstLine="576"/>
        <w:spacing w:after="0" w:line="264" w:lineRule="auto"/>
        <w:tabs>
          <w:tab w:leader="none" w:pos="24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within 180 days are converted by the Company or such Restricted Subsidiary into cash (to the extent of the cash received in that conversion); and</w:t>
      </w:r>
    </w:p>
    <w:p>
      <w:pPr>
        <w:spacing w:after="0" w:line="181" w:lineRule="exact"/>
        <w:rPr>
          <w:rFonts w:ascii="Arial" w:cs="Arial" w:eastAsia="Arial" w:hAnsi="Arial"/>
          <w:sz w:val="18"/>
          <w:szCs w:val="18"/>
          <w:color w:val="auto"/>
        </w:rPr>
      </w:pPr>
    </w:p>
    <w:p>
      <w:pPr>
        <w:ind w:left="1620" w:right="40" w:firstLine="576"/>
        <w:spacing w:after="0" w:line="255" w:lineRule="auto"/>
        <w:tabs>
          <w:tab w:leader="none" w:pos="250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fair market value of (x) any assets (other than securities or current assets) received by the Company or any Restricted Subsidiary that will be used or useful in a Related Business, (y) Equity Interests in a Person that is a Restricted Subsidiary or in a Person engaged in a Related Business that shall become a Restricted Subsidiary immediately upon the acquisition of such Equity Interests by the Company or the applicable Restricted Subsidiary or (z) a combination of (x) and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determination of the fair market value of assets or Equity Interests in excess of $75.0 million received in any transaction or series of related transactions shall be evidenced by an officers’ certificate delivered to the Trustee.</w:t>
      </w:r>
    </w:p>
    <w:p>
      <w:pPr>
        <w:spacing w:after="0" w:line="1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Within a period of 450 days (commencing after the Issue Date) before or after the receipt of any Net Proceeds of any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during such 450-day period after the receipt of any such Net Proceeds the Company (or the applicable Restricted Subsidiary) enters into a definitive binding agreement committing it to apply such Net Proceeds in accordance with the requirements of clause (B), (D) or (E) of this paragraph after such 450th day, such 450-day period will be extended with respect to the amount of Net Proceeds so committed for a period not to exceed 180 days until such Net Proceeds are required to be applied in accordance with such agreement (or, if earlier, until termination of such agreement)), the Company or such Restricted Subsidiary, at its option, may apply an amount equal to the Net Proceeds from such Asset Sale:</w:t>
      </w:r>
    </w:p>
    <w:p>
      <w:pPr>
        <w:spacing w:after="0" w:line="178" w:lineRule="exact"/>
        <w:rPr>
          <w:sz w:val="20"/>
          <w:szCs w:val="20"/>
          <w:color w:val="auto"/>
        </w:rPr>
      </w:pPr>
    </w:p>
    <w:p>
      <w:pPr>
        <w:ind w:left="760" w:right="260" w:firstLine="761"/>
        <w:spacing w:after="0" w:line="276" w:lineRule="auto"/>
        <w:tabs>
          <w:tab w:leader="none" w:pos="18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repay, prepay, redeem or repurchase Indebtedness (other than securities) under Credit Facilities or Indebtedness of a Restricted Subsidiary that is not a Guarantor (other than Indebtedness of such Restricted Subsidiary owed to the Company or any of its Restricted Subsidiaries) and, in the case of any such Indebtedness under any revolving credit facility, effect a permanent reduction in the availability under such revolving credit facility (or effect a permanent reduction in the availability under such revolving credit facility regardless of the fact that no prepayment is required in order to do so (in which case no prepayment shall be required));</w:t>
      </w:r>
    </w:p>
    <w:p>
      <w:pPr>
        <w:spacing w:after="0" w:line="172" w:lineRule="exact"/>
        <w:rPr>
          <w:rFonts w:ascii="Arial" w:cs="Arial" w:eastAsia="Arial" w:hAnsi="Arial"/>
          <w:sz w:val="17"/>
          <w:szCs w:val="17"/>
          <w:color w:val="auto"/>
        </w:rPr>
      </w:pPr>
    </w:p>
    <w:p>
      <w:pPr>
        <w:ind w:left="760" w:right="100" w:firstLine="761"/>
        <w:spacing w:after="0" w:line="342" w:lineRule="auto"/>
        <w:tabs>
          <w:tab w:leader="none" w:pos="18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acquire Equity Interests in a Person that is a Restricted Subsidiary or in a Person engaged in a Related Business that shall become a Restricted Subsidiary immediately upon the acquisition of such Equity Interests by the Company or the applicable Restricted Subsidiary;</w:t>
      </w:r>
    </w:p>
    <w:p>
      <w:pPr>
        <w:spacing w:after="0" w:line="123" w:lineRule="exact"/>
        <w:rPr>
          <w:rFonts w:ascii="Arial" w:cs="Arial" w:eastAsia="Arial" w:hAnsi="Arial"/>
          <w:sz w:val="16"/>
          <w:szCs w:val="16"/>
          <w:color w:val="auto"/>
        </w:rPr>
      </w:pPr>
    </w:p>
    <w:p>
      <w:pPr>
        <w:ind w:left="1800" w:hanging="279"/>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225" w:lineRule="exact"/>
        <w:rPr>
          <w:rFonts w:ascii="Arial" w:cs="Arial" w:eastAsia="Arial" w:hAnsi="Arial"/>
          <w:sz w:val="18"/>
          <w:szCs w:val="18"/>
          <w:color w:val="auto"/>
        </w:rPr>
      </w:pPr>
    </w:p>
    <w:p>
      <w:pPr>
        <w:ind w:left="1820" w:hanging="299"/>
        <w:spacing w:after="0"/>
        <w:tabs>
          <w:tab w:leader="none" w:pos="1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w:t>
      </w:r>
    </w:p>
    <w:p>
      <w:pPr>
        <w:spacing w:after="0" w:line="225" w:lineRule="exact"/>
        <w:rPr>
          <w:rFonts w:ascii="Arial" w:cs="Arial" w:eastAsia="Arial" w:hAnsi="Arial"/>
          <w:sz w:val="18"/>
          <w:szCs w:val="18"/>
          <w:color w:val="auto"/>
        </w:rPr>
      </w:pPr>
    </w:p>
    <w:p>
      <w:pPr>
        <w:ind w:left="1800" w:hanging="279"/>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make Investments in joint ventures pursuant to clauses (13) and (14) of the definition of “Permitted Investments”; 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(A), (B), (C), (D) and (E).</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Pending the final application of such Net Proceeds, the Company or any Restricted Subsidiary may temporarily reduce borrowings under the Credit Facilities or any other revolving credit facility or Receivables Financings, if any, or otherwise invest such Net Proceeds in Cash Equivalents, in each case in a manner not prohibited by the Indenture. Subject to the last sentence of this paragraph, on the 451st day (as extended pursuant to the provisions in the preceding paragraph) after an Asset Sale or such earlier date, if any, as the Board of Directors of the Company or of such Restricted Subsidiary determines not to apply the Net Proceeds relating to such Asset Sale as set forth in clause (A), (B), (C), (D), (E) or (F) of the second preceding sentence (each, a “</w:t>
      </w:r>
      <w:r>
        <w:rPr>
          <w:rFonts w:ascii="Arial" w:cs="Arial" w:eastAsia="Arial" w:hAnsi="Arial"/>
          <w:sz w:val="17"/>
          <w:szCs w:val="17"/>
          <w:i w:val="1"/>
          <w:iCs w:val="1"/>
          <w:color w:val="auto"/>
        </w:rPr>
        <w:t>Net</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 Offer Trigger Date</w:t>
      </w:r>
      <w:r>
        <w:rPr>
          <w:rFonts w:ascii="Arial" w:cs="Arial" w:eastAsia="Arial" w:hAnsi="Arial"/>
          <w:sz w:val="17"/>
          <w:szCs w:val="17"/>
          <w:color w:val="auto"/>
        </w:rPr>
        <w:t>”), such aggregate amount of Net Proceeds which have not been applied (or committed to be applied pursuant to a definitive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as described above) on or before such Net Proceeds Offer Trigger Date as permitted in clauses (A), (B), (C), (D), (E) or (F) of the second preceding sentence (each a “</w:t>
      </w:r>
      <w:r>
        <w:rPr>
          <w:rFonts w:ascii="Arial" w:cs="Arial" w:eastAsia="Arial" w:hAnsi="Arial"/>
          <w:sz w:val="17"/>
          <w:szCs w:val="17"/>
          <w:i w:val="1"/>
          <w:iCs w:val="1"/>
          <w:color w:val="auto"/>
        </w:rPr>
        <w:t>Net Proceeds Offer Amount</w:t>
      </w:r>
      <w:r>
        <w:rPr>
          <w:rFonts w:ascii="Arial" w:cs="Arial" w:eastAsia="Arial" w:hAnsi="Arial"/>
          <w:sz w:val="17"/>
          <w:szCs w:val="17"/>
          <w:color w:val="auto"/>
        </w:rPr>
        <w:t>”) shall be applied by the Company or such Restricted Subsidiary to make an offer to purchase (the “</w:t>
      </w:r>
      <w:r>
        <w:rPr>
          <w:rFonts w:ascii="Arial" w:cs="Arial" w:eastAsia="Arial" w:hAnsi="Arial"/>
          <w:sz w:val="17"/>
          <w:szCs w:val="17"/>
          <w:i w:val="1"/>
          <w:iCs w:val="1"/>
          <w:color w:val="auto"/>
        </w:rPr>
        <w:t>Net Proceeds Offer</w:t>
      </w:r>
      <w:r>
        <w:rPr>
          <w:rFonts w:ascii="Arial" w:cs="Arial" w:eastAsia="Arial" w:hAnsi="Arial"/>
          <w:sz w:val="17"/>
          <w:szCs w:val="17"/>
          <w:color w:val="auto"/>
        </w:rPr>
        <w:t>”) on a date (the “</w:t>
      </w:r>
      <w:r>
        <w:rPr>
          <w:rFonts w:ascii="Arial" w:cs="Arial" w:eastAsia="Arial" w:hAnsi="Arial"/>
          <w:sz w:val="17"/>
          <w:szCs w:val="17"/>
          <w:i w:val="1"/>
          <w:iCs w:val="1"/>
          <w:color w:val="auto"/>
        </w:rPr>
        <w:t>Net Proceeds Offer Payment Date</w:t>
      </w:r>
      <w:r>
        <w:rPr>
          <w:rFonts w:ascii="Arial" w:cs="Arial" w:eastAsia="Arial" w:hAnsi="Arial"/>
          <w:sz w:val="17"/>
          <w:szCs w:val="17"/>
          <w:color w:val="auto"/>
        </w:rPr>
        <w:t>”) not less than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54" w:name="page55"/>
    <w:bookmarkEnd w:id="54"/>
    <w:p>
      <w:pPr>
        <w:spacing w:after="0" w:line="268" w:lineRule="auto"/>
        <w:rPr>
          <w:sz w:val="20"/>
          <w:szCs w:val="20"/>
          <w:color w:val="auto"/>
        </w:rPr>
      </w:pPr>
      <w:r>
        <w:rPr>
          <w:rFonts w:ascii="Arial" w:cs="Arial" w:eastAsia="Arial" w:hAnsi="Arial"/>
          <w:sz w:val="17"/>
          <w:szCs w:val="17"/>
          <w:color w:val="auto"/>
        </w:rPr>
        <w:t xml:space="preserve">30 nor more than 60 days following the applicable Net Proceeds Offer Trigger Date, from all Holders (and, if required by the terms of any other Indebtedness of the Company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in right of payment and which has similar provisions requiring the Company either to make an offer to repurchase or to otherwise repurchase, redeem or repay such Indebtedness with the proceeds from Asset Sales, including the 2023 Notes and the related Guarantees thereof (the “</w:t>
      </w:r>
      <w:r>
        <w:rPr>
          <w:rFonts w:ascii="Arial" w:cs="Arial" w:eastAsia="Arial" w:hAnsi="Arial"/>
          <w:sz w:val="17"/>
          <w:szCs w:val="17"/>
          <w:i w:val="1"/>
          <w:iCs w:val="1"/>
          <w:color w:val="auto"/>
        </w:rPr>
        <w:t>Pari Passu Indebtedness</w:t>
      </w:r>
      <w:r>
        <w:rPr>
          <w:rFonts w:ascii="Arial" w:cs="Arial" w:eastAsia="Arial" w:hAnsi="Arial"/>
          <w:sz w:val="17"/>
          <w:szCs w:val="17"/>
          <w:color w:val="auto"/>
        </w:rPr>
        <w:t xml:space="preserve">”), from the holders of such Pari Passu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proportion to the respective principal amounts or accreted value, as the case may be, of the Notes and any such Pari Passu Indebtedness) an aggregate principal amount of Notes (plus, if applicable, an aggregate principal amount or accreted value, as the case may be, of the Pari Passu Indebtedness) equal to the Net Proceeds Offer Amount at a price equal to 100% of the principal amount of the Notes (or 100% of the principal amount or accreted value, as the case may be, of such Pari Passu Indebtedness), plus accrued and unpaid interest thereon, if any, to the Net Proceeds Offer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at any time any non-cash consideration received by the Company or any Restricted Subsidiary, as the case may be, in connection with any Asset Sale is converted into or sold or otherwise disposed of for cash (other than interest received with respect to any such non-cash consideration), then such conversion or disposition shall be deemed to constitute an Asset Sale hereunder and the Net Proceeds thereof shall be applied in accordance with this covenant. The Company may defer the Net Proceeds Offer until there is an aggregate unutilized Net Proceeds Offer Amount equal to or in excess of $125.0 million resulting from one or more Asset Sales (at which time the entire unutilized Net Proceeds Offer Amount, and not just the amount in excess of $125.0 million, shall be applied as required pursuant to this paragraph, and in which case the Net Proceeds Offer Trigger Date shall be deemed to be the earliest date that the Net Proceeds Offer Amount is equal to or in excess of $125.0 million).</w:t>
      </w:r>
    </w:p>
    <w:p>
      <w:pPr>
        <w:spacing w:after="0" w:line="19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 xml:space="preserve">Each Net Proceeds Offer will be mailed to the record Holders as shown on the register of Holders within 25 days following the Net Proceeds Offer Trigger Date, with a copy to the Trustee, and shall comply with the procedures set forth in the Indenture. Upon receiving notice of the Net Proceeds Offer, Holders may elect to tender their Notes in whole or in part in denominations of $2,000 or integral multiples of $1,000 in excess thereof in exchange for cash. To the extent that the aggregate principal amount of Notes (plus, if applicable, the aggregate principal amount or accreted value, as the case may be, of the Pari Passu Indebtedness) validly tendered by the Holders thereof and not withdrawn exceeds the Net Proceeds Offer Amount, Notes of tendering Holders (and, if applicable, the Pari Passu Indebtedness tendered by the holders thereof) will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principal amount of the Notes and, if applicable, the principal amount or accreted value, as the case may be, of any such Pari Passu Indebtedness tendered and not withdrawn). To the extent that the aggregate amount of the Notes (plus, if applicable, the aggregate principal amount or accreted value, as the case may be, of any Pari Passu Indebtedness) tendered pursuant to a Net Proceeds Offer is less than the Net Proceeds Offer Amount, the Company may use such excess Net Proceeds Offer Amount for general corporate purposes or for any other purpose not prohibited by the Indenture. Upon completion of any such Net Proceeds Offer, the Net Proceeds Offer Amount shall be reset at zero. A Net Proceeds Offer shall remain open for a period of 20 Business Days or such longer period as may be required by law.</w:t>
      </w:r>
    </w:p>
    <w:p>
      <w:pPr>
        <w:spacing w:after="0" w:line="1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“Asset Sale” provisions of the Indenture, the Company or such Restricted Subsidiary shall comply with the applicable securities laws and regulations and shall not be deemed to have breached its obligations under the “Asset Sale” provisions of the Indenture by virtue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Suspension</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If on any date following the Issue Date the Notes have an Investment Grade Rating from both Rating Agencies and no Default or Event of Default has occurred and is continuing under the Indenture, then beginning on that day and subject to the provisions of the following paragraph, the provisions specifically listed under the following captions in this prospectus will be suspended:</w:t>
      </w:r>
    </w:p>
    <w:p>
      <w:pPr>
        <w:spacing w:after="0" w:line="181" w:lineRule="exact"/>
        <w:rPr>
          <w:sz w:val="20"/>
          <w:szCs w:val="20"/>
          <w:color w:val="auto"/>
        </w:rPr>
      </w:pPr>
    </w:p>
    <w:p>
      <w:pPr>
        <w:ind w:left="1220" w:hanging="34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“-Repurchase at the Option of Holders-Offer to Repurchase by Application of Excess Proceeds of Asset Sales,”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“-Restricted Investments,”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“-Incurrence of Indebtedness and Issuance of Preferred Stock,”</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on Layering Indebtedness,”</w:t>
      </w:r>
    </w:p>
    <w:p>
      <w:pPr>
        <w:spacing w:after="0" w:line="22" w:lineRule="exact"/>
        <w:rPr>
          <w:rFonts w:ascii="Arial" w:cs="Arial" w:eastAsia="Arial" w:hAnsi="Arial"/>
          <w:sz w:val="18"/>
          <w:szCs w:val="18"/>
          <w:color w:val="auto"/>
        </w:rPr>
      </w:pPr>
    </w:p>
    <w:p>
      <w:pPr>
        <w:ind w:left="1220" w:hanging="34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clause (a)(ii) of “-Certain Covenants-Merger, Consolidation or Sale of Assets,”</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 The period during which covenants are suspended pursuant to this section is called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24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the event that the Company and the Restricted Subsidiaries are not subject to the Suspended Covenants for any period of time as a result of the second preceding sentence and, subsequently, one of the Rating Agencies withdraws its ratings or downgrades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368" w:right="27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t>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Investments made and Indebtedness incurred after the time of such withdrawal, Default or Event of Default will be calculated in accordance with the terms of the covenant described below under the caption “-Restricted Investments” and “-Incurrence of Indebtedness and Issuance of Preferred Stock” as though such covenant had been in effect during the entire period of time from the Issue Date. Notwithstanding the foregoing and any other provision of the Indenture, the Notes or the Guarantees, no Default or Event of Default shall be deemed to exist under the Indenture, the Notes or the Guarantees with respect to the Suspended Covenants based on, and none of the Company or any of the Subsidiaries shall bear any liability with respect to the Suspended Covenants for, (a) any actions taken or events occurring during a Suspension Period (including without limitation any agreements, preferred stock, obligations (including Indebtedness), or of any other facts or circumstances or obligations that were incurred or otherwise came into existence during a Suspension Period) or (b) 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Restricted Investment unless, at the time of and after giving effect to such Restricted Investment:</w:t>
      </w:r>
    </w:p>
    <w:p>
      <w:pPr>
        <w:spacing w:after="0" w:line="170" w:lineRule="exact"/>
        <w:rPr>
          <w:sz w:val="20"/>
          <w:szCs w:val="20"/>
          <w:color w:val="auto"/>
        </w:rPr>
      </w:pPr>
    </w:p>
    <w:p>
      <w:pPr>
        <w:ind w:left="1760" w:hanging="239"/>
        <w:spacing w:after="0"/>
        <w:tabs>
          <w:tab w:leader="none" w:pos="1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225" w:lineRule="exact"/>
        <w:rPr>
          <w:rFonts w:ascii="Arial" w:cs="Arial" w:eastAsia="Arial" w:hAnsi="Arial"/>
          <w:sz w:val="18"/>
          <w:szCs w:val="18"/>
          <w:color w:val="auto"/>
        </w:rPr>
      </w:pPr>
    </w:p>
    <w:p>
      <w:pPr>
        <w:jc w:val="both"/>
        <w:ind w:left="760" w:right="60" w:firstLine="761"/>
        <w:spacing w:after="0" w:line="259" w:lineRule="auto"/>
        <w:tabs>
          <w:tab w:leader="none" w:pos="17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would, at the time of such Restricted Investment and after giving pro forma effect thereto as if such Restricted Investment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186" w:lineRule="exact"/>
        <w:rPr>
          <w:rFonts w:ascii="Arial" w:cs="Arial" w:eastAsia="Arial" w:hAnsi="Arial"/>
          <w:sz w:val="18"/>
          <w:szCs w:val="18"/>
          <w:color w:val="auto"/>
        </w:rPr>
      </w:pPr>
    </w:p>
    <w:p>
      <w:pPr>
        <w:ind w:left="760" w:right="140" w:firstLine="761"/>
        <w:spacing w:after="0" w:line="264" w:lineRule="auto"/>
        <w:tabs>
          <w:tab w:leader="none" w:pos="17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Restricted Investment, together with the aggregate amount of all other Restricted Investments made by the Company and its Restricted Subsidiaries (excluding Restricted Investments permitted by clauses (1) and (2) of the next succeeding paragraph) after the 2018 Notes Issue Date, is less than the sum, without duplication, of:</w:t>
      </w:r>
    </w:p>
    <w:p>
      <w:pPr>
        <w:spacing w:after="0" w:line="181" w:lineRule="exact"/>
        <w:rPr>
          <w:rFonts w:ascii="Arial" w:cs="Arial" w:eastAsia="Arial" w:hAnsi="Arial"/>
          <w:sz w:val="18"/>
          <w:szCs w:val="18"/>
          <w:color w:val="auto"/>
        </w:rPr>
      </w:pPr>
    </w:p>
    <w:p>
      <w:pPr>
        <w:ind w:left="1640" w:right="20" w:firstLine="758"/>
        <w:spacing w:after="0" w:line="279" w:lineRule="auto"/>
        <w:tabs>
          <w:tab w:leader="none" w:pos="2611"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50% of the Consolidated Net Income of the Company for the period (taken as one accounting period) commencing on the first day of the fiscal quarter in which the 2018 Notes Issue Date occurred to and ending on the last day of the fiscal quarter ended immediately prior to the date of such calculation for which internal financial statements are available at the time of such Restricted Investment (or, if such Consolidated Net Income for such period is a deficit, less 100% of such deficit); </w:t>
      </w:r>
      <w:r>
        <w:rPr>
          <w:rFonts w:ascii="Arial" w:cs="Arial" w:eastAsia="Arial" w:hAnsi="Arial"/>
          <w:sz w:val="17"/>
          <w:szCs w:val="17"/>
          <w:i w:val="1"/>
          <w:iCs w:val="1"/>
          <w:color w:val="auto"/>
        </w:rPr>
        <w:t>plus</w:t>
      </w:r>
    </w:p>
    <w:p>
      <w:pPr>
        <w:spacing w:after="0" w:line="171" w:lineRule="exact"/>
        <w:rPr>
          <w:rFonts w:ascii="Arial" w:cs="Arial" w:eastAsia="Arial" w:hAnsi="Arial"/>
          <w:sz w:val="17"/>
          <w:szCs w:val="17"/>
          <w:color w:val="auto"/>
        </w:rPr>
      </w:pPr>
    </w:p>
    <w:p>
      <w:pPr>
        <w:ind w:left="1640" w:right="140" w:firstLine="758"/>
        <w:spacing w:after="0" w:line="257" w:lineRule="auto"/>
        <w:tabs>
          <w:tab w:leader="none" w:pos="2661"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property other than cash)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jc w:val="both"/>
        <w:ind w:left="1640" w:right="20" w:firstLine="758"/>
        <w:spacing w:after="0" w:line="259" w:lineRule="auto"/>
        <w:tabs>
          <w:tab w:leader="none" w:pos="27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that was made after the date of the Indenture is sold for cash (other than a sale to the Company or a Restricted Subsidiary) or otherwise liquidated or repaid for cash, the lesser of (x) the cash return of capital with respect to such Restricted Investment (less the cost of disposition, if any) and (y) the initial amount of such Restricted Investment;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420" w:right="260" w:firstLine="1978"/>
        <w:spacing w:after="0" w:line="530" w:lineRule="auto"/>
        <w:tabs>
          <w:tab w:leader="none" w:pos="2710" w:val="left"/>
        </w:tabs>
        <w:numPr>
          <w:ilvl w:val="1"/>
          <w:numId w:val="49"/>
        </w:numPr>
        <w:rPr>
          <w:rFonts w:ascii="Arial" w:cs="Arial" w:eastAsia="Arial" w:hAnsi="Arial"/>
          <w:sz w:val="17"/>
          <w:szCs w:val="17"/>
          <w:color w:val="auto"/>
        </w:rPr>
      </w:pPr>
      <w:r>
        <w:rPr>
          <w:rFonts w:ascii="Arial" w:cs="Arial" w:eastAsia="Arial" w:hAnsi="Arial"/>
          <w:sz w:val="17"/>
          <w:szCs w:val="17"/>
          <w:color w:val="auto"/>
        </w:rPr>
        <w:t>upon redesignation of an Unrestricted Subsidiary as a Restricted Subsidiary, the fair market value of such Subsidiary. As of December 31, 2016, the amount available for Restricted Investments pursuant to clause (c) above was $761.3 million.</w:t>
      </w:r>
    </w:p>
    <w:p>
      <w:pPr>
        <w:spacing w:after="0" w:line="1"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The preceding provision will not prohibit: (1) Restricted Investments in an amount not to exceed $250.0 million outstanding at any time and (2) Permitted Additional Restricted Investments, in each case, so long as no Default shall have occurred and be continuing at the time of the making thereof.</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8" w:right="259" w:bottom="1440" w:gutter="0" w:footer="0" w:header="0"/>
        </w:sectPr>
      </w:pPr>
    </w:p>
    <w:bookmarkStart w:id="56" w:name="page57"/>
    <w:bookmarkEnd w:id="56"/>
    <w:p>
      <w:pPr>
        <w:ind w:firstLine="405"/>
        <w:spacing w:after="0" w:line="255" w:lineRule="auto"/>
        <w:rPr>
          <w:sz w:val="20"/>
          <w:szCs w:val="20"/>
          <w:color w:val="auto"/>
        </w:rPr>
      </w:pPr>
      <w:r>
        <w:rPr>
          <w:rFonts w:ascii="Arial" w:cs="Arial" w:eastAsia="Arial" w:hAnsi="Arial"/>
          <w:sz w:val="18"/>
          <w:szCs w:val="18"/>
          <w:color w:val="auto"/>
        </w:rPr>
        <w:t>The amount of all Restricted Investments (other than cash) shall be the fair market value on the date of the Restricted Investment of the asset(s) or securities in which the Company or its Restricted Subsidiary, as the case may be, proposes to invest. The fair market value of any assets or securities that are required to be valued by this covenant shall be approved in good faith by the Board of Directors whose resolution with respect thereto shall be delivered to the Trustee. Not later than the date of a Permitted Additional Restricted Investment, the Company shall deliver to the Trustee an officers’ certificate stating that such Permitted Additional Restricted Investment is permitted and setting forth the basis upon which the calculations required by this “Restricted Investments” covenant were computed.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Subsidiaries</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Board of Directors may designate any Restricted Subsidiary to be an Unrestricted Subsidiary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Investments or Permitted Investments, as applicable. All such outstanding Investments will be treated as Restricted Investments equal to the fair market value of such Investments at the time of the designation. The designation will not be permitted if such Restricted Investment would not be permitted at that time and if such Restricted Subsidiary does not otherwise meet the definition of an Unrestricted Subsidiary. The Board of Directors may redesignate any Unrestricted Subsidiary to be a Restricted Subsidiary in accordance with the definition of “Unrestricted Subsidiary.”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22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that is not a Guarantor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and any of its Restricted Subsidiaries may incur Indebtedness (including Acquired Debt) or issue Disqualified Stock, and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amount of Indebtedness (including Acquired Debt), Disqualified Stock or preferred stock that may be incurred or issued, as applicable, by Restricted Subsidiaries that are not Guarantors, pursuant to the foregoing, shall not exceed $250.0 million at any one time outstanding.</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225" w:lineRule="exact"/>
        <w:rPr>
          <w:sz w:val="20"/>
          <w:szCs w:val="20"/>
          <w:color w:val="auto"/>
        </w:rPr>
      </w:pPr>
    </w:p>
    <w:p>
      <w:pPr>
        <w:ind w:left="760" w:right="120" w:firstLine="761"/>
        <w:spacing w:after="0" w:line="273" w:lineRule="auto"/>
        <w:tabs>
          <w:tab w:leader="none" w:pos="17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its Restricted Subsidiaries of Indebtedness and letters of credit under Credit Facilities in an aggregate amount (with letters of credit being deemed to have an amount equal to the maximum potential liability of the Company and its Restricted Subsidiaries thereunder) not to exceed $2.75 billion,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sum of (i) the aggregate amount of all Net Proceeds of Asset Sales applied by the Company or any of its Restricted Subsidiaries to repay Indebtedness under Credit Facilities pursuant to the covenant described above under the caption “-Repurchase at the Option of Holders-Offer to Repurchase by Application of Excess Proceeds of Asset Sales” and (ii) the amount of Indebtedness in excess of $200.0 million incurred pursuant to clause (10) below of this paragraph;</w:t>
      </w:r>
    </w:p>
    <w:p>
      <w:pPr>
        <w:spacing w:after="0" w:line="178" w:lineRule="exact"/>
        <w:rPr>
          <w:rFonts w:ascii="Arial" w:cs="Arial" w:eastAsia="Arial" w:hAnsi="Arial"/>
          <w:sz w:val="17"/>
          <w:szCs w:val="17"/>
          <w:color w:val="auto"/>
        </w:rPr>
      </w:pPr>
    </w:p>
    <w:p>
      <w:pPr>
        <w:ind w:left="1780" w:hanging="259"/>
        <w:spacing w:after="0"/>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225" w:lineRule="exact"/>
        <w:rPr>
          <w:rFonts w:ascii="Arial" w:cs="Arial" w:eastAsia="Arial" w:hAnsi="Arial"/>
          <w:sz w:val="18"/>
          <w:szCs w:val="18"/>
          <w:color w:val="auto"/>
        </w:rPr>
      </w:pPr>
    </w:p>
    <w:p>
      <w:pPr>
        <w:ind w:left="760" w:right="200" w:firstLine="761"/>
        <w:spacing w:after="0" w:line="277" w:lineRule="auto"/>
        <w:tabs>
          <w:tab w:leader="none" w:pos="17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(excluding any Additional Notes), the Subsidiary Guarantees of all Notes, the 2023 Notes and Subsidiary Guarantees of all 2023 Notes;</w:t>
      </w:r>
    </w:p>
    <w:p>
      <w:pPr>
        <w:spacing w:after="0" w:line="170" w:lineRule="exact"/>
        <w:rPr>
          <w:rFonts w:ascii="Arial" w:cs="Arial" w:eastAsia="Arial" w:hAnsi="Arial"/>
          <w:sz w:val="18"/>
          <w:szCs w:val="18"/>
          <w:color w:val="auto"/>
        </w:rPr>
      </w:pPr>
    </w:p>
    <w:p>
      <w:pPr>
        <w:ind w:left="760" w:right="80" w:firstLine="761"/>
        <w:spacing w:after="0" w:line="276" w:lineRule="auto"/>
        <w:tabs>
          <w:tab w:leader="none" w:pos="17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assets used in the business of the Company or such Restricted Subsidiary, or in respect of a Sale and Leaseback Transaction, in an aggregate principal amount, and all Indebtedness incurred to refund, refinance or replace any Indebtedness incurred pursuant to this clause (4), not to exceed $125.0 million at any time outstanding;</w:t>
      </w:r>
    </w:p>
    <w:p>
      <w:pPr>
        <w:spacing w:after="0" w:line="172" w:lineRule="exact"/>
        <w:rPr>
          <w:rFonts w:ascii="Arial" w:cs="Arial" w:eastAsia="Arial" w:hAnsi="Arial"/>
          <w:sz w:val="17"/>
          <w:szCs w:val="17"/>
          <w:color w:val="auto"/>
        </w:rPr>
      </w:pPr>
    </w:p>
    <w:p>
      <w:pPr>
        <w:ind w:left="760" w:right="120" w:firstLine="761"/>
        <w:spacing w:after="0" w:line="264" w:lineRule="auto"/>
        <w:tabs>
          <w:tab w:leader="none" w:pos="17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refund, refinance or replace, Indebtedness incurred under clause (2) or (3) above or this clause (5) or pursuant to the first paragraph of this covenant;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57" w:name="page58"/>
    <w:bookmarkEnd w:id="57"/>
    <w:p>
      <w:pPr>
        <w:ind w:left="760" w:right="260" w:firstLine="761"/>
        <w:spacing w:after="0" w:line="277" w:lineRule="auto"/>
        <w:tabs>
          <w:tab w:leader="none" w:pos="17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1640" w:right="420" w:firstLine="758"/>
        <w:spacing w:after="0" w:line="259" w:lineRule="auto"/>
        <w:tabs>
          <w:tab w:leader="none" w:pos="2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186" w:lineRule="exact"/>
        <w:rPr>
          <w:rFonts w:ascii="Arial" w:cs="Arial" w:eastAsia="Arial" w:hAnsi="Arial"/>
          <w:sz w:val="18"/>
          <w:szCs w:val="18"/>
          <w:color w:val="auto"/>
        </w:rPr>
      </w:pPr>
    </w:p>
    <w:p>
      <w:pPr>
        <w:ind w:left="1640" w:right="140" w:firstLine="758"/>
        <w:spacing w:after="0" w:line="302" w:lineRule="auto"/>
        <w:tabs>
          <w:tab w:leader="none" w:pos="26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154" w:lineRule="exact"/>
        <w:rPr>
          <w:rFonts w:ascii="Arial" w:cs="Arial" w:eastAsia="Arial" w:hAnsi="Arial"/>
          <w:sz w:val="16"/>
          <w:szCs w:val="16"/>
          <w:color w:val="auto"/>
        </w:rPr>
      </w:pPr>
    </w:p>
    <w:p>
      <w:pPr>
        <w:ind w:left="760" w:right="200" w:firstLine="761"/>
        <w:spacing w:after="0" w:line="302" w:lineRule="auto"/>
        <w:tabs>
          <w:tab w:leader="none" w:pos="1771"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hedging purposes of the Company or any Restricted Subsidiary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 (a) such Hedging Obligations relate to payment obligations on Indebtedness otherwise permitted to be incurred by this covenant and (b) the notional principal amount of such Hedging Obligations at the time incurred does not exceed the principal amount of the Indebtedness to which such Hedging Obligations relate;</w:t>
      </w:r>
    </w:p>
    <w:p>
      <w:pPr>
        <w:spacing w:after="0" w:line="154" w:lineRule="exact"/>
        <w:rPr>
          <w:rFonts w:ascii="Arial" w:cs="Arial" w:eastAsia="Arial" w:hAnsi="Arial"/>
          <w:sz w:val="16"/>
          <w:szCs w:val="16"/>
          <w:color w:val="auto"/>
        </w:rPr>
      </w:pPr>
    </w:p>
    <w:p>
      <w:pPr>
        <w:jc w:val="both"/>
        <w:ind w:left="760" w:right="60" w:firstLine="761"/>
        <w:spacing w:after="0" w:line="264" w:lineRule="auto"/>
        <w:tabs>
          <w:tab w:leader="none" w:pos="17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covenant and could have been incurred (in compliance with this covenant) by the Person so guaranteeing such Indebtedness;</w:t>
      </w:r>
    </w:p>
    <w:p>
      <w:pPr>
        <w:spacing w:after="0" w:line="181" w:lineRule="exact"/>
        <w:rPr>
          <w:rFonts w:ascii="Arial" w:cs="Arial" w:eastAsia="Arial" w:hAnsi="Arial"/>
          <w:sz w:val="18"/>
          <w:szCs w:val="18"/>
          <w:color w:val="auto"/>
        </w:rPr>
      </w:pPr>
    </w:p>
    <w:p>
      <w:pPr>
        <w:ind w:left="760" w:right="100" w:firstLine="761"/>
        <w:spacing w:after="0" w:line="279" w:lineRule="auto"/>
        <w:tabs>
          <w:tab w:leader="none" w:pos="17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incurrence by any of the Company’s Foreign Subsidiaries of Indebtedness in an aggregate principal amount, including all Indebtedness incurred to refund, refinance or replace any Indebtedness incurred pursuant to this clause (9), not to exceed (x) $125.0 million at any time outstanding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(y) $100.0 million at any time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Indebtedness under this subclause (y) shall be supported by a letter of credit incurred under one or more Credit Facilities pursuant to clause (1) of this paragraph;</w:t>
      </w:r>
    </w:p>
    <w:p>
      <w:pPr>
        <w:spacing w:after="0" w:line="171" w:lineRule="exact"/>
        <w:rPr>
          <w:rFonts w:ascii="Arial" w:cs="Arial" w:eastAsia="Arial" w:hAnsi="Arial"/>
          <w:sz w:val="17"/>
          <w:szCs w:val="17"/>
          <w:color w:val="auto"/>
        </w:rPr>
      </w:pPr>
    </w:p>
    <w:p>
      <w:pPr>
        <w:ind w:left="1860" w:hanging="339"/>
        <w:spacing w:after="0"/>
        <w:tabs>
          <w:tab w:leader="none" w:pos="1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pursuant to a Receivables Financing;</w:t>
      </w:r>
    </w:p>
    <w:p>
      <w:pPr>
        <w:spacing w:after="0" w:line="236" w:lineRule="exact"/>
        <w:rPr>
          <w:rFonts w:ascii="Arial" w:cs="Arial" w:eastAsia="Arial" w:hAnsi="Arial"/>
          <w:sz w:val="17"/>
          <w:szCs w:val="17"/>
          <w:color w:val="auto"/>
        </w:rPr>
      </w:pPr>
    </w:p>
    <w:p>
      <w:pPr>
        <w:ind w:left="760" w:right="140" w:firstLine="761"/>
        <w:spacing w:after="0" w:line="264" w:lineRule="auto"/>
        <w:tabs>
          <w:tab w:leader="none" w:pos="18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181" w:lineRule="exact"/>
        <w:rPr>
          <w:rFonts w:ascii="Arial" w:cs="Arial" w:eastAsia="Arial" w:hAnsi="Arial"/>
          <w:sz w:val="18"/>
          <w:szCs w:val="18"/>
          <w:color w:val="auto"/>
        </w:rPr>
      </w:pPr>
    </w:p>
    <w:p>
      <w:pPr>
        <w:ind w:left="760" w:right="20" w:firstLine="761"/>
        <w:spacing w:after="0" w:line="342" w:lineRule="auto"/>
        <w:tabs>
          <w:tab w:leader="none" w:pos="1861"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Indebtedness of the Company or any of its Restricted Subsidiaries in respect of security for workers’ compensation claims, payment obligations in connection with self-insurance, performance bonds, surety bonds or similar requirements in the ordinary course of business;</w:t>
      </w:r>
    </w:p>
    <w:p>
      <w:pPr>
        <w:spacing w:after="0" w:line="123" w:lineRule="exact"/>
        <w:rPr>
          <w:rFonts w:ascii="Arial" w:cs="Arial" w:eastAsia="Arial" w:hAnsi="Arial"/>
          <w:sz w:val="16"/>
          <w:szCs w:val="16"/>
          <w:color w:val="auto"/>
        </w:rPr>
      </w:pPr>
    </w:p>
    <w:p>
      <w:pPr>
        <w:ind w:left="760" w:firstLine="761"/>
        <w:spacing w:after="0" w:line="272" w:lineRule="auto"/>
        <w:tabs>
          <w:tab w:leader="none" w:pos="186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indemnification, adjustment of purchase price, earn-out or similar obligations, in each case, incurred or assumed in connection with the acquisition or disposition of any business or assets of the Company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amount of such obligations included on the face of the balance sheet of the Company or any Restricted Subsidiary shall not be permitted under this clause (13) and (b) in the case of a disposition, the maximum aggregate liability in respect of all such obligations outstanding under this clause (13) shall at no time exceed the gross proceeds actually received by the Company and the Restricted Subsidiaries in connection with such disposition; and</w:t>
      </w:r>
    </w:p>
    <w:p>
      <w:pPr>
        <w:spacing w:after="0" w:line="177" w:lineRule="exact"/>
        <w:rPr>
          <w:rFonts w:ascii="Arial" w:cs="Arial" w:eastAsia="Arial" w:hAnsi="Arial"/>
          <w:sz w:val="17"/>
          <w:szCs w:val="17"/>
          <w:color w:val="auto"/>
        </w:rPr>
      </w:pPr>
    </w:p>
    <w:p>
      <w:pPr>
        <w:jc w:val="both"/>
        <w:ind w:left="760" w:firstLine="761"/>
        <w:spacing w:after="0" w:line="264" w:lineRule="auto"/>
        <w:tabs>
          <w:tab w:leader="none" w:pos="186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Indebtedness incurred to refund, refinance or replace any Indebtedness incurred pursuant to this clause (14), not to exceed $250.0 million.</w:t>
      </w:r>
    </w:p>
    <w:p>
      <w:pPr>
        <w:spacing w:after="0" w:line="1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98" w:right="259" w:bottom="1440" w:gutter="0" w:footer="0" w:header="0"/>
        </w:sectPr>
      </w:pPr>
    </w:p>
    <w:bookmarkStart w:id="58" w:name="page59"/>
    <w:bookmarkEnd w:id="58"/>
    <w:p>
      <w:pPr>
        <w:ind w:right="220"/>
        <w:spacing w:after="0" w:line="257" w:lineRule="auto"/>
        <w:rPr>
          <w:sz w:val="20"/>
          <w:szCs w:val="20"/>
          <w:color w:val="auto"/>
        </w:rPr>
      </w:pPr>
      <w:r>
        <w:rPr>
          <w:rFonts w:ascii="Arial" w:cs="Arial" w:eastAsia="Arial" w:hAnsi="Arial"/>
          <w:sz w:val="18"/>
          <w:szCs w:val="18"/>
          <w:color w:val="auto"/>
        </w:rPr>
        <w:t xml:space="preserve">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Fixed Charges of the Company as accrued. Notwithstanding the foregoing, any Indebtedness outstanding pursuant to the Credit Agreement on the date of the Indenture will be deemed to have been incurred pursuant to clause (1) of the definition of “Permitted Debt.”</w:t>
      </w:r>
    </w:p>
    <w:p>
      <w:pPr>
        <w:spacing w:after="0" w:line="188" w:lineRule="exact"/>
        <w:rPr>
          <w:sz w:val="20"/>
          <w:szCs w:val="20"/>
          <w:color w:val="auto"/>
        </w:rPr>
      </w:pPr>
    </w:p>
    <w:p>
      <w:pPr>
        <w:ind w:right="680" w:firstLine="405"/>
        <w:spacing w:after="0" w:line="342" w:lineRule="auto"/>
        <w:rPr>
          <w:sz w:val="20"/>
          <w:szCs w:val="20"/>
          <w:color w:val="auto"/>
        </w:rPr>
      </w:pPr>
      <w:r>
        <w:rPr>
          <w:rFonts w:ascii="Arial" w:cs="Arial" w:eastAsia="Arial" w:hAnsi="Arial"/>
          <w:sz w:val="16"/>
          <w:szCs w:val="16"/>
          <w:color w:val="auto"/>
        </w:rPr>
        <w:t>Notwithstanding the foregoing, the maximum amount of Indebtedness that may be incurred pursuant to this covenant shall not be deemed to be exceeded with respect to any outstanding Indebtedness due solely to the result of fluctuations in the exchange rates of currencies.</w:t>
      </w:r>
    </w:p>
    <w:p>
      <w:pPr>
        <w:spacing w:after="0" w:line="124"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 xml:space="preserve">For purposes of determining compliance with any U.S. dollar denominated restriction on the incurrence of Indebtedness where the Indebtedness incurred is denominated in a different currency, the amount of such Indebtedness will be the U.S. Dollar Equivalent determined on the date of the incurrence of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Indebtedness denominated in a different currency is subject to a Currency Protection Agreement with respect to U.S. dollars covering all principal, premium, if any, and interest payable on such Indebtedness, the amount of such Indebtedness expressed in U.S. dollars will be as provided in such Currency Protection Agreement. The principal amount of any Permitted Refinancing Indebtedness incurred in the same currency as the Indebtedness being refinanced will be the U.S. Dollar Equivalent of the Indebtedness refinanced, except to the extent that (1) such U.S. Dollar Equivalent was determined based on a Currency Protection Agreement, in which case the Permitted Refinancing Indebtedness will be determined in accordance with the preceding sentence, and (2) the principal amount of the Permitted Refinancing Indebtedness exceeds the principal amount of the Indebtedness being refinanced, in which case the U.S. Dollar Equivalent of such excess, as appropriate, will be determined on the date such Permitted Refinancing Debt is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Layering Indebtedness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will not, and will not permit any Restricted Subsidiary to, directly or indirectly, incur any Indebtedness that is or purports to be by its terms (or by the terms of any agreement governing such Indebtedness) subordinated in right of payment to any other Indebtedness of the Company or of such Restricted Subsidiary, as the case may be, unless such Indebtedness is also by its terms (or by the terms of any agreement governing such Indebtedness) made expressly subordinated in the right of payment to the Notes or the Subsidiary Guarantee of such Restricted Subsidiary, to the same extent and in the same manner as such Indebtedness is subordinated in right of payment to such other Indebtedness of the Company or such Restricted Subsidiary, as the case may be.</w:t>
      </w:r>
    </w:p>
    <w:p>
      <w:pPr>
        <w:spacing w:after="0" w:line="20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purposes of the foregoing, no Indebtedness will be deemed to be subordinated in right of payment to any other Indebtedness of the Company or any Restricted Subsidiary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in each case, Permitted Liens, unless the Notes and the Guarantees, as applicable, are</w:t>
      </w:r>
    </w:p>
    <w:p>
      <w:pPr>
        <w:spacing w:after="0" w:line="187" w:lineRule="exact"/>
        <w:rPr>
          <w:sz w:val="20"/>
          <w:szCs w:val="20"/>
          <w:color w:val="auto"/>
        </w:rPr>
      </w:pPr>
    </w:p>
    <w:p>
      <w:pPr>
        <w:ind w:left="760" w:right="80" w:firstLine="761"/>
        <w:spacing w:after="0" w:line="264" w:lineRule="auto"/>
        <w:tabs>
          <w:tab w:leader="none" w:pos="17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or a Subsidiary Guarantee, effective provision is made to secure the Notes or such Subsidiary Guarantee, as the case may be, at least equally and ratably with or prior to such obligation with a Lien on the same assets of the Company or such Restricted Subsidiary, as the case may be; and</w:t>
      </w:r>
    </w:p>
    <w:p>
      <w:pPr>
        <w:spacing w:after="0" w:line="181"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any Lien securing an obligation that is subordinated in right of payment to the Notes or a Subsidiary Guarantee, effective provision is made to secure the Notes or such Subsidiary Guarantee, as the case may be, with a Lien on the same assets of the Company or such Restricted Subsidiary, as the case may be, that is prior to the Lien securing such subordinated obligation, in each case, for so long as such Obligation is secured by such Lien.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170" w:lineRule="exact"/>
        <w:rPr>
          <w:sz w:val="20"/>
          <w:szCs w:val="20"/>
          <w:color w:val="auto"/>
        </w:rPr>
      </w:pPr>
    </w:p>
    <w:p>
      <w:pPr>
        <w:ind w:left="760" w:right="120" w:firstLine="761"/>
        <w:spacing w:after="0" w:line="264" w:lineRule="auto"/>
        <w:tabs>
          <w:tab w:leader="none" w:pos="17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the Company’s Restricted Subsidiaries.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25" w:lineRule="exact"/>
        <w:rPr>
          <w:sz w:val="20"/>
          <w:szCs w:val="20"/>
          <w:color w:val="auto"/>
        </w:rPr>
      </w:pPr>
    </w:p>
    <w:p>
      <w:pPr>
        <w:ind w:left="760" w:right="40" w:firstLine="761"/>
        <w:spacing w:after="0" w:line="297" w:lineRule="auto"/>
        <w:tabs>
          <w:tab w:leader="none" w:pos="1771"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Existing Indebtedness, the 2023 Notes, the 2023 Notes Indenture and the Credit Agreement as in effect on the date of the Indenture and any amendments, modifications, restatements, renewals, increases, supplements, refundings, replacements or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Existing Indebtedness, the 2023 Notes, the 2023 Notes Indenture or the Credit Agreement, as in effect on the date of the Indenture;</w:t>
      </w:r>
    </w:p>
    <w:p>
      <w:pPr>
        <w:spacing w:after="0" w:line="158" w:lineRule="exact"/>
        <w:rPr>
          <w:rFonts w:ascii="Arial" w:cs="Arial" w:eastAsia="Arial" w:hAnsi="Arial"/>
          <w:sz w:val="16"/>
          <w:szCs w:val="16"/>
          <w:color w:val="auto"/>
        </w:rPr>
      </w:pPr>
    </w:p>
    <w:p>
      <w:pPr>
        <w:ind w:left="1780" w:hanging="259"/>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Indenture, the Notes and the Guarantees;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applicable law, rule, regulation, order, license, permit or similar restriction;</w:t>
      </w:r>
    </w:p>
    <w:p>
      <w:pPr>
        <w:spacing w:after="0" w:line="225" w:lineRule="exact"/>
        <w:rPr>
          <w:rFonts w:ascii="Arial" w:cs="Arial" w:eastAsia="Arial" w:hAnsi="Arial"/>
          <w:sz w:val="18"/>
          <w:szCs w:val="18"/>
          <w:color w:val="auto"/>
        </w:rPr>
      </w:pPr>
    </w:p>
    <w:p>
      <w:pPr>
        <w:ind w:left="760" w:right="140" w:firstLine="761"/>
        <w:spacing w:after="0" w:line="25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the Company (including by way of merger)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188" w:lineRule="exact"/>
        <w:rPr>
          <w:rFonts w:ascii="Arial" w:cs="Arial" w:eastAsia="Arial" w:hAnsi="Arial"/>
          <w:sz w:val="18"/>
          <w:szCs w:val="18"/>
          <w:color w:val="auto"/>
        </w:rPr>
      </w:pPr>
    </w:p>
    <w:p>
      <w:pPr>
        <w:ind w:left="760" w:right="560" w:firstLine="761"/>
        <w:spacing w:after="0" w:line="27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customary non-assignment provisions in leases, licenses, contracts and other agreements entered into in the ordinary course of business and consistent with past practices;</w:t>
      </w:r>
    </w:p>
    <w:p>
      <w:pPr>
        <w:spacing w:after="0" w:line="170" w:lineRule="exact"/>
        <w:rPr>
          <w:rFonts w:ascii="Arial" w:cs="Arial" w:eastAsia="Arial" w:hAnsi="Arial"/>
          <w:sz w:val="18"/>
          <w:szCs w:val="18"/>
          <w:color w:val="auto"/>
        </w:rPr>
      </w:pPr>
    </w:p>
    <w:p>
      <w:pPr>
        <w:ind w:left="760" w:right="500" w:firstLine="761"/>
        <w:spacing w:after="0" w:line="27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that impose restrictions on the property so acquired of the nature described in clause (3) of the preceding paragraph;</w:t>
      </w:r>
    </w:p>
    <w:p>
      <w:pPr>
        <w:spacing w:after="0" w:line="170" w:lineRule="exact"/>
        <w:rPr>
          <w:rFonts w:ascii="Arial" w:cs="Arial" w:eastAsia="Arial" w:hAnsi="Arial"/>
          <w:sz w:val="18"/>
          <w:szCs w:val="18"/>
          <w:color w:val="auto"/>
        </w:rPr>
      </w:pPr>
    </w:p>
    <w:p>
      <w:pPr>
        <w:ind w:left="760" w:right="320" w:firstLine="761"/>
        <w:spacing w:after="0" w:line="277"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such Restricted Subsidiary pending its sale or other disposition;</w:t>
      </w:r>
    </w:p>
    <w:p>
      <w:pPr>
        <w:spacing w:after="0" w:line="170" w:lineRule="exact"/>
        <w:rPr>
          <w:rFonts w:ascii="Arial" w:cs="Arial" w:eastAsia="Arial" w:hAnsi="Arial"/>
          <w:sz w:val="18"/>
          <w:szCs w:val="18"/>
          <w:color w:val="auto"/>
        </w:rPr>
      </w:pPr>
    </w:p>
    <w:p>
      <w:pPr>
        <w:ind w:left="760" w:firstLine="761"/>
        <w:spacing w:after="0" w:line="264"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181" w:lineRule="exact"/>
        <w:rPr>
          <w:rFonts w:ascii="Arial" w:cs="Arial" w:eastAsia="Arial" w:hAnsi="Arial"/>
          <w:sz w:val="18"/>
          <w:szCs w:val="18"/>
          <w:color w:val="auto"/>
        </w:rPr>
      </w:pPr>
    </w:p>
    <w:p>
      <w:pPr>
        <w:jc w:val="both"/>
        <w:ind w:left="760" w:right="240" w:firstLine="761"/>
        <w:spacing w:after="0" w:line="264" w:lineRule="auto"/>
        <w:tabs>
          <w:tab w:leader="none" w:pos="17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agreement creating a Lien securing Indebtedness otherwise permitted to be incurred pursuant to the provisions of the covenant described above under the caption “-Liens,” to the extent limiting the right of the Company or any of its Restricted Subsidiaries to dispose of the assets subject to such Lien;</w:t>
      </w:r>
    </w:p>
    <w:p>
      <w:pPr>
        <w:spacing w:after="0" w:line="181" w:lineRule="exact"/>
        <w:rPr>
          <w:rFonts w:ascii="Arial" w:cs="Arial" w:eastAsia="Arial" w:hAnsi="Arial"/>
          <w:sz w:val="18"/>
          <w:szCs w:val="18"/>
          <w:color w:val="auto"/>
        </w:rPr>
      </w:pPr>
    </w:p>
    <w:p>
      <w:pPr>
        <w:ind w:left="760" w:right="740" w:firstLine="761"/>
        <w:spacing w:after="0" w:line="277" w:lineRule="auto"/>
        <w:tabs>
          <w:tab w:leader="none" w:pos="18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and other similar agreements entered into in the ordinary course of business;</w:t>
      </w:r>
    </w:p>
    <w:p>
      <w:pPr>
        <w:spacing w:after="0" w:line="170" w:lineRule="exact"/>
        <w:rPr>
          <w:rFonts w:ascii="Arial" w:cs="Arial" w:eastAsia="Arial" w:hAnsi="Arial"/>
          <w:sz w:val="18"/>
          <w:szCs w:val="18"/>
          <w:color w:val="auto"/>
        </w:rPr>
      </w:pPr>
    </w:p>
    <w:p>
      <w:pPr>
        <w:jc w:val="both"/>
        <w:ind w:left="760" w:right="120" w:firstLine="761"/>
        <w:spacing w:after="0" w:line="279" w:lineRule="auto"/>
        <w:tabs>
          <w:tab w:leader="none" w:pos="1854" w:val="left"/>
        </w:tabs>
        <w:numPr>
          <w:ilvl w:val="0"/>
          <w:numId w:val="54"/>
        </w:numPr>
        <w:rPr>
          <w:rFonts w:ascii="Arial" w:cs="Arial" w:eastAsia="Arial" w:hAnsi="Arial"/>
          <w:sz w:val="17"/>
          <w:szCs w:val="17"/>
          <w:color w:val="auto"/>
        </w:rPr>
      </w:pPr>
      <w:r>
        <w:rPr>
          <w:rFonts w:ascii="Arial" w:cs="Arial" w:eastAsia="Arial" w:hAnsi="Arial"/>
          <w:sz w:val="17"/>
          <w:szCs w:val="17"/>
          <w:color w:val="auto"/>
        </w:rPr>
        <w:t>customary provisions applicable to Foreign Subsidiaries and other Non-Guarantors under terms of Indebtedness applicable thereto, in each case permitted to be incurred under the Indenture and in “support agreements” and Guarantees of any such Indebtedness, so long as, in the case of Non-Guarantors that are Domestic Restricted Subsidiaries, the Company determines in good faith that such restrictions or encumbrances will not adversely affect the Company’s ability to make payments of principal or interest on the Notes;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60" w:name="page61"/>
    <w:bookmarkEnd w:id="60"/>
    <w:p>
      <w:pPr>
        <w:ind w:left="1520"/>
        <w:spacing w:after="0"/>
        <w:rPr>
          <w:sz w:val="20"/>
          <w:szCs w:val="20"/>
          <w:color w:val="auto"/>
        </w:rPr>
      </w:pPr>
      <w:r>
        <w:rPr>
          <w:rFonts w:ascii="Arial" w:cs="Arial" w:eastAsia="Arial" w:hAnsi="Arial"/>
          <w:sz w:val="17"/>
          <w:szCs w:val="17"/>
          <w:color w:val="auto"/>
        </w:rPr>
        <w:t>(12) restrictions on cash or other deposits or net worth imposed by customers under contracts entered into in the ordinary course of</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1860" w:hanging="339"/>
        <w:spacing w:after="0"/>
        <w:tabs>
          <w:tab w:leader="none" w:pos="1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customary restrictions under Receivables Financings permitted to be incurred under the Indenture;</w:t>
      </w:r>
    </w:p>
    <w:p>
      <w:pPr>
        <w:spacing w:after="0" w:line="225" w:lineRule="exact"/>
        <w:rPr>
          <w:rFonts w:ascii="Arial" w:cs="Arial" w:eastAsia="Arial" w:hAnsi="Arial"/>
          <w:sz w:val="18"/>
          <w:szCs w:val="18"/>
          <w:color w:val="auto"/>
        </w:rPr>
      </w:pPr>
    </w:p>
    <w:p>
      <w:pPr>
        <w:ind w:left="760" w:right="300" w:firstLine="761"/>
        <w:spacing w:after="0" w:line="277" w:lineRule="auto"/>
        <w:tabs>
          <w:tab w:leader="none" w:pos="18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operating lease or Capital Lease Obligation, insofar as the provisions thereof limit the grant of a security interest in, or other assignment of, the related leasehold interest to any other Person; and</w:t>
      </w:r>
    </w:p>
    <w:p>
      <w:pPr>
        <w:spacing w:after="0" w:line="183" w:lineRule="exact"/>
        <w:rPr>
          <w:rFonts w:ascii="Arial" w:cs="Arial" w:eastAsia="Arial" w:hAnsi="Arial"/>
          <w:sz w:val="18"/>
          <w:szCs w:val="18"/>
          <w:color w:val="auto"/>
        </w:rPr>
      </w:pPr>
    </w:p>
    <w:p>
      <w:pPr>
        <w:ind w:left="760" w:right="200" w:firstLine="761"/>
        <w:spacing w:after="0" w:line="342" w:lineRule="auto"/>
        <w:tabs>
          <w:tab w:leader="none" w:pos="186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other agreement governing Indebtedness entered into after the Issue Date that contains encumbrances and restrictions that are not materially more restrictive, taken as a whole, than those in effect on the Issue Date pursuant to agreements in effect on the Issue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100" w:firstLine="413"/>
        <w:spacing w:after="0" w:line="259"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will not, directly or indirectly,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186" w:lineRule="exact"/>
        <w:rPr>
          <w:rFonts w:ascii="Arial" w:cs="Arial" w:eastAsia="Arial" w:hAnsi="Arial"/>
          <w:sz w:val="18"/>
          <w:szCs w:val="18"/>
          <w:color w:val="auto"/>
        </w:rPr>
      </w:pPr>
    </w:p>
    <w:p>
      <w:pPr>
        <w:ind w:left="1740" w:hanging="219"/>
        <w:spacing w:after="0"/>
        <w:tabs>
          <w:tab w:leader="none" w:pos="1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60" w:hanging="262"/>
        <w:spacing w:after="0"/>
        <w:tabs>
          <w:tab w:leader="none" w:pos="2660" w:val="left"/>
        </w:tabs>
        <w:numPr>
          <w:ilvl w:val="3"/>
          <w:numId w:val="56"/>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225" w:lineRule="exact"/>
        <w:rPr>
          <w:rFonts w:ascii="Arial" w:cs="Arial" w:eastAsia="Arial" w:hAnsi="Arial"/>
          <w:sz w:val="18"/>
          <w:szCs w:val="18"/>
          <w:color w:val="auto"/>
        </w:rPr>
      </w:pPr>
    </w:p>
    <w:p>
      <w:pPr>
        <w:ind w:left="1660" w:right="200" w:firstLine="765"/>
        <w:spacing w:after="0" w:line="286" w:lineRule="auto"/>
        <w:tabs>
          <w:tab w:leader="none" w:pos="2685" w:val="left"/>
        </w:tabs>
        <w:numPr>
          <w:ilvl w:val="4"/>
          <w:numId w:val="56"/>
        </w:numPr>
        <w:rPr>
          <w:rFonts w:ascii="Arial" w:cs="Arial" w:eastAsia="Arial" w:hAnsi="Arial"/>
          <w:sz w:val="17"/>
          <w:szCs w:val="17"/>
          <w:color w:val="auto"/>
        </w:rPr>
      </w:pPr>
      <w:r>
        <w:rPr>
          <w:rFonts w:ascii="Arial" w:cs="Arial" w:eastAsia="Arial" w:hAnsi="Arial"/>
          <w:sz w:val="17"/>
          <w:szCs w:val="17"/>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as an entirety or substantially as an entirety (the “</w:t>
      </w:r>
      <w:r>
        <w:rPr>
          <w:rFonts w:ascii="Arial" w:cs="Arial" w:eastAsia="Arial" w:hAnsi="Arial"/>
          <w:sz w:val="17"/>
          <w:szCs w:val="17"/>
          <w:i w:val="1"/>
          <w:iCs w:val="1"/>
          <w:color w:val="auto"/>
        </w:rPr>
        <w:t>Surviving Entity</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520" w:right="20" w:firstLine="756"/>
        <w:spacing w:after="0" w:line="277" w:lineRule="auto"/>
        <w:tabs>
          <w:tab w:leader="none" w:pos="3531" w:val="left"/>
        </w:tabs>
        <w:numPr>
          <w:ilvl w:val="5"/>
          <w:numId w:val="56"/>
        </w:numPr>
        <w:rPr>
          <w:rFonts w:ascii="Arial" w:cs="Arial" w:eastAsia="Arial" w:hAnsi="Arial"/>
          <w:sz w:val="18"/>
          <w:szCs w:val="18"/>
          <w:color w:val="auto"/>
        </w:rPr>
      </w:pPr>
      <w:r>
        <w:rPr>
          <w:rFonts w:ascii="Arial" w:cs="Arial" w:eastAsia="Arial" w:hAnsi="Arial"/>
          <w:sz w:val="18"/>
          <w:szCs w:val="18"/>
          <w:color w:val="auto"/>
        </w:rPr>
        <w:t>shall be a corporation organized and validly existing under the laws of the United States, any State thereof or the District of Columbia; and</w:t>
      </w:r>
    </w:p>
    <w:p>
      <w:pPr>
        <w:spacing w:after="0" w:line="170" w:lineRule="exact"/>
        <w:rPr>
          <w:rFonts w:ascii="Arial" w:cs="Arial" w:eastAsia="Arial" w:hAnsi="Arial"/>
          <w:sz w:val="18"/>
          <w:szCs w:val="18"/>
          <w:color w:val="auto"/>
        </w:rPr>
      </w:pPr>
    </w:p>
    <w:p>
      <w:pPr>
        <w:ind w:left="2520" w:right="80" w:firstLine="756"/>
        <w:spacing w:after="0" w:line="279" w:lineRule="auto"/>
        <w:tabs>
          <w:tab w:leader="none" w:pos="3531" w:val="left"/>
        </w:tabs>
        <w:numPr>
          <w:ilvl w:val="5"/>
          <w:numId w:val="56"/>
        </w:numPr>
        <w:rPr>
          <w:rFonts w:ascii="Arial" w:cs="Arial" w:eastAsia="Arial" w:hAnsi="Arial"/>
          <w:sz w:val="17"/>
          <w:szCs w:val="17"/>
          <w:color w:val="auto"/>
        </w:rPr>
      </w:pPr>
      <w:r>
        <w:rPr>
          <w:rFonts w:ascii="Arial" w:cs="Arial" w:eastAsia="Arial" w:hAnsi="Arial"/>
          <w:sz w:val="17"/>
          <w:szCs w:val="17"/>
          <w:color w:val="auto"/>
        </w:rPr>
        <w:t>shall expressly assume, by supplemental indenture (in form and substance reasonably satisfactory to the Trustee), executed and delivered to the Trustee, the due and punctual payment of the principal of and premium, if any, and interest on all of the Notes and the performance of every covenant of the Notes, the Indenture and the Registration Rights Agreement on the part of the Company to be performed or observed;</w:t>
      </w:r>
    </w:p>
    <w:p>
      <w:pPr>
        <w:spacing w:after="0" w:line="171" w:lineRule="exact"/>
        <w:rPr>
          <w:rFonts w:ascii="Arial" w:cs="Arial" w:eastAsia="Arial" w:hAnsi="Arial"/>
          <w:sz w:val="17"/>
          <w:szCs w:val="17"/>
          <w:color w:val="auto"/>
        </w:rPr>
      </w:pPr>
    </w:p>
    <w:p>
      <w:pPr>
        <w:ind w:left="1800" w:hanging="266"/>
        <w:spacing w:after="0"/>
        <w:tabs>
          <w:tab w:leader="none" w:pos="1800" w:val="left"/>
        </w:tabs>
        <w:numPr>
          <w:ilvl w:val="2"/>
          <w:numId w:val="56"/>
        </w:numPr>
        <w:rPr>
          <w:rFonts w:ascii="Arial" w:cs="Arial" w:eastAsia="Arial" w:hAnsi="Arial"/>
          <w:sz w:val="16"/>
          <w:szCs w:val="16"/>
          <w:color w:val="auto"/>
        </w:rPr>
      </w:pPr>
      <w:r>
        <w:rPr>
          <w:rFonts w:ascii="Arial" w:cs="Arial" w:eastAsia="Arial" w:hAnsi="Arial"/>
          <w:sz w:val="16"/>
          <w:szCs w:val="16"/>
          <w:color w:val="auto"/>
        </w:rPr>
        <w:t>immediately after giving pro forma effect to such transaction or series of transactions and the assumption contemplated by clause (i)</w:t>
      </w:r>
    </w:p>
    <w:p>
      <w:pPr>
        <w:spacing w:after="0" w:line="46" w:lineRule="exact"/>
        <w:rPr>
          <w:rFonts w:ascii="Arial" w:cs="Arial" w:eastAsia="Arial" w:hAnsi="Arial"/>
          <w:sz w:val="16"/>
          <w:szCs w:val="16"/>
          <w:color w:val="auto"/>
        </w:rPr>
      </w:pPr>
    </w:p>
    <w:p>
      <w:pPr>
        <w:ind w:left="7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(2)(y) above (including giving effect to any Indebtedness and Acquired Debt, in each case, incurred or anticipated to be incurred in connection with or in respect of such transaction), the Company or such Surviving Entity, as the case may be, shall be able to incur at least $1.00 of additional Indebtedness (other than Permitted Debt) pursuant to the covenant described under “-Incurrence of Indebtedness and Issuance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clause (ii) shall not apply during any Suspension Period;</w:t>
      </w:r>
    </w:p>
    <w:p>
      <w:pPr>
        <w:spacing w:after="0" w:line="190" w:lineRule="exact"/>
        <w:rPr>
          <w:sz w:val="20"/>
          <w:szCs w:val="20"/>
          <w:color w:val="auto"/>
        </w:rPr>
      </w:pPr>
    </w:p>
    <w:p>
      <w:pPr>
        <w:ind w:left="760" w:right="120" w:firstLine="761"/>
        <w:spacing w:after="0" w:line="312" w:lineRule="auto"/>
        <w:tabs>
          <w:tab w:leader="none" w:pos="1831" w:val="left"/>
        </w:tabs>
        <w:numPr>
          <w:ilvl w:val="0"/>
          <w:numId w:val="5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and the assumption contemplated by clause (i)(2)(y)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146" w:lineRule="exact"/>
        <w:rPr>
          <w:rFonts w:ascii="Arial" w:cs="Arial" w:eastAsia="Arial" w:hAnsi="Arial"/>
          <w:sz w:val="16"/>
          <w:szCs w:val="16"/>
          <w:color w:val="auto"/>
        </w:rPr>
      </w:pPr>
    </w:p>
    <w:p>
      <w:pPr>
        <w:ind w:left="760" w:right="40" w:firstLine="761"/>
        <w:spacing w:after="0" w:line="279" w:lineRule="auto"/>
        <w:tabs>
          <w:tab w:leader="none" w:pos="182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or such Surviving Entity, as the case may be,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complies with the applicable provisions of the Indenture and that all conditions precedent in the Indenture relating to such transaction have been satisfied.</w:t>
      </w:r>
    </w:p>
    <w:p>
      <w:pPr>
        <w:spacing w:after="0" w:line="18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Notwithstanding the foregoing, the merger of the Company with an Affiliate incorporated solely for the purpose of reincorporating the Company in another jurisdiction shall be permitted without regard to clause (ii) of the immediately preceding paragraph. For purposes of the foregoing, the transfer (by lease, assignment, sale or otherwise, in a single transaction or series of transactions) of all or substantially all of the properties or assets of one or more Restricted Subsidiaries of the Company the Capital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68" w:right="259" w:bottom="1440" w:gutter="0" w:footer="0" w:header="0"/>
        </w:sectPr>
      </w:pPr>
    </w:p>
    <w:bookmarkStart w:id="61" w:name="page62"/>
    <w:bookmarkEnd w:id="61"/>
    <w:p>
      <w:pPr>
        <w:ind w:right="220"/>
        <w:spacing w:after="0" w:line="277" w:lineRule="auto"/>
        <w:rPr>
          <w:sz w:val="20"/>
          <w:szCs w:val="20"/>
          <w:color w:val="auto"/>
        </w:rPr>
      </w:pPr>
      <w:r>
        <w:rPr>
          <w:rFonts w:ascii="Arial" w:cs="Arial" w:eastAsia="Arial" w:hAnsi="Arial"/>
          <w:sz w:val="18"/>
          <w:szCs w:val="18"/>
          <w:color w:val="auto"/>
        </w:rPr>
        <w:t>Stock of which constitutes all or substantially all of the properties and assets of the Company, shall be deemed to be the transfer of all or substantially all of the properties and assets of the Company.</w:t>
      </w:r>
    </w:p>
    <w:p>
      <w:pPr>
        <w:spacing w:after="0" w:line="1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The Indenture provides that upon any consolidation or merger of the Company or any sale, assignment, transfer, lease, conveyance or other disposition of all or substantially all of the assets of the Company in accordance with the foregoing in which the Company is not the continuing corporation, the successor Person formed by such consolidation or into which the Company is merged or to which such sale, assignment, transfer, lease, conveyance or other disposition is made shall succeed to, and be substituted for, and may exercise every right and power of, the Company under the Indenture, the Notes and the Registration Rights Agreement with the same effect as if such Surviving Entity had been named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the Indenture, the Notes or the Registration Rights Agreement in the case of a lease.</w:t>
      </w:r>
    </w:p>
    <w:p>
      <w:pPr>
        <w:spacing w:after="0" w:line="165" w:lineRule="exact"/>
        <w:rPr>
          <w:sz w:val="20"/>
          <w:szCs w:val="20"/>
          <w:color w:val="auto"/>
        </w:rPr>
      </w:pPr>
    </w:p>
    <w:p>
      <w:pPr>
        <w:ind w:right="40" w:firstLine="413"/>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170" w:lineRule="exact"/>
        <w:rPr>
          <w:rFonts w:ascii="Arial" w:cs="Arial" w:eastAsia="Arial" w:hAnsi="Arial"/>
          <w:sz w:val="18"/>
          <w:szCs w:val="18"/>
          <w:color w:val="auto"/>
        </w:rPr>
      </w:pPr>
    </w:p>
    <w:p>
      <w:pPr>
        <w:ind w:left="760" w:right="40" w:firstLine="761"/>
        <w:spacing w:after="0" w:line="286" w:lineRule="auto"/>
        <w:tabs>
          <w:tab w:leader="none" w:pos="1731"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165" w:lineRule="exact"/>
        <w:rPr>
          <w:rFonts w:ascii="Arial" w:cs="Arial" w:eastAsia="Arial" w:hAnsi="Arial"/>
          <w:sz w:val="17"/>
          <w:szCs w:val="17"/>
          <w:color w:val="auto"/>
        </w:rPr>
      </w:pPr>
    </w:p>
    <w:p>
      <w:pPr>
        <w:ind w:left="1780" w:hanging="259"/>
        <w:spacing w:after="0"/>
        <w:tabs>
          <w:tab w:leader="none" w:pos="1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on its Guarantee; and</w:t>
      </w:r>
    </w:p>
    <w:p>
      <w:pPr>
        <w:spacing w:after="0" w:line="225" w:lineRule="exact"/>
        <w:rPr>
          <w:rFonts w:ascii="Arial" w:cs="Arial" w:eastAsia="Arial" w:hAnsi="Arial"/>
          <w:sz w:val="18"/>
          <w:szCs w:val="18"/>
          <w:color w:val="auto"/>
        </w:rPr>
      </w:pPr>
    </w:p>
    <w:p>
      <w:pPr>
        <w:ind w:left="1840" w:hanging="319"/>
        <w:spacing w:after="0"/>
        <w:tabs>
          <w:tab w:leader="none" w:pos="18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225"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Notwithstanding the foregoing, the requirements of the immediately preceding paragraph will not apply to any transaction pursuant to which such Guarantor is permitted to be released from its Subsidiary Guarantee in accordance with the provisions described under the last paragraph of “Brief Description of Notes and the Guarantees-The Subsidiary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consideration in excess of $25.0 million, unless:</w:t>
      </w:r>
    </w:p>
    <w:p>
      <w:pPr>
        <w:spacing w:after="0" w:line="187" w:lineRule="exact"/>
        <w:rPr>
          <w:sz w:val="20"/>
          <w:szCs w:val="20"/>
          <w:color w:val="auto"/>
        </w:rPr>
      </w:pPr>
    </w:p>
    <w:p>
      <w:pPr>
        <w:ind w:left="760" w:right="120" w:firstLine="774"/>
        <w:spacing w:after="0" w:line="342" w:lineRule="auto"/>
        <w:tabs>
          <w:tab w:leader="none" w:pos="1785"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 less favorable to the Company or the relevant Restricted Subsidiary than those that would have been obtained in a comparable transaction at such time by the Company or such Restricted Subsidiary with an unrelated Person; and</w:t>
      </w:r>
    </w:p>
    <w:p>
      <w:pPr>
        <w:spacing w:after="0" w:line="137" w:lineRule="exact"/>
        <w:rPr>
          <w:rFonts w:ascii="Arial" w:cs="Arial" w:eastAsia="Arial" w:hAnsi="Arial"/>
          <w:sz w:val="16"/>
          <w:szCs w:val="16"/>
          <w:color w:val="auto"/>
        </w:rPr>
      </w:pPr>
    </w:p>
    <w:p>
      <w:pPr>
        <w:ind w:left="1780" w:hanging="259"/>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225" w:lineRule="exact"/>
        <w:rPr>
          <w:rFonts w:ascii="Arial" w:cs="Arial" w:eastAsia="Arial" w:hAnsi="Arial"/>
          <w:sz w:val="18"/>
          <w:szCs w:val="18"/>
          <w:color w:val="auto"/>
        </w:rPr>
      </w:pPr>
    </w:p>
    <w:p>
      <w:pPr>
        <w:ind w:left="1640" w:right="200" w:firstLine="758"/>
        <w:spacing w:after="0" w:line="259" w:lineRule="auto"/>
        <w:tabs>
          <w:tab w:leader="none" w:pos="2641" w:val="left"/>
        </w:tabs>
        <w:numPr>
          <w:ilvl w:val="2"/>
          <w:numId w:val="60"/>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186" w:lineRule="exact"/>
        <w:rPr>
          <w:rFonts w:ascii="Arial" w:cs="Arial" w:eastAsia="Arial" w:hAnsi="Arial"/>
          <w:sz w:val="18"/>
          <w:szCs w:val="18"/>
          <w:color w:val="auto"/>
        </w:rPr>
      </w:pPr>
    </w:p>
    <w:p>
      <w:pPr>
        <w:ind w:left="1640" w:right="40" w:firstLine="758"/>
        <w:spacing w:after="0" w:line="264" w:lineRule="auto"/>
        <w:tabs>
          <w:tab w:leader="none" w:pos="2651" w:val="left"/>
        </w:tabs>
        <w:numPr>
          <w:ilvl w:val="2"/>
          <w:numId w:val="60"/>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opinion as to the fairness to the Holders of such Affiliate Transaction from a financial point of view issued by an accounting, appraisal or investment banking firm of national standing.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items shall not be deemed to be Affiliate Transactions and, therefore, will not be subject to the provisions of the prior paragraph:</w:t>
      </w:r>
    </w:p>
    <w:p>
      <w:pPr>
        <w:spacing w:after="0" w:line="237" w:lineRule="exact"/>
        <w:rPr>
          <w:sz w:val="20"/>
          <w:szCs w:val="20"/>
          <w:color w:val="auto"/>
        </w:rPr>
      </w:pPr>
    </w:p>
    <w:p>
      <w:pPr>
        <w:ind w:left="1780" w:hanging="259"/>
        <w:spacing w:after="0"/>
        <w:tabs>
          <w:tab w:leader="none" w:pos="1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transactions between or among the Company and/or its Restricted Subsidiaries and transactions between or among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780" w:hanging="259"/>
        <w:spacing w:after="0"/>
        <w:tabs>
          <w:tab w:leader="none" w:pos="1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Restricted Investments that are permitted by the provisions of the Indenture described above under the caption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Investments”;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62" w:name="page63"/>
    <w:bookmarkEnd w:id="62"/>
    <w:p>
      <w:pPr>
        <w:ind w:left="1780" w:hanging="259"/>
        <w:spacing w:after="0"/>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customary transactions in connection with a Receivables Financing or an industrial revenue bond financing;</w:t>
      </w:r>
    </w:p>
    <w:p>
      <w:pPr>
        <w:spacing w:after="0" w:line="225" w:lineRule="exact"/>
        <w:rPr>
          <w:rFonts w:ascii="Arial" w:cs="Arial" w:eastAsia="Arial" w:hAnsi="Arial"/>
          <w:sz w:val="18"/>
          <w:szCs w:val="18"/>
          <w:color w:val="auto"/>
        </w:rPr>
      </w:pPr>
    </w:p>
    <w:p>
      <w:pPr>
        <w:ind w:left="760" w:right="600" w:firstLine="761"/>
        <w:spacing w:after="0" w:line="259" w:lineRule="auto"/>
        <w:tabs>
          <w:tab w:leader="none" w:pos="17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reasonable fees and compensation paid to (including issuances and grants of Equity Interests of the Company, employment agreements and stock option and ownership plans for the benefit of), and indemnity and insurance provided on behalf of, officers, directors, employees or consultants of the Company or any Restricted Subsidiary in the ordinary course of business as approved in good faith by the Company’s Board of Directors or senior management;</w:t>
      </w:r>
    </w:p>
    <w:p>
      <w:pPr>
        <w:spacing w:after="0" w:line="186"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(x) any agreement in effect on the Issue Date and disclosed in this prospectus (including by incorporation by reference), as in effect on the Issue Date or as thereafter amended or replaced in any manner, that, taken as a whole, is not more disadvantageous to the Holders or the Company in any material respect than such agreement as it was in effect on the Issue Date or (y) any transaction pursuant to any agreement referred to in the immediately preceding clause (x); or</w:t>
      </w:r>
    </w:p>
    <w:p>
      <w:pPr>
        <w:spacing w:after="0" w:line="186" w:lineRule="exact"/>
        <w:rPr>
          <w:rFonts w:ascii="Arial" w:cs="Arial" w:eastAsia="Arial" w:hAnsi="Arial"/>
          <w:sz w:val="18"/>
          <w:szCs w:val="18"/>
          <w:color w:val="auto"/>
        </w:rPr>
      </w:pPr>
    </w:p>
    <w:p>
      <w:pPr>
        <w:ind w:left="760" w:right="140" w:firstLine="761"/>
        <w:spacing w:after="0" w:line="277" w:lineRule="auto"/>
        <w:tabs>
          <w:tab w:leader="none" w:pos="17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loans or advances to employees and officers of the Company and its Restricted Subsidiaries permitted by clause (9) of the definition of “Permitted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22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If, after the date of the Indenture, (a) any Domestic Restricted Subsidiary of the Company (including any newly formed, newly acquired or newly redesignated Domestic Restricted Subsidiary) (x) guarantees any revolving loans, term loans or capital markets Indebtedness of the Company or a Guarantor or (y) otherwise incurs any revolving loans, term loans or capital markets Indebtedness, in the case of either (x) or (y) above in an aggregate principal amount in excess of $50.0 million, (b) any Domestic Restricted Subsidiary of the Company (including any newly formed, newly acquired or newly redesignated Restricted Subsidiary) becomes a borrower or guarantor under any revolving loans, term loans or capital markets Indebtedness (including, without limitation, the Credit Agreement and any Credit Facility incurred pursuant to clause (1) of the covenant described under “-Incurrence of Indebtedness and Issuance of Preferred Stock”) or a guarantor under the 2023 Notes or (c) the Company otherwise elects to have any Restricted Subsidiary become a Guarantor, then, in the case of clauses (a) and (b) within 15 Business Days of the event under such clause occurring (so long as such Domestic Restricted Subsidiary was not a Guarantor immediately prior to such event) and in the case of clause (c) at the Company’s election, the Company shall cause such Restricted Subsidiary to:</w:t>
      </w:r>
    </w:p>
    <w:p>
      <w:pPr>
        <w:spacing w:after="0" w:line="167" w:lineRule="exact"/>
        <w:rPr>
          <w:sz w:val="20"/>
          <w:szCs w:val="20"/>
          <w:color w:val="auto"/>
        </w:rPr>
      </w:pPr>
    </w:p>
    <w:p>
      <w:pPr>
        <w:ind w:left="760" w:right="40" w:firstLine="761"/>
        <w:spacing w:after="0" w:line="264" w:lineRule="auto"/>
        <w:tabs>
          <w:tab w:leader="none" w:pos="17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execute and deliver to the Trustee (a) a supplemental indenture in form and substance satisfactory to the Trustee pursuant to which such Restricted Subsidiary shall unconditionally guarantee all of the Company’s obligations under the Notes and the Indenture and (b) a notation of guarantee in respect of its Subsidiary Guarantee; and</w:t>
      </w:r>
    </w:p>
    <w:p>
      <w:pPr>
        <w:spacing w:after="0" w:line="181" w:lineRule="exact"/>
        <w:rPr>
          <w:rFonts w:ascii="Arial" w:cs="Arial" w:eastAsia="Arial" w:hAnsi="Arial"/>
          <w:sz w:val="18"/>
          <w:szCs w:val="18"/>
          <w:color w:val="auto"/>
        </w:rPr>
      </w:pPr>
    </w:p>
    <w:p>
      <w:pPr>
        <w:jc w:val="both"/>
        <w:ind w:left="760" w:right="120" w:firstLine="761"/>
        <w:spacing w:after="0" w:line="264" w:lineRule="auto"/>
        <w:tabs>
          <w:tab w:leader="none" w:pos="1781"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deliver to the Trustee one or more Opinions of Counsel that such supplemental indenture (a) has been duly authorized, executed and delivered by such Restricted Subsidiary and (b) constitutes a valid and legally binding obligation of such Restricted Subsidiary in accordance with its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shall not, and shall not permit any of its Restricted Subsidiaries to, enter into any Sale and Leaseback Transaction unless:</w:t>
      </w:r>
    </w:p>
    <w:p>
      <w:pPr>
        <w:spacing w:after="0" w:line="225" w:lineRule="exact"/>
        <w:rPr>
          <w:sz w:val="20"/>
          <w:szCs w:val="20"/>
          <w:color w:val="auto"/>
        </w:rPr>
      </w:pPr>
    </w:p>
    <w:p>
      <w:pPr>
        <w:ind w:left="1780" w:hanging="259"/>
        <w:spacing w:after="0"/>
        <w:tabs>
          <w:tab w:leader="none" w:pos="1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or such Restricted Subsidiary would be entitled to:</w:t>
      </w:r>
    </w:p>
    <w:p>
      <w:pPr>
        <w:spacing w:after="0" w:line="225" w:lineRule="exact"/>
        <w:rPr>
          <w:rFonts w:ascii="Arial" w:cs="Arial" w:eastAsia="Arial" w:hAnsi="Arial"/>
          <w:sz w:val="18"/>
          <w:szCs w:val="18"/>
          <w:color w:val="auto"/>
        </w:rPr>
      </w:pPr>
    </w:p>
    <w:p>
      <w:pPr>
        <w:ind w:left="1640" w:right="700" w:firstLine="758"/>
        <w:spacing w:after="0" w:line="342" w:lineRule="auto"/>
        <w:tabs>
          <w:tab w:leader="none" w:pos="2641"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incur Indebtedness in an amount equal to the Attributable Indebtedness with respect to such Sale and Leaseback Transaction pursuant to the covenant described under “-Incurrence of Indebtedness and Issuance of Preferred Stock”; and</w:t>
      </w:r>
    </w:p>
    <w:p>
      <w:pPr>
        <w:spacing w:after="0" w:line="123" w:lineRule="exact"/>
        <w:rPr>
          <w:rFonts w:ascii="Arial" w:cs="Arial" w:eastAsia="Arial" w:hAnsi="Arial"/>
          <w:sz w:val="16"/>
          <w:szCs w:val="16"/>
          <w:color w:val="auto"/>
        </w:rPr>
      </w:pPr>
    </w:p>
    <w:p>
      <w:pPr>
        <w:ind w:left="1640" w:right="100" w:firstLine="758"/>
        <w:spacing w:after="0" w:line="277" w:lineRule="auto"/>
        <w:tabs>
          <w:tab w:leader="none" w:pos="2651" w:val="left"/>
        </w:tabs>
        <w:numPr>
          <w:ilvl w:val="1"/>
          <w:numId w:val="64"/>
        </w:numPr>
        <w:rPr>
          <w:rFonts w:ascii="Arial" w:cs="Arial" w:eastAsia="Arial" w:hAnsi="Arial"/>
          <w:sz w:val="18"/>
          <w:szCs w:val="18"/>
          <w:color w:val="auto"/>
        </w:rPr>
      </w:pPr>
      <w:r>
        <w:rPr>
          <w:rFonts w:ascii="Arial" w:cs="Arial" w:eastAsia="Arial" w:hAnsi="Arial"/>
          <w:sz w:val="18"/>
          <w:szCs w:val="18"/>
          <w:color w:val="auto"/>
        </w:rPr>
        <w:t>create a Lien on such property securing such Attributable Indebtedness without also securing the Notes or the applicable Guarantee pursuant to the covenant described under “-Liens”; and</w:t>
      </w:r>
    </w:p>
    <w:p>
      <w:pPr>
        <w:spacing w:after="0" w:line="170" w:lineRule="exact"/>
        <w:rPr>
          <w:rFonts w:ascii="Arial" w:cs="Arial" w:eastAsia="Arial" w:hAnsi="Arial"/>
          <w:sz w:val="18"/>
          <w:szCs w:val="18"/>
          <w:color w:val="auto"/>
        </w:rPr>
      </w:pPr>
    </w:p>
    <w:p>
      <w:pPr>
        <w:ind w:left="760" w:right="400" w:firstLine="761"/>
        <w:spacing w:after="0" w:line="277" w:lineRule="auto"/>
        <w:tabs>
          <w:tab w:leader="none" w:pos="17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Sale and Leaseback Transaction is effected in compliance with the covenant described under “-Repurchase at the Option of Holders-Offer to Repurchase by Application of Excess Proceeds of Asset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that consent, waive or agree to amend in the time frame set forth in the solicitation documents relating to such consent, waiver or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Whether or not required by the SEC, so long as any Notes are outstanding, the Company will furnish to the Holders of Notes, within the time periods specified in the SEC’s rules and regulations for a company subject to reporting under Section 13(a) or 15(d) of the Exchange Act:</w:t>
      </w:r>
    </w:p>
    <w:p>
      <w:pPr>
        <w:spacing w:after="0" w:line="147" w:lineRule="exact"/>
        <w:rPr>
          <w:sz w:val="20"/>
          <w:szCs w:val="20"/>
          <w:color w:val="auto"/>
        </w:rPr>
      </w:pPr>
    </w:p>
    <w:p>
      <w:pPr>
        <w:ind w:left="760" w:right="100" w:firstLine="761"/>
        <w:spacing w:after="0" w:line="259" w:lineRule="auto"/>
        <w:tabs>
          <w:tab w:leader="none" w:pos="17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20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 all current reports that would be required to be filed with the SEC on Form 8-K if the Company were required to file such reports.</w:t>
      </w:r>
    </w:p>
    <w:p>
      <w:pPr>
        <w:spacing w:after="0" w:line="23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6"/>
          <w:szCs w:val="16"/>
          <w:color w:val="auto"/>
        </w:rPr>
        <w:t>In addition, whether or not required by the SEC, the Company will file a copy of all of the information and reports referred to in clauses (1) and (2) above with the SEC for public availability within the time periods specified in the SEC’s rules and regulations for a company subject to reporting under Section l3(a) or 15(d) of the Exchange Act (unless the SEC will not accept such a filing) and make such information available to securities analysts and prospective investors upon request. Notwithstanding the foregoing, to the extent the Company files the information and reports referred to in clauses (1) and</w:t>
      </w:r>
    </w:p>
    <w:p>
      <w:pPr>
        <w:spacing w:after="0" w:line="2" w:lineRule="exact"/>
        <w:rPr>
          <w:sz w:val="20"/>
          <w:szCs w:val="20"/>
          <w:color w:val="auto"/>
        </w:rPr>
      </w:pPr>
    </w:p>
    <w:p>
      <w:pPr>
        <w:ind w:right="200" w:firstLine="8"/>
        <w:spacing w:after="0" w:line="323" w:lineRule="auto"/>
        <w:tabs>
          <w:tab w:leader="none" w:pos="2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above with the SEC and such information is publicly available on the Internet, the Company shall be deemed to be in compliance with its obligations to furnish such information to the Holders of the Notes and to make such information available to securities analysts and prospective investors.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of the following is an Event of Default:</w:t>
      </w:r>
    </w:p>
    <w:p>
      <w:pPr>
        <w:spacing w:after="0" w:line="225" w:lineRule="exact"/>
        <w:rPr>
          <w:sz w:val="20"/>
          <w:szCs w:val="20"/>
          <w:color w:val="auto"/>
        </w:rPr>
      </w:pPr>
    </w:p>
    <w:p>
      <w:pPr>
        <w:ind w:left="1780" w:hanging="259"/>
        <w:spacing w:after="0"/>
        <w:tabs>
          <w:tab w:leader="none" w:pos="17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760" w:right="640" w:firstLine="761"/>
        <w:spacing w:after="0" w:line="264" w:lineRule="auto"/>
        <w:tabs>
          <w:tab w:leader="none" w:pos="1771"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failure by the Company to comply with its obligations under “-Certain Covenants Merger, Consolidation or Sale of Assets”;</w:t>
      </w:r>
    </w:p>
    <w:p>
      <w:pPr>
        <w:spacing w:after="0" w:line="236" w:lineRule="exact"/>
        <w:rPr>
          <w:rFonts w:ascii="Arial" w:cs="Arial" w:eastAsia="Arial" w:hAnsi="Arial"/>
          <w:sz w:val="17"/>
          <w:szCs w:val="17"/>
          <w:color w:val="auto"/>
        </w:rPr>
      </w:pPr>
    </w:p>
    <w:p>
      <w:pPr>
        <w:ind w:left="760" w:right="360" w:firstLine="761"/>
        <w:spacing w:after="0" w:line="277" w:lineRule="auto"/>
        <w:tabs>
          <w:tab w:leader="none" w:pos="1771"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default by the Company in the observance or performance of its obligations under “-Certain Covenants-Reports” which default continues for a period of 90 days;</w:t>
      </w:r>
    </w:p>
    <w:p>
      <w:pPr>
        <w:spacing w:after="0" w:line="170" w:lineRule="exact"/>
        <w:rPr>
          <w:rFonts w:ascii="Arial" w:cs="Arial" w:eastAsia="Arial" w:hAnsi="Arial"/>
          <w:sz w:val="18"/>
          <w:szCs w:val="18"/>
          <w:color w:val="auto"/>
        </w:rPr>
      </w:pPr>
    </w:p>
    <w:p>
      <w:pPr>
        <w:ind w:left="760" w:firstLine="761"/>
        <w:spacing w:after="0" w:line="286" w:lineRule="auto"/>
        <w:tabs>
          <w:tab w:leader="none" w:pos="1771" w:val="left"/>
        </w:tabs>
        <w:numPr>
          <w:ilvl w:val="1"/>
          <w:numId w:val="67"/>
        </w:numPr>
        <w:rPr>
          <w:rFonts w:ascii="Arial" w:cs="Arial" w:eastAsia="Arial" w:hAnsi="Arial"/>
          <w:sz w:val="17"/>
          <w:szCs w:val="17"/>
          <w:color w:val="auto"/>
        </w:rPr>
      </w:pPr>
      <w:r>
        <w:rPr>
          <w:rFonts w:ascii="Arial" w:cs="Arial" w:eastAsia="Arial" w:hAnsi="Arial"/>
          <w:sz w:val="17"/>
          <w:szCs w:val="17"/>
          <w:color w:val="auto"/>
        </w:rPr>
        <w:t>a default in the observance or performance of any other covenant or agreement contained in the Indenture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165" w:lineRule="exact"/>
        <w:rPr>
          <w:rFonts w:ascii="Arial" w:cs="Arial" w:eastAsia="Arial" w:hAnsi="Arial"/>
          <w:sz w:val="17"/>
          <w:szCs w:val="17"/>
          <w:color w:val="auto"/>
        </w:rPr>
      </w:pPr>
    </w:p>
    <w:p>
      <w:pPr>
        <w:ind w:left="760" w:right="60" w:firstLine="761"/>
        <w:spacing w:after="0" w:line="285" w:lineRule="auto"/>
        <w:tabs>
          <w:tab w:leader="none" w:pos="1771"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failure to pay at final stated maturity (giving effect to any applicable grace periods and any extensions thereto) the principal amount of any Indebtedness of the Company or any Significant Subsidiary of the Company, or any other default resulting in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$100.0 million or more at any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default is cured or waived or any acceleration rescinded or such Indebtedness is repaid within a period of ten</w:t>
      </w:r>
    </w:p>
    <w:p>
      <w:pPr>
        <w:spacing w:after="0" w:line="2" w:lineRule="exact"/>
        <w:rPr>
          <w:rFonts w:ascii="Arial" w:cs="Arial" w:eastAsia="Arial" w:hAnsi="Arial"/>
          <w:sz w:val="16"/>
          <w:szCs w:val="16"/>
          <w:color w:val="auto"/>
        </w:rPr>
      </w:pPr>
    </w:p>
    <w:p>
      <w:pPr>
        <w:ind w:left="760" w:firstLine="4"/>
        <w:spacing w:after="0" w:line="255" w:lineRule="auto"/>
        <w:tabs>
          <w:tab w:leader="none" w:pos="11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days from the continuation of such default beyond any applicable grace period or the occurrence of such acceleration, as the case may be, such Event of Default under the Indenture and any consequential acceleration of the Notes shall automatically be rescinded so long as such rescission does not conflict with any judgment or decree;</w:t>
      </w:r>
    </w:p>
    <w:p>
      <w:pPr>
        <w:spacing w:after="0" w:line="190" w:lineRule="exact"/>
        <w:rPr>
          <w:rFonts w:ascii="Arial" w:cs="Arial" w:eastAsia="Arial" w:hAnsi="Arial"/>
          <w:sz w:val="18"/>
          <w:szCs w:val="18"/>
          <w:color w:val="auto"/>
        </w:rPr>
      </w:pPr>
    </w:p>
    <w:p>
      <w:pPr>
        <w:ind w:left="760" w:right="60" w:firstLine="761"/>
        <w:spacing w:after="0" w:line="259" w:lineRule="auto"/>
        <w:tabs>
          <w:tab w:leader="none" w:pos="1771" w:val="left"/>
        </w:tabs>
        <w:numPr>
          <w:ilvl w:val="1"/>
          <w:numId w:val="68"/>
        </w:numPr>
        <w:rPr>
          <w:rFonts w:ascii="Arial" w:cs="Arial" w:eastAsia="Arial" w:hAnsi="Arial"/>
          <w:sz w:val="18"/>
          <w:szCs w:val="18"/>
          <w:color w:val="auto"/>
        </w:rPr>
      </w:pPr>
      <w:r>
        <w:rPr>
          <w:rFonts w:ascii="Arial" w:cs="Arial" w:eastAsia="Arial" w:hAnsi="Arial"/>
          <w:sz w:val="18"/>
          <w:szCs w:val="18"/>
          <w:color w:val="auto"/>
        </w:rPr>
        <w:t>one or more judgments in an aggregate amount in excess of $100.0 million (to the extent not covered by independent third party insurance as to which the insurer has not disclaimed coverage) shall have been rendered against the Company or any of its Significant Subsidiaries and such judgments remain undischarged, unpaid or unstayed for a period of 60 days after such judgment or judgments become final and nonappealable;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68" w:right="259" w:bottom="1440" w:gutter="0" w:footer="0" w:header="0"/>
        </w:sectPr>
      </w:pPr>
    </w:p>
    <w:bookmarkStart w:id="64" w:name="page65"/>
    <w:bookmarkEnd w:id="64"/>
    <w:p>
      <w:pPr>
        <w:ind w:left="760" w:right="20" w:firstLine="761"/>
        <w:spacing w:after="0" w:line="286" w:lineRule="auto"/>
        <w:tabs>
          <w:tab w:leader="none" w:pos="1771" w:val="left"/>
        </w:tabs>
        <w:numPr>
          <w:ilvl w:val="0"/>
          <w:numId w:val="69"/>
        </w:numPr>
        <w:rPr>
          <w:rFonts w:ascii="Arial" w:cs="Arial" w:eastAsia="Arial" w:hAnsi="Arial"/>
          <w:sz w:val="17"/>
          <w:szCs w:val="17"/>
          <w:color w:val="auto"/>
        </w:rPr>
      </w:pPr>
      <w:r>
        <w:rPr>
          <w:rFonts w:ascii="Arial" w:cs="Arial" w:eastAsia="Arial" w:hAnsi="Arial"/>
          <w:sz w:val="17"/>
          <w:szCs w:val="17"/>
          <w:color w:val="auto"/>
        </w:rPr>
        <w:t>except as permitted by the Indenture, any Subsidiary Guarantee of any Significant Subsidiary shall be held in any judicial proceeding to be unenforceable or invalid or shall cease for any reason to be in full force and effect or any Guarantor that is a Significant Subsidiary, or any Person acting on behalf of any such Guarantor, shall deny or disaffirm its obligations under its Subsidiary Guarantee; or</w:t>
      </w:r>
    </w:p>
    <w:p>
      <w:pPr>
        <w:spacing w:after="0" w:line="165" w:lineRule="exact"/>
        <w:rPr>
          <w:rFonts w:ascii="Arial" w:cs="Arial" w:eastAsia="Arial" w:hAnsi="Arial"/>
          <w:sz w:val="17"/>
          <w:szCs w:val="17"/>
          <w:color w:val="auto"/>
        </w:rPr>
      </w:pPr>
    </w:p>
    <w:p>
      <w:pPr>
        <w:ind w:left="1780" w:hanging="259"/>
        <w:spacing w:after="0"/>
        <w:tabs>
          <w:tab w:leader="none" w:pos="17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certain events of bankruptcy or insolvency with respect to the Company or any of its Restricted Subsidiaries that is a Significant</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If an Event of Default (other than an Event of Default specified in clause (9) above with respect to the Company) shall have occurred and be continuing under the Indenture, the Trustee, by written notice to the Company, or the Holders of at least 25% in aggregate principal amount of the Notes then outstanding by written notice to the Company and the Trustee, may declare all amounts owing under the Notes to be due and payable. Upon such declaration of acceleration, the aggregate principal of and accrued and unpaid interest on the outstanding Notes shall immediately become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such acceleration, but before a judgment or decree based on acceleration, the Holders of a majority in aggregate principal amount of such outstanding Notes may, under certain circumstances, rescind and annul such acceleration if all Events of Default, other than the nonpayment of accelerated principal and interest, have been cured or waived as provided in the Indenture.</w:t>
      </w:r>
    </w:p>
    <w:p>
      <w:pPr>
        <w:spacing w:after="0" w:line="18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If an Event of Default specified in clause (9) above occurs and is continuing with respect to the Company, then all unpaid principal of, and premium, if any, and accrued and unpaid interest on all of the outstanding Notes shall ipso facto become and be immediately due and payable without any declaration or other act on the part of the Trustee or any Holder.</w:t>
      </w:r>
    </w:p>
    <w:p>
      <w:pPr>
        <w:spacing w:after="0" w:line="18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At any time after a declaration of acceleration with respect to the Notes as described in the two preceding paragraphs, the Holders of a majority in principal amount of the Notes may rescind and cancel such declaration and its consequences:</w:t>
      </w:r>
    </w:p>
    <w:p>
      <w:pPr>
        <w:spacing w:after="0" w:line="170" w:lineRule="exact"/>
        <w:rPr>
          <w:sz w:val="20"/>
          <w:szCs w:val="20"/>
          <w:color w:val="auto"/>
        </w:rPr>
      </w:pPr>
    </w:p>
    <w:p>
      <w:pPr>
        <w:ind w:left="1780" w:hanging="259"/>
        <w:spacing w:after="0"/>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225" w:lineRule="exact"/>
        <w:rPr>
          <w:rFonts w:ascii="Arial" w:cs="Arial" w:eastAsia="Arial" w:hAnsi="Arial"/>
          <w:sz w:val="18"/>
          <w:szCs w:val="18"/>
          <w:color w:val="auto"/>
        </w:rPr>
      </w:pPr>
    </w:p>
    <w:p>
      <w:pPr>
        <w:ind w:left="760" w:right="240" w:firstLine="761"/>
        <w:spacing w:after="0" w:line="277" w:lineRule="auto"/>
        <w:tabs>
          <w:tab w:leader="none" w:pos="17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170" w:lineRule="exact"/>
        <w:rPr>
          <w:rFonts w:ascii="Arial" w:cs="Arial" w:eastAsia="Arial" w:hAnsi="Arial"/>
          <w:sz w:val="18"/>
          <w:szCs w:val="18"/>
          <w:color w:val="auto"/>
        </w:rPr>
      </w:pPr>
    </w:p>
    <w:p>
      <w:pPr>
        <w:ind w:left="760" w:right="400" w:firstLine="761"/>
        <w:spacing w:after="0" w:line="277" w:lineRule="auto"/>
        <w:tabs>
          <w:tab w:leader="none" w:pos="17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170" w:lineRule="exact"/>
        <w:rPr>
          <w:rFonts w:ascii="Arial" w:cs="Arial" w:eastAsia="Arial" w:hAnsi="Arial"/>
          <w:sz w:val="18"/>
          <w:szCs w:val="18"/>
          <w:color w:val="auto"/>
        </w:rPr>
      </w:pPr>
    </w:p>
    <w:p>
      <w:pPr>
        <w:ind w:left="420" w:right="260" w:firstLine="1101"/>
        <w:spacing w:after="0" w:line="501" w:lineRule="auto"/>
        <w:tabs>
          <w:tab w:leader="none" w:pos="178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have paid the Trustee its reasonable compensation and reimbursed the Trustee for its expenses, disbursements and advances. No such rescission shall affect any subsequent Default or impair any right consequent thereto.</w:t>
      </w:r>
    </w:p>
    <w:p>
      <w:pPr>
        <w:ind w:right="220" w:firstLine="405"/>
        <w:spacing w:after="0" w:line="277" w:lineRule="auto"/>
        <w:rPr>
          <w:sz w:val="20"/>
          <w:szCs w:val="20"/>
          <w:color w:val="auto"/>
        </w:rPr>
      </w:pPr>
      <w:r>
        <w:rPr>
          <w:rFonts w:ascii="Arial" w:cs="Arial" w:eastAsia="Arial" w:hAnsi="Arial"/>
          <w:sz w:val="18"/>
          <w:szCs w:val="18"/>
          <w:color w:val="auto"/>
        </w:rPr>
        <w:t>The Holders of a majority in principal amount of the then outstanding Notes may waive any existing Default or Event of Default under the Indenture, and its consequences, except a default in the payment of the principal of or interest on any Notes.</w:t>
      </w:r>
    </w:p>
    <w:p>
      <w:pPr>
        <w:spacing w:after="0" w:line="170"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No single Holder will have any right to institute any proceeding with respect to the Indenture or any remedy thereunder, unless such Holder has notified the Trustee of a continuing Event of Default and the Holders of at least 25% in aggregate principal amount of the outstanding Notes have made written request, and offered such reasonable indemnity as the Trustee may require, to the Trustee to institute such proceeding, the Trustee has failed to institute such proceeding within 60 days after receipt of such notice and the Trustee, within such 60-day period, has not received directions inconsistent with such written request by Holders of a majority in aggregate principal amount of the outstanding Notes. Such limitations will not apply, however, to a suit instituted by the Holder of a Note for the enforcement of the payment of the principal of, premium, if any, or interest on such Note on or after the respective due dates therefor.</w:t>
      </w:r>
    </w:p>
    <w:p>
      <w:pPr>
        <w:spacing w:after="0" w:line="183"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 xml:space="preserve">Under the Indenture, we will be required to provide an officers’ certificate to the Trustee promptly upon any such officer obtaining knowledge of any Default or Event of Default that has occurred and, if applicable, describe such Default or Event of Default and the status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officers shall provide such certification at least annually whether or not they know of any Default or Event of Default.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98"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No director, officer, employee, incorporator or stockholder of the Company or any Guarantor, as such, shall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170" w:lineRule="exact"/>
        <w:rPr>
          <w:sz w:val="20"/>
          <w:szCs w:val="20"/>
          <w:color w:val="auto"/>
        </w:rPr>
      </w:pPr>
    </w:p>
    <w:p>
      <w:pPr>
        <w:ind w:left="760" w:right="280" w:firstLine="761"/>
        <w:spacing w:after="0" w:line="277" w:lineRule="auto"/>
        <w:tabs>
          <w:tab w:leader="none" w:pos="17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such Notes when such payments are due from the trust referred to below;</w:t>
      </w:r>
    </w:p>
    <w:p>
      <w:pPr>
        <w:spacing w:after="0" w:line="170" w:lineRule="exact"/>
        <w:rPr>
          <w:rFonts w:ascii="Arial" w:cs="Arial" w:eastAsia="Arial" w:hAnsi="Arial"/>
          <w:sz w:val="18"/>
          <w:szCs w:val="18"/>
          <w:color w:val="auto"/>
        </w:rPr>
      </w:pPr>
    </w:p>
    <w:p>
      <w:pPr>
        <w:ind w:left="760" w:right="40" w:firstLine="761"/>
        <w:spacing w:after="0" w:line="308" w:lineRule="auto"/>
        <w:tabs>
          <w:tab w:leader="none" w:pos="177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146" w:lineRule="exact"/>
        <w:rPr>
          <w:rFonts w:ascii="Arial" w:cs="Arial" w:eastAsia="Arial" w:hAnsi="Arial"/>
          <w:sz w:val="17"/>
          <w:szCs w:val="17"/>
          <w:color w:val="auto"/>
        </w:rPr>
      </w:pPr>
    </w:p>
    <w:p>
      <w:pPr>
        <w:ind w:left="1780" w:hanging="259"/>
        <w:spacing w:after="0"/>
        <w:tabs>
          <w:tab w:leader="none" w:pos="1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6" w:lineRule="exact"/>
        <w:rPr>
          <w:rFonts w:ascii="Arial" w:cs="Arial" w:eastAsia="Arial" w:hAnsi="Arial"/>
          <w:sz w:val="17"/>
          <w:szCs w:val="17"/>
          <w:color w:val="auto"/>
        </w:rPr>
      </w:pPr>
    </w:p>
    <w:p>
      <w:pPr>
        <w:ind w:left="1780" w:hanging="259"/>
        <w:spacing w:after="0"/>
        <w:tabs>
          <w:tab w:leader="none" w:pos="1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addition, the Company may, at its option and at any time, elect to have the obligations of the Company and the Guarantors released with respect to certain covenants that are described in the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left="760" w:right="20" w:firstLine="761"/>
        <w:spacing w:after="0" w:line="257" w:lineRule="auto"/>
        <w:tabs>
          <w:tab w:leader="none" w:pos="17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188" w:lineRule="exact"/>
        <w:rPr>
          <w:rFonts w:ascii="Arial" w:cs="Arial" w:eastAsia="Arial" w:hAnsi="Arial"/>
          <w:sz w:val="18"/>
          <w:szCs w:val="18"/>
          <w:color w:val="auto"/>
        </w:rPr>
      </w:pPr>
    </w:p>
    <w:p>
      <w:pPr>
        <w:ind w:left="760" w:firstLine="761"/>
        <w:spacing w:after="0" w:line="273" w:lineRule="auto"/>
        <w:tabs>
          <w:tab w:leader="none" w:pos="17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8" w:lineRule="exact"/>
        <w:rPr>
          <w:rFonts w:ascii="Arial" w:cs="Arial" w:eastAsia="Arial" w:hAnsi="Arial"/>
          <w:sz w:val="17"/>
          <w:szCs w:val="17"/>
          <w:color w:val="auto"/>
        </w:rPr>
      </w:pPr>
    </w:p>
    <w:p>
      <w:pPr>
        <w:jc w:val="both"/>
        <w:ind w:left="760" w:firstLine="761"/>
        <w:spacing w:after="0" w:line="259" w:lineRule="auto"/>
        <w:tabs>
          <w:tab w:leader="none" w:pos="17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760" w:right="180" w:firstLine="761"/>
        <w:spacing w:after="0" w:line="264" w:lineRule="auto"/>
        <w:tabs>
          <w:tab w:leader="none" w:pos="17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(a) on the date of such deposit (other than a Default or Event of Default resulting from the borrowing of funds to be applied to such deposit); or (b) insofar as Events of Default from bankruptcy or insolvency events are concerned, at any time in the period ending on the 91st day after the date of deposit;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64" w:right="259" w:bottom="1440" w:gutter="0" w:footer="0" w:header="0"/>
        </w:sectPr>
      </w:pPr>
    </w:p>
    <w:bookmarkStart w:id="66" w:name="page67"/>
    <w:bookmarkEnd w:id="66"/>
    <w:p>
      <w:pPr>
        <w:ind w:left="760" w:right="100" w:firstLine="761"/>
        <w:spacing w:after="0" w:line="312" w:lineRule="auto"/>
        <w:tabs>
          <w:tab w:leader="none" w:pos="1771"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the Indenture or any material agreement or instrument to which the Company or any of its Subsidiaries is a party or by which the Company or any of its Subsidiaries is bound (other than any such default under the Indenture resulting solely from the borrowing of funds to be applied to such deposit);</w:t>
      </w:r>
    </w:p>
    <w:p>
      <w:pPr>
        <w:spacing w:after="0" w:line="146" w:lineRule="exact"/>
        <w:rPr>
          <w:rFonts w:ascii="Arial" w:cs="Arial" w:eastAsia="Arial" w:hAnsi="Arial"/>
          <w:sz w:val="16"/>
          <w:szCs w:val="16"/>
          <w:color w:val="auto"/>
        </w:rPr>
      </w:pPr>
    </w:p>
    <w:p>
      <w:pPr>
        <w:ind w:left="760" w:right="60" w:firstLine="761"/>
        <w:spacing w:after="0" w:line="264" w:lineRule="auto"/>
        <w:tabs>
          <w:tab w:leader="none" w:pos="17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181" w:lineRule="exact"/>
        <w:rPr>
          <w:rFonts w:ascii="Arial" w:cs="Arial" w:eastAsia="Arial" w:hAnsi="Arial"/>
          <w:sz w:val="18"/>
          <w:szCs w:val="18"/>
          <w:color w:val="auto"/>
        </w:rPr>
      </w:pPr>
    </w:p>
    <w:p>
      <w:pPr>
        <w:jc w:val="both"/>
        <w:ind w:left="760" w:right="40" w:firstLine="761"/>
        <w:spacing w:after="0" w:line="264" w:lineRule="auto"/>
        <w:tabs>
          <w:tab w:leader="none" w:pos="17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w:t>
      </w:r>
    </w:p>
    <w:p>
      <w:pPr>
        <w:spacing w:after="0" w:line="181" w:lineRule="exact"/>
        <w:rPr>
          <w:rFonts w:ascii="Arial" w:cs="Arial" w:eastAsia="Arial" w:hAnsi="Arial"/>
          <w:sz w:val="18"/>
          <w:szCs w:val="18"/>
          <w:color w:val="auto"/>
        </w:rPr>
      </w:pPr>
    </w:p>
    <w:p>
      <w:pPr>
        <w:ind w:left="760" w:right="60" w:firstLine="761"/>
        <w:spacing w:after="0" w:line="277" w:lineRule="auto"/>
        <w:tabs>
          <w:tab w:leader="none" w:pos="17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 and</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Indenture will be discharged and will cease to be of further effect (except as to surviving rights of registration of transfer or exchange of the Notes, as expressly provided for in the Indenture) as to all outstanding Notes when either:</w:t>
      </w:r>
    </w:p>
    <w:p>
      <w:pPr>
        <w:spacing w:after="0" w:line="170" w:lineRule="exact"/>
        <w:rPr>
          <w:sz w:val="20"/>
          <w:szCs w:val="20"/>
          <w:color w:val="auto"/>
        </w:rPr>
      </w:pPr>
    </w:p>
    <w:p>
      <w:pPr>
        <w:ind w:left="760" w:right="20" w:firstLine="761"/>
        <w:spacing w:after="0" w:line="264" w:lineRule="auto"/>
        <w:tabs>
          <w:tab w:leader="none" w:pos="17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as provided in the Indenture) have been delivered to the Registrar for cancellation, and</w:t>
      </w:r>
    </w:p>
    <w:p>
      <w:pPr>
        <w:spacing w:after="0" w:line="181" w:lineRule="exact"/>
        <w:rPr>
          <w:rFonts w:ascii="Arial" w:cs="Arial" w:eastAsia="Arial" w:hAnsi="Arial"/>
          <w:sz w:val="18"/>
          <w:szCs w:val="18"/>
          <w:color w:val="auto"/>
        </w:rPr>
      </w:pPr>
    </w:p>
    <w:p>
      <w:pPr>
        <w:ind w:left="2620" w:hanging="222"/>
        <w:spacing w:after="0"/>
        <w:tabs>
          <w:tab w:leader="none" w:pos="2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 has paid all sums payable under the Indenture by the Company, and</w:t>
      </w:r>
    </w:p>
    <w:p>
      <w:pPr>
        <w:spacing w:after="0" w:line="225" w:lineRule="exact"/>
        <w:rPr>
          <w:rFonts w:ascii="Arial" w:cs="Arial" w:eastAsia="Arial" w:hAnsi="Arial"/>
          <w:sz w:val="18"/>
          <w:szCs w:val="18"/>
          <w:color w:val="auto"/>
        </w:rPr>
      </w:pPr>
    </w:p>
    <w:p>
      <w:pPr>
        <w:ind w:left="1640" w:right="260" w:firstLine="758"/>
        <w:spacing w:after="0" w:line="342" w:lineRule="auto"/>
        <w:tabs>
          <w:tab w:leader="none" w:pos="2661"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stating that all conditions precedent under the Indenture relating to the satisfaction and discharge of the Indenture have been complied with; or</w:t>
      </w:r>
    </w:p>
    <w:p>
      <w:pPr>
        <w:spacing w:after="0" w:line="123" w:lineRule="exact"/>
        <w:rPr>
          <w:rFonts w:ascii="Arial" w:cs="Arial" w:eastAsia="Arial" w:hAnsi="Arial"/>
          <w:sz w:val="16"/>
          <w:szCs w:val="16"/>
          <w:color w:val="auto"/>
        </w:rPr>
      </w:pPr>
    </w:p>
    <w:p>
      <w:pPr>
        <w:ind w:left="760" w:right="20" w:firstLine="761"/>
        <w:spacing w:after="0" w:line="277" w:lineRule="auto"/>
        <w:tabs>
          <w:tab w:leader="none" w:pos="17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Notes, all of the Notes shall have otherwise become due and payable or all of the Notes will become due and payable, or may be called for redemption, within one year, and</w:t>
      </w:r>
    </w:p>
    <w:p>
      <w:pPr>
        <w:spacing w:after="0" w:line="170" w:lineRule="exact"/>
        <w:rPr>
          <w:rFonts w:ascii="Arial" w:cs="Arial" w:eastAsia="Arial" w:hAnsi="Arial"/>
          <w:sz w:val="18"/>
          <w:szCs w:val="18"/>
          <w:color w:val="auto"/>
        </w:rPr>
      </w:pPr>
    </w:p>
    <w:p>
      <w:pPr>
        <w:ind w:left="1640" w:right="40" w:firstLine="758"/>
        <w:spacing w:after="0" w:line="297" w:lineRule="auto"/>
        <w:tabs>
          <w:tab w:leader="none" w:pos="2611"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deposited with the Trustee or another trustee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interest) on the Notes not theretofore delivered to the Trustee for cancellation, together with irrevocable instructions from the Company directing the Trustee to apply such funds to the payment thereof at maturity or redemption, as the case may be;</w:t>
      </w:r>
    </w:p>
    <w:p>
      <w:pPr>
        <w:spacing w:after="0" w:line="158" w:lineRule="exact"/>
        <w:rPr>
          <w:rFonts w:ascii="Arial" w:cs="Arial" w:eastAsia="Arial" w:hAnsi="Arial"/>
          <w:sz w:val="16"/>
          <w:szCs w:val="16"/>
          <w:color w:val="auto"/>
        </w:rPr>
      </w:pPr>
    </w:p>
    <w:p>
      <w:pPr>
        <w:ind w:left="1640" w:firstLine="758"/>
        <w:spacing w:after="0" w:line="264" w:lineRule="auto"/>
        <w:tabs>
          <w:tab w:leader="none" w:pos="26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the Company is a party or by which it is bound;</w:t>
      </w:r>
    </w:p>
    <w:p>
      <w:pPr>
        <w:spacing w:after="0" w:line="181" w:lineRule="exact"/>
        <w:rPr>
          <w:rFonts w:ascii="Arial" w:cs="Arial" w:eastAsia="Arial" w:hAnsi="Arial"/>
          <w:sz w:val="18"/>
          <w:szCs w:val="18"/>
          <w:color w:val="auto"/>
        </w:rPr>
      </w:pPr>
    </w:p>
    <w:p>
      <w:pPr>
        <w:ind w:left="2720" w:hanging="322"/>
        <w:spacing w:after="0"/>
        <w:tabs>
          <w:tab w:leader="none" w:pos="27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the Indenture; and</w:t>
      </w:r>
    </w:p>
    <w:p>
      <w:pPr>
        <w:spacing w:after="0" w:line="225" w:lineRule="exact"/>
        <w:rPr>
          <w:rFonts w:ascii="Arial" w:cs="Arial" w:eastAsia="Arial" w:hAnsi="Arial"/>
          <w:sz w:val="18"/>
          <w:szCs w:val="18"/>
          <w:color w:val="auto"/>
        </w:rPr>
      </w:pPr>
    </w:p>
    <w:p>
      <w:pPr>
        <w:ind w:left="1640" w:right="220" w:firstLine="758"/>
        <w:spacing w:after="0" w:line="308" w:lineRule="auto"/>
        <w:tabs>
          <w:tab w:leader="none" w:pos="2701"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stating that all conditions precedent under the Indenture relating to the satisfaction and discharge of the Indenture have been complied with.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68" w:right="259" w:bottom="1440" w:gutter="0" w:footer="0" w:header="0"/>
        </w:sectPr>
      </w:pPr>
    </w:p>
    <w:bookmarkStart w:id="67" w:name="page68"/>
    <w:bookmarkEnd w:id="67"/>
    <w:p>
      <w:pPr>
        <w:ind w:right="300"/>
        <w:spacing w:after="0" w:line="312" w:lineRule="auto"/>
        <w:rPr>
          <w:sz w:val="20"/>
          <w:szCs w:val="20"/>
          <w:color w:val="auto"/>
        </w:rPr>
      </w:pPr>
      <w:r>
        <w:rPr>
          <w:rFonts w:ascii="Arial" w:cs="Arial" w:eastAsia="Arial" w:hAnsi="Arial"/>
          <w:sz w:val="16"/>
          <w:szCs w:val="16"/>
          <w:color w:val="auto"/>
        </w:rPr>
        <w:t>and fees required by law or permitted by the Indenture. Without the prior consent of the Issuer, the registrar is not required (1) to register the transfer of or exchange any Note selected for redemption, (2) to register the transfer of or exchange any Note for a period of 15 days before a selection of Notes to be redeemed or (3) to register the transfer of or exchange any Note between a record date and the next succeeding interest payment date.</w:t>
      </w:r>
    </w:p>
    <w:p>
      <w:pPr>
        <w:spacing w:after="0" w:line="14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original notes were, and the exchange notes will be, issued in registered form and the registered holder will be treated as the owner of such Note for all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Without the consent of each Holder affected, an amendment or waiver may not (with respect to any Notes held by a non-consenting Holder):</w:t>
      </w:r>
    </w:p>
    <w:p>
      <w:pPr>
        <w:spacing w:after="0" w:line="237" w:lineRule="exact"/>
        <w:rPr>
          <w:sz w:val="20"/>
          <w:szCs w:val="20"/>
          <w:color w:val="auto"/>
        </w:rPr>
      </w:pPr>
    </w:p>
    <w:p>
      <w:pPr>
        <w:ind w:left="760" w:right="140" w:firstLine="761"/>
        <w:spacing w:after="0" w:line="277" w:lineRule="auto"/>
        <w:tabs>
          <w:tab w:leader="none" w:pos="17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183" w:lineRule="exact"/>
        <w:rPr>
          <w:rFonts w:ascii="Arial" w:cs="Arial" w:eastAsia="Arial" w:hAnsi="Arial"/>
          <w:sz w:val="18"/>
          <w:szCs w:val="18"/>
          <w:color w:val="auto"/>
        </w:rPr>
      </w:pPr>
    </w:p>
    <w:p>
      <w:pPr>
        <w:ind w:left="1780" w:hanging="259"/>
        <w:spacing w:after="0"/>
        <w:tabs>
          <w:tab w:leader="none" w:pos="17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reduce the rate of or change or have the effect of changing the time for payment of interest, including defaulted interest, on any</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Notes;</w:t>
      </w:r>
    </w:p>
    <w:p>
      <w:pPr>
        <w:spacing w:after="0" w:line="210" w:lineRule="exact"/>
        <w:rPr>
          <w:rFonts w:ascii="Arial" w:cs="Arial" w:eastAsia="Arial" w:hAnsi="Arial"/>
          <w:sz w:val="17"/>
          <w:szCs w:val="17"/>
          <w:color w:val="auto"/>
        </w:rPr>
      </w:pPr>
    </w:p>
    <w:p>
      <w:pPr>
        <w:ind w:left="760" w:right="340" w:firstLine="761"/>
        <w:spacing w:after="0" w:line="277" w:lineRule="auto"/>
        <w:tabs>
          <w:tab w:leader="none" w:pos="17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225" w:lineRule="exact"/>
        <w:rPr>
          <w:rFonts w:ascii="Arial" w:cs="Arial" w:eastAsia="Arial" w:hAnsi="Arial"/>
          <w:sz w:val="18"/>
          <w:szCs w:val="18"/>
          <w:color w:val="auto"/>
        </w:rPr>
      </w:pPr>
    </w:p>
    <w:p>
      <w:pPr>
        <w:ind w:left="760" w:right="20" w:firstLine="761"/>
        <w:spacing w:after="0" w:line="277" w:lineRule="auto"/>
        <w:tabs>
          <w:tab w:leader="none" w:pos="17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protecting the right of each Holder to receive payment of principal of and interest on such Note on or after the due date thereof or to bring suit to enforce such payment;</w:t>
      </w:r>
    </w:p>
    <w:p>
      <w:pPr>
        <w:spacing w:after="0" w:line="170" w:lineRule="exact"/>
        <w:rPr>
          <w:rFonts w:ascii="Arial" w:cs="Arial" w:eastAsia="Arial" w:hAnsi="Arial"/>
          <w:sz w:val="18"/>
          <w:szCs w:val="18"/>
          <w:color w:val="auto"/>
        </w:rPr>
      </w:pPr>
    </w:p>
    <w:p>
      <w:pPr>
        <w:ind w:left="760" w:firstLine="761"/>
        <w:spacing w:after="0" w:line="259" w:lineRule="auto"/>
        <w:tabs>
          <w:tab w:leader="none" w:pos="17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the price payable by the Company for Notes repurchased pursuant to the provisions described above under “-Offer to Repurchase upon Change of Control” and “-Offer to Repurchase by Application of Excess Proceeds of Asset Sales” or after the occurrence of a Change of Control, modify or change in any material respect the obligation of the Company to make and consummate a Change of Control Offer or modify any of the provisions or definitions with respect thereto;</w:t>
      </w:r>
    </w:p>
    <w:p>
      <w:pPr>
        <w:spacing w:after="0" w:line="186" w:lineRule="exact"/>
        <w:rPr>
          <w:rFonts w:ascii="Arial" w:cs="Arial" w:eastAsia="Arial" w:hAnsi="Arial"/>
          <w:sz w:val="18"/>
          <w:szCs w:val="18"/>
          <w:color w:val="auto"/>
        </w:rPr>
      </w:pPr>
    </w:p>
    <w:p>
      <w:pPr>
        <w:ind w:left="760" w:right="380" w:firstLine="761"/>
        <w:spacing w:after="0" w:line="286" w:lineRule="auto"/>
        <w:tabs>
          <w:tab w:leader="none" w:pos="1771"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waive a default in the payment of principal of or interest on any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(7) shall not limit the right of the Holders of a majority in aggregate principal amount of the outstanding Notes to rescind and cancel a declaration of acceleration of the Notes following delivery of an acceleration notice as described above under “-Events of Default and Remedies”;</w:t>
      </w:r>
    </w:p>
    <w:p>
      <w:pPr>
        <w:spacing w:after="0" w:line="165" w:lineRule="exact"/>
        <w:rPr>
          <w:rFonts w:ascii="Arial" w:cs="Arial" w:eastAsia="Arial" w:hAnsi="Arial"/>
          <w:sz w:val="17"/>
          <w:szCs w:val="17"/>
          <w:color w:val="auto"/>
        </w:rPr>
      </w:pPr>
    </w:p>
    <w:p>
      <w:pPr>
        <w:ind w:left="760" w:right="320" w:firstLine="761"/>
        <w:spacing w:after="0" w:line="277" w:lineRule="auto"/>
        <w:tabs>
          <w:tab w:leader="none" w:pos="17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release any Guarantor that is a Significant Subsidiary from any of its obligations under its Subsidiary Guarantee or the Indenture, except as permitted by the Indenture;</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or</w:t>
      </w:r>
    </w:p>
    <w:p>
      <w:pPr>
        <w:spacing w:after="0" w:line="225" w:lineRule="exact"/>
        <w:rPr>
          <w:rFonts w:ascii="Arial" w:cs="Arial" w:eastAsia="Arial" w:hAnsi="Arial"/>
          <w:sz w:val="18"/>
          <w:szCs w:val="18"/>
          <w:color w:val="auto"/>
        </w:rPr>
      </w:pPr>
    </w:p>
    <w:p>
      <w:pPr>
        <w:ind w:left="1860" w:hanging="339"/>
        <w:spacing w:after="0"/>
        <w:tabs>
          <w:tab w:leader="none" w:pos="1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the Company and the Trustee may amend or supplement the Indenture or the Notes:</w:t>
      </w:r>
    </w:p>
    <w:p>
      <w:pPr>
        <w:spacing w:after="0" w:line="170" w:lineRule="exact"/>
        <w:rPr>
          <w:sz w:val="20"/>
          <w:szCs w:val="20"/>
          <w:color w:val="auto"/>
        </w:rPr>
      </w:pPr>
    </w:p>
    <w:p>
      <w:pPr>
        <w:ind w:left="1780" w:hanging="259"/>
        <w:spacing w:after="0"/>
        <w:tabs>
          <w:tab w:leader="none" w:pos="1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68" w:right="259" w:bottom="1440" w:gutter="0" w:footer="0" w:header="0"/>
        </w:sectPr>
      </w:pPr>
    </w:p>
    <w:bookmarkStart w:id="68" w:name="page69"/>
    <w:bookmarkEnd w:id="68"/>
    <w:p>
      <w:pPr>
        <w:ind w:left="760" w:right="40" w:firstLine="761"/>
        <w:spacing w:after="0" w:line="277"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Notes in the case of a merger or consolidation or sale of all or substantially all of the Company’s assets;</w:t>
      </w:r>
    </w:p>
    <w:p>
      <w:pPr>
        <w:spacing w:after="0" w:line="170" w:lineRule="exact"/>
        <w:rPr>
          <w:rFonts w:ascii="Arial" w:cs="Arial" w:eastAsia="Arial" w:hAnsi="Arial"/>
          <w:sz w:val="18"/>
          <w:szCs w:val="18"/>
          <w:color w:val="auto"/>
        </w:rPr>
      </w:pPr>
    </w:p>
    <w:p>
      <w:pPr>
        <w:ind w:left="760" w:right="200" w:firstLine="761"/>
        <w:spacing w:after="0" w:line="277" w:lineRule="auto"/>
        <w:tabs>
          <w:tab w:leader="none" w:pos="1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in any material respect the legal rights under the Indenture of any such Holder;</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comply with any requirements of the SEC in order to effect or maintain the qualification of the Indenture under the Trust Indenture</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780" w:hanging="259"/>
        <w:spacing w:after="0"/>
        <w:tabs>
          <w:tab w:leader="none" w:pos="1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remove a Guarantor which, in accordance with the terms of the Indenture, ceases to be liable in respect of its Subsidiary</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Guarantee;</w:t>
      </w:r>
    </w:p>
    <w:p>
      <w:pPr>
        <w:spacing w:after="0" w:line="224" w:lineRule="exact"/>
        <w:rPr>
          <w:rFonts w:ascii="Arial" w:cs="Arial" w:eastAsia="Arial" w:hAnsi="Arial"/>
          <w:sz w:val="17"/>
          <w:szCs w:val="17"/>
          <w:color w:val="auto"/>
        </w:rPr>
      </w:pPr>
    </w:p>
    <w:p>
      <w:pPr>
        <w:ind w:left="1780" w:hanging="259"/>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225" w:lineRule="exact"/>
        <w:rPr>
          <w:rFonts w:ascii="Arial" w:cs="Arial" w:eastAsia="Arial" w:hAnsi="Arial"/>
          <w:sz w:val="18"/>
          <w:szCs w:val="18"/>
          <w:color w:val="auto"/>
        </w:rPr>
      </w:pPr>
    </w:p>
    <w:p>
      <w:pPr>
        <w:ind w:left="760" w:right="40" w:firstLine="761"/>
        <w:spacing w:after="0" w:line="277" w:lineRule="auto"/>
        <w:tabs>
          <w:tab w:leader="none" w:pos="186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and</w:t>
      </w:r>
    </w:p>
    <w:p>
      <w:pPr>
        <w:spacing w:after="0" w:line="170" w:lineRule="exact"/>
        <w:rPr>
          <w:rFonts w:ascii="Arial" w:cs="Arial" w:eastAsia="Arial" w:hAnsi="Arial"/>
          <w:sz w:val="18"/>
          <w:szCs w:val="18"/>
          <w:color w:val="auto"/>
        </w:rPr>
      </w:pPr>
    </w:p>
    <w:p>
      <w:pPr>
        <w:ind w:left="1860" w:hanging="339"/>
        <w:spacing w:after="0"/>
        <w:tabs>
          <w:tab w:leader="none" w:pos="1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conform the Indenture or the Notes to this “Description of Notes.”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5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The Indenture and the provisions of the Trust Indenture Act contain certain limitations on the rights of the Trustee, should it become a creditor of the Company, to obtain payments of claims in certain cases or to realize on certain property received in respect of any such claim as security or otherwise. Subject to the Trust Indenture Act, the Trustee will be permitted to engage in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acquires any conflicting interest as described in the Trust Indenture Act, it must eliminate such conflict within 90 days, apply to the SEC for permission to continue or resign.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Trustee also serves as a lender under the Credit Agreement and as the trustee under the indenture governing the 2023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Issue Date</w:t>
      </w:r>
      <w:r>
        <w:rPr>
          <w:rFonts w:ascii="Arial" w:cs="Arial" w:eastAsia="Arial" w:hAnsi="Arial"/>
          <w:sz w:val="18"/>
          <w:szCs w:val="18"/>
          <w:color w:val="auto"/>
        </w:rPr>
        <w:t>” means January 14, 2010.</w:t>
      </w:r>
    </w:p>
    <w:p>
      <w:pPr>
        <w:spacing w:after="0" w:line="225" w:lineRule="exact"/>
        <w:rPr>
          <w:sz w:val="20"/>
          <w:szCs w:val="20"/>
          <w:color w:val="auto"/>
        </w:rPr>
      </w:pPr>
    </w:p>
    <w:p>
      <w:pPr>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w:t>
      </w:r>
      <w:r>
        <w:rPr>
          <w:rFonts w:ascii="Arial" w:cs="Arial" w:eastAsia="Arial" w:hAnsi="Arial"/>
          <w:sz w:val="18"/>
          <w:szCs w:val="18"/>
          <w:color w:val="auto"/>
        </w:rPr>
        <w:t>” means those certain 6.000% senior notes due 2023 issued by the Company to certain holders thereof under the 2023 Notes Indenture on the 2023 Notes Issue Date.</w:t>
      </w:r>
    </w:p>
    <w:p>
      <w:pPr>
        <w:spacing w:after="0" w:line="170" w:lineRule="exact"/>
        <w:rPr>
          <w:sz w:val="20"/>
          <w:szCs w:val="20"/>
          <w:color w:val="auto"/>
        </w:rPr>
      </w:pPr>
    </w:p>
    <w:p>
      <w:pPr>
        <w:ind w:right="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 Indenture</w:t>
      </w:r>
      <w:r>
        <w:rPr>
          <w:rFonts w:ascii="Arial" w:cs="Arial" w:eastAsia="Arial" w:hAnsi="Arial"/>
          <w:sz w:val="18"/>
          <w:szCs w:val="18"/>
          <w:color w:val="auto"/>
        </w:rPr>
        <w:t>” means that certain indenture among the Company, the Guarantors and the Trustee, dated as of October 13, 2015, as amended, supplemented and modified by that certain First Supplemental Indenture, dated as of May 26, 2016, as may be further amended, supplemented and modified.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68" w:right="259" w:bottom="1440" w:gutter="0" w:footer="0" w:header="0"/>
        </w:sectPr>
      </w:pPr>
    </w:p>
    <w:bookmarkStart w:id="69" w:name="page70"/>
    <w:bookmarkEnd w:id="69"/>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2023 Notes Issue Date</w:t>
      </w:r>
      <w:r>
        <w:rPr>
          <w:rFonts w:ascii="Arial" w:cs="Arial" w:eastAsia="Arial" w:hAnsi="Arial"/>
          <w:sz w:val="18"/>
          <w:szCs w:val="18"/>
          <w:color w:val="auto"/>
        </w:rPr>
        <w:t>” means October 13, 2015.</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760" w:right="120" w:firstLine="761"/>
        <w:spacing w:after="0" w:line="264" w:lineRule="auto"/>
        <w:tabs>
          <w:tab w:leader="none" w:pos="17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20"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760" w:right="80" w:firstLine="761"/>
        <w:spacing w:after="0" w:line="255" w:lineRule="auto"/>
        <w:tabs>
          <w:tab w:leader="none" w:pos="17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including by means of a Sale and Leaseback Transaction, but other than sales of inventory in the ordinary course of business consistent with past practices;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“-Merger, Consolidation or Sale of Assets” and not by the provisions of the “Offer to Repurchase by Application of Excess Proceeds of Asset Sales” covenant; and</w:t>
      </w:r>
    </w:p>
    <w:p>
      <w:pPr>
        <w:spacing w:after="0" w:line="193" w:lineRule="exact"/>
        <w:rPr>
          <w:rFonts w:ascii="Arial" w:cs="Arial" w:eastAsia="Arial" w:hAnsi="Arial"/>
          <w:sz w:val="18"/>
          <w:szCs w:val="18"/>
          <w:color w:val="auto"/>
        </w:rPr>
      </w:pPr>
    </w:p>
    <w:p>
      <w:pPr>
        <w:ind w:left="1780" w:hanging="259"/>
        <w:spacing w:after="0"/>
        <w:tabs>
          <w:tab w:leader="none" w:pos="17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issuance of Equity Interests by any of the Company’s Restricted Subsidiaries or the sale of Equity Interests in any of its</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225" w:lineRule="exact"/>
        <w:rPr>
          <w:sz w:val="20"/>
          <w:szCs w:val="20"/>
          <w:color w:val="auto"/>
        </w:rPr>
      </w:pPr>
    </w:p>
    <w:p>
      <w:pPr>
        <w:ind w:left="760" w:right="400" w:firstLine="761"/>
        <w:spacing w:after="0" w:line="308" w:lineRule="auto"/>
        <w:tabs>
          <w:tab w:leader="none" w:pos="1771"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(a) involves assets having an aggregate fair market value of less than $100.0 million; or (b) results in aggregate net proceeds to the Company and its Subsidiaries of less than $100.0 million;</w:t>
      </w:r>
    </w:p>
    <w:p>
      <w:pPr>
        <w:spacing w:after="0" w:line="146" w:lineRule="exact"/>
        <w:rPr>
          <w:rFonts w:ascii="Arial" w:cs="Arial" w:eastAsia="Arial" w:hAnsi="Arial"/>
          <w:sz w:val="17"/>
          <w:szCs w:val="17"/>
          <w:color w:val="auto"/>
        </w:rPr>
      </w:pPr>
    </w:p>
    <w:p>
      <w:pPr>
        <w:ind w:left="760" w:firstLine="761"/>
        <w:spacing w:after="0" w:line="257" w:lineRule="auto"/>
        <w:tabs>
          <w:tab w:leader="none" w:pos="17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transfer of assets (a) between or among the Company and its Restricted Subsidiaries, (b) by a Restricted Subsidiary to the Company or any of its Restricted Subsidiaries or (c) by the Company or any of its Restricted Subsidiaries to any Restricted Subsidiary of the Company that is not a Restricted Subsidiary if, in the case of this clause (c), the Company or the Restricted Subsidiary, as the case may be, either retains title to or ownership of the assets being transferred or receives consideration at the time of such transfer at least equal to the fair market value of the transferred assets;</w:t>
      </w:r>
    </w:p>
    <w:p>
      <w:pPr>
        <w:spacing w:after="0" w:line="188" w:lineRule="exact"/>
        <w:rPr>
          <w:rFonts w:ascii="Arial" w:cs="Arial" w:eastAsia="Arial" w:hAnsi="Arial"/>
          <w:sz w:val="18"/>
          <w:szCs w:val="18"/>
          <w:color w:val="auto"/>
        </w:rPr>
      </w:pPr>
    </w:p>
    <w:p>
      <w:pPr>
        <w:ind w:left="1780" w:hanging="259"/>
        <w:spacing w:after="0"/>
        <w:tabs>
          <w:tab w:leader="none" w:pos="1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 Restricted Subsidiary;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sale, transfer or discount of any receivables pursuant to a Receivables Financing that is otherwise permitted by the Indenture;</w:t>
      </w:r>
    </w:p>
    <w:p>
      <w:pPr>
        <w:spacing w:after="0" w:line="248" w:lineRule="exact"/>
        <w:rPr>
          <w:rFonts w:ascii="Arial" w:cs="Arial" w:eastAsia="Arial" w:hAnsi="Arial"/>
          <w:sz w:val="16"/>
          <w:szCs w:val="16"/>
          <w:color w:val="auto"/>
        </w:rPr>
      </w:pPr>
    </w:p>
    <w:p>
      <w:pPr>
        <w:ind w:left="760" w:right="100" w:firstLine="761"/>
        <w:spacing w:after="0" w:line="277" w:lineRule="auto"/>
        <w:tabs>
          <w:tab w:leader="none" w:pos="17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Permitted Investment or any Restricted Investment that is permitted by the covenant described above under the caption “Certain Covenants-Restricted Investments”;</w:t>
      </w:r>
    </w:p>
    <w:p>
      <w:pPr>
        <w:spacing w:after="0" w:line="183" w:lineRule="exact"/>
        <w:rPr>
          <w:rFonts w:ascii="Arial" w:cs="Arial" w:eastAsia="Arial" w:hAnsi="Arial"/>
          <w:sz w:val="18"/>
          <w:szCs w:val="18"/>
          <w:color w:val="auto"/>
        </w:rPr>
      </w:pPr>
    </w:p>
    <w:p>
      <w:pPr>
        <w:ind w:left="760" w:right="300" w:firstLine="761"/>
        <w:spacing w:after="0" w:line="342" w:lineRule="auto"/>
        <w:tabs>
          <w:tab w:leader="none" w:pos="1771"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123" w:lineRule="exact"/>
        <w:rPr>
          <w:rFonts w:ascii="Arial" w:cs="Arial" w:eastAsia="Arial" w:hAnsi="Arial"/>
          <w:sz w:val="16"/>
          <w:szCs w:val="16"/>
          <w:color w:val="auto"/>
        </w:rPr>
      </w:pPr>
    </w:p>
    <w:p>
      <w:pPr>
        <w:ind w:left="760" w:right="400" w:firstLine="761"/>
        <w:spacing w:after="0" w:line="277" w:lineRule="auto"/>
        <w:tabs>
          <w:tab w:leader="none" w:pos="17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governed by, and made in accordance with, “-Certain Covenants-Merger, Consolidation or Sale of Assets”;</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grant of Liens permitted by the covenant described under “-Certain Covenants-Liens” above;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70" w:name="page71"/>
    <w:bookmarkEnd w:id="70"/>
    <w:p>
      <w:pPr>
        <w:ind w:left="1780" w:hanging="259"/>
        <w:spacing w:after="0"/>
        <w:tabs>
          <w:tab w:leader="none" w:pos="1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surrender or waiver of contractual rights or the settlement, release or surrender of contract, tort or other claims of any kind; and</w:t>
      </w:r>
    </w:p>
    <w:p>
      <w:pPr>
        <w:spacing w:after="0" w:line="248" w:lineRule="exact"/>
        <w:rPr>
          <w:rFonts w:ascii="Arial" w:cs="Arial" w:eastAsia="Arial" w:hAnsi="Arial"/>
          <w:sz w:val="16"/>
          <w:szCs w:val="16"/>
          <w:color w:val="auto"/>
        </w:rPr>
      </w:pPr>
    </w:p>
    <w:p>
      <w:pPr>
        <w:ind w:left="760" w:right="40" w:firstLine="761"/>
        <w:spacing w:after="0" w:line="286" w:lineRule="auto"/>
        <w:tabs>
          <w:tab w:leader="none" w:pos="1861"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restructuring, regardless of whether accomplished by liquidation, contribution, distribution, merger or any other technique, whereby the ownership of Foreign Subsidiaries is changed, so long as each such Foreign Subsidiary that is a Restricted Subsidiary of the Company prior to such restructuring remains, directly or indirectly, a Restricted Subsidiary of the Company after such restructuring.</w:t>
      </w:r>
    </w:p>
    <w:p>
      <w:pPr>
        <w:spacing w:after="0" w:line="166" w:lineRule="exact"/>
        <w:rPr>
          <w:sz w:val="20"/>
          <w:szCs w:val="20"/>
          <w:color w:val="auto"/>
        </w:rPr>
      </w:pPr>
    </w:p>
    <w:p>
      <w:pPr>
        <w:ind w:right="3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 and Leaseback Transaction, means, as at the time of determination, the present value (discounted at a rate borne by the Notes, compounded on a semiannual basis) of the total obligations of the lessee for rental payments during the remaining term of the lease included in any such Sale and Leaseback Transaction.</w:t>
      </w:r>
    </w:p>
    <w:p>
      <w:pPr>
        <w:spacing w:after="0" w:line="181" w:lineRule="exact"/>
        <w:rPr>
          <w:sz w:val="20"/>
          <w:szCs w:val="20"/>
          <w:color w:val="auto"/>
        </w:rPr>
      </w:pPr>
    </w:p>
    <w:p>
      <w:pPr>
        <w:ind w:right="2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Net Indebtedness</w:t>
      </w:r>
      <w:r>
        <w:rPr>
          <w:rFonts w:ascii="Arial" w:cs="Arial" w:eastAsia="Arial" w:hAnsi="Arial"/>
          <w:sz w:val="18"/>
          <w:szCs w:val="18"/>
          <w:color w:val="auto"/>
        </w:rPr>
        <w:t>” means the average of the Net Indebtedness of the Company at the end of each of the four fiscal quarters comprising the Reference Period for which the Leverage Ratio is being calculated.</w:t>
      </w:r>
    </w:p>
    <w:p>
      <w:pPr>
        <w:spacing w:after="0" w:line="170" w:lineRule="exact"/>
        <w:rPr>
          <w:sz w:val="20"/>
          <w:szCs w:val="20"/>
          <w:color w:val="auto"/>
        </w:rPr>
      </w:pPr>
    </w:p>
    <w:p>
      <w:pPr>
        <w:ind w:right="26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87" w:lineRule="exact"/>
        <w:rPr>
          <w:sz w:val="20"/>
          <w:szCs w:val="20"/>
          <w:color w:val="auto"/>
        </w:rPr>
      </w:pPr>
    </w:p>
    <w:p>
      <w:pPr>
        <w:ind w:right="4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manager, member or similar governing body of such Person or any duly authorized committee thereof.</w:t>
      </w:r>
    </w:p>
    <w:p>
      <w:pPr>
        <w:spacing w:after="0" w:line="170" w:lineRule="exact"/>
        <w:rPr>
          <w:sz w:val="20"/>
          <w:szCs w:val="20"/>
          <w:color w:val="auto"/>
        </w:rPr>
      </w:pPr>
    </w:p>
    <w:p>
      <w:pPr>
        <w:jc w:val="both"/>
        <w:ind w:right="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with respect to any Person, a copy of a resolution certified by the Secretary or an Assistant Secretary of such Person to have been duly adopted by the Board of Directors of such Person (or any duly authorized committee thereof) and to be in full force and effect on the date of such certification, and delivered to the Trustee.</w:t>
      </w:r>
    </w:p>
    <w:p>
      <w:pPr>
        <w:spacing w:after="0" w:line="181" w:lineRule="exact"/>
        <w:rPr>
          <w:sz w:val="20"/>
          <w:szCs w:val="20"/>
          <w:color w:val="auto"/>
        </w:rPr>
      </w:pPr>
    </w:p>
    <w:p>
      <w:pPr>
        <w:ind w:right="1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banking institutions in New York are authorized or required by law to close.</w:t>
      </w:r>
    </w:p>
    <w:p>
      <w:pPr>
        <w:spacing w:after="0" w:line="170" w:lineRule="exact"/>
        <w:rPr>
          <w:sz w:val="20"/>
          <w:szCs w:val="20"/>
          <w:color w:val="auto"/>
        </w:rPr>
      </w:pPr>
    </w:p>
    <w:p>
      <w:pPr>
        <w:ind w:right="1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780" w:hanging="259"/>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760" w:right="480" w:firstLine="761"/>
        <w:spacing w:after="0" w:line="277" w:lineRule="auto"/>
        <w:tabs>
          <w:tab w:leader="none" w:pos="17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3" w:lineRule="exact"/>
        <w:rPr>
          <w:rFonts w:ascii="Arial" w:cs="Arial" w:eastAsia="Arial" w:hAnsi="Arial"/>
          <w:sz w:val="18"/>
          <w:szCs w:val="18"/>
          <w:color w:val="auto"/>
        </w:rPr>
      </w:pPr>
    </w:p>
    <w:p>
      <w:pPr>
        <w:ind w:left="1780" w:hanging="259"/>
        <w:spacing w:after="0"/>
        <w:tabs>
          <w:tab w:leader="none" w:pos="17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236" w:lineRule="exact"/>
        <w:rPr>
          <w:rFonts w:ascii="Arial" w:cs="Arial" w:eastAsia="Arial" w:hAnsi="Arial"/>
          <w:sz w:val="17"/>
          <w:szCs w:val="17"/>
          <w:color w:val="auto"/>
        </w:rPr>
      </w:pPr>
    </w:p>
    <w:p>
      <w:pPr>
        <w:ind w:left="760" w:right="60" w:firstLine="761"/>
        <w:spacing w:after="0" w:line="277" w:lineRule="auto"/>
        <w:tabs>
          <w:tab w:leader="none" w:pos="1771"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left="760" w:right="360" w:firstLine="761"/>
        <w:spacing w:after="0" w:line="342" w:lineRule="auto"/>
        <w:tabs>
          <w:tab w:leader="none" w:pos="1761"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123" w:lineRule="exact"/>
        <w:rPr>
          <w:rFonts w:ascii="Arial" w:cs="Arial" w:eastAsia="Arial" w:hAnsi="Arial"/>
          <w:sz w:val="16"/>
          <w:szCs w:val="16"/>
          <w:color w:val="auto"/>
        </w:rPr>
      </w:pPr>
    </w:p>
    <w:p>
      <w:pPr>
        <w:ind w:left="760" w:firstLine="761"/>
        <w:spacing w:after="0" w:line="257" w:lineRule="auto"/>
        <w:tabs>
          <w:tab w:leader="none" w:pos="17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(i) under the laws of the United States or any state thereof (ii) under the laws of any member state of the European Union or political subdivision thereof or (iii) under the laws of any other sovereign nation or political subdivision thereof not targeted for sanctions by the Office of Foreign Assets Control of the U.S. Department of Treasury, in each case to the extent having combined capital and surplus of not less than $300,000,000;</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368" w:right="259" w:bottom="1440" w:gutter="0" w:footer="0" w:header="0"/>
        </w:sectPr>
      </w:pPr>
    </w:p>
    <w:bookmarkStart w:id="71" w:name="page72"/>
    <w:bookmarkEnd w:id="71"/>
    <w:p>
      <w:pPr>
        <w:ind w:left="760" w:right="260" w:firstLine="761"/>
        <w:spacing w:after="0" w:line="264" w:lineRule="auto"/>
        <w:tabs>
          <w:tab w:leader="none" w:pos="17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w:t>
      </w:r>
    </w:p>
    <w:p>
      <w:pPr>
        <w:spacing w:after="0" w:line="181" w:lineRule="exact"/>
        <w:rPr>
          <w:rFonts w:ascii="Arial" w:cs="Arial" w:eastAsia="Arial" w:hAnsi="Arial"/>
          <w:sz w:val="18"/>
          <w:szCs w:val="18"/>
          <w:color w:val="auto"/>
        </w:rPr>
      </w:pPr>
    </w:p>
    <w:p>
      <w:pPr>
        <w:ind w:left="760" w:right="60" w:firstLine="761"/>
        <w:spacing w:after="0" w:line="277" w:lineRule="auto"/>
        <w:tabs>
          <w:tab w:leader="none" w:pos="1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(b) of this definition, having a term of not more than 30 days, with respect to securities issued or fully guaranteed or insured by the United States government;</w:t>
      </w:r>
    </w:p>
    <w:p>
      <w:pPr>
        <w:spacing w:after="0" w:line="170" w:lineRule="exact"/>
        <w:rPr>
          <w:rFonts w:ascii="Arial" w:cs="Arial" w:eastAsia="Arial" w:hAnsi="Arial"/>
          <w:sz w:val="18"/>
          <w:szCs w:val="18"/>
          <w:color w:val="auto"/>
        </w:rPr>
      </w:pPr>
    </w:p>
    <w:p>
      <w:pPr>
        <w:ind w:left="760" w:right="140" w:firstLine="761"/>
        <w:spacing w:after="0" w:line="259" w:lineRule="auto"/>
        <w:tabs>
          <w:tab w:leader="none" w:pos="17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86" w:lineRule="exact"/>
        <w:rPr>
          <w:rFonts w:ascii="Arial" w:cs="Arial" w:eastAsia="Arial" w:hAnsi="Arial"/>
          <w:sz w:val="18"/>
          <w:szCs w:val="18"/>
          <w:color w:val="auto"/>
        </w:rPr>
      </w:pPr>
    </w:p>
    <w:p>
      <w:pPr>
        <w:ind w:left="760" w:firstLine="761"/>
        <w:spacing w:after="0" w:line="277" w:lineRule="auto"/>
        <w:tabs>
          <w:tab w:leader="none" w:pos="17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satisfying the requirements of clause (b) of this definition;</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money market mutual or similar funds that invest exclusively in assets satisfying the requirements of clauses (a) through (f) of this</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definition; or</w:t>
      </w:r>
    </w:p>
    <w:p>
      <w:pPr>
        <w:spacing w:after="0" w:line="210" w:lineRule="exact"/>
        <w:rPr>
          <w:rFonts w:ascii="Arial" w:cs="Arial" w:eastAsia="Arial" w:hAnsi="Arial"/>
          <w:sz w:val="16"/>
          <w:szCs w:val="16"/>
          <w:color w:val="auto"/>
        </w:rPr>
      </w:pPr>
    </w:p>
    <w:p>
      <w:pPr>
        <w:ind w:left="760" w:right="440" w:firstLine="761"/>
        <w:spacing w:after="0" w:line="277" w:lineRule="auto"/>
        <w:tabs>
          <w:tab w:leader="none" w:pos="1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left="760" w:firstLine="761"/>
        <w:spacing w:after="0" w:line="264" w:lineRule="auto"/>
        <w:tabs>
          <w:tab w:leader="none" w:pos="173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195" w:lineRule="exact"/>
        <w:rPr>
          <w:sz w:val="20"/>
          <w:szCs w:val="20"/>
          <w:color w:val="auto"/>
        </w:rPr>
      </w:pPr>
    </w:p>
    <w:p>
      <w:pPr>
        <w:ind w:left="1780" w:hanging="259"/>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225" w:lineRule="exact"/>
        <w:rPr>
          <w:rFonts w:ascii="Arial" w:cs="Arial" w:eastAsia="Arial" w:hAnsi="Arial"/>
          <w:sz w:val="18"/>
          <w:szCs w:val="18"/>
          <w:color w:val="auto"/>
        </w:rPr>
      </w:pPr>
    </w:p>
    <w:p>
      <w:pPr>
        <w:ind w:left="760" w:right="300" w:firstLine="761"/>
        <w:spacing w:after="0" w:line="264" w:lineRule="auto"/>
        <w:tabs>
          <w:tab w:leader="none" w:pos="17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50% or more of the Voting Stock of the Company, measured by voting power rather than number of shares; or</w:t>
      </w:r>
    </w:p>
    <w:p>
      <w:pPr>
        <w:spacing w:after="0" w:line="181" w:lineRule="exact"/>
        <w:rPr>
          <w:rFonts w:ascii="Arial" w:cs="Arial" w:eastAsia="Arial" w:hAnsi="Arial"/>
          <w:sz w:val="18"/>
          <w:szCs w:val="18"/>
          <w:color w:val="auto"/>
        </w:rPr>
      </w:pPr>
    </w:p>
    <w:p>
      <w:pPr>
        <w:ind w:left="760" w:firstLine="761"/>
        <w:spacing w:after="0" w:line="297" w:lineRule="auto"/>
        <w:tabs>
          <w:tab w:leader="none" w:pos="17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consolidation or merger of the Company with or into any Person, or the consolidation or merger of any Person with or into the Company, in any such event pursuant to a transaction in which any of the 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58" w:lineRule="exact"/>
        <w:rPr>
          <w:sz w:val="20"/>
          <w:szCs w:val="20"/>
          <w:color w:val="auto"/>
        </w:rPr>
      </w:pPr>
    </w:p>
    <w:p>
      <w:pPr>
        <w:ind w:right="1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ind w:right="3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170" w:lineRule="exact"/>
        <w:rPr>
          <w:sz w:val="20"/>
          <w:szCs w:val="20"/>
          <w:color w:val="auto"/>
        </w:rPr>
      </w:pPr>
    </w:p>
    <w:p>
      <w:pPr>
        <w:ind w:left="760" w:right="180" w:firstLine="761"/>
        <w:spacing w:after="0" w:line="277" w:lineRule="auto"/>
        <w:tabs>
          <w:tab w:leader="none" w:pos="17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left="760" w:right="80" w:firstLine="761"/>
        <w:spacing w:after="0" w:line="257" w:lineRule="auto"/>
        <w:tabs>
          <w:tab w:leader="none" w:pos="17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68" w:right="259" w:bottom="1440" w:gutter="0" w:footer="0" w:header="0"/>
        </w:sectPr>
      </w:pPr>
    </w:p>
    <w:bookmarkStart w:id="72" w:name="page73"/>
    <w:bookmarkEnd w:id="72"/>
    <w:p>
      <w:pPr>
        <w:ind w:left="760" w:right="500"/>
        <w:spacing w:after="0" w:line="277" w:lineRule="auto"/>
        <w:rPr>
          <w:sz w:val="20"/>
          <w:szCs w:val="20"/>
          <w:color w:val="auto"/>
        </w:rPr>
      </w:pPr>
      <w:r>
        <w:rPr>
          <w:rFonts w:ascii="Arial" w:cs="Arial" w:eastAsia="Arial" w:hAnsi="Arial"/>
          <w:sz w:val="18"/>
          <w:szCs w:val="18"/>
          <w:color w:val="auto"/>
        </w:rPr>
        <w:t xml:space="preserve">Hedging Obligations but excluding amortization of debt issuance costs), to the extent that any such expense was deducted in computing such Consolidated Net Income; </w:t>
      </w:r>
      <w:r>
        <w:rPr>
          <w:rFonts w:ascii="Arial" w:cs="Arial" w:eastAsia="Arial" w:hAnsi="Arial"/>
          <w:sz w:val="18"/>
          <w:szCs w:val="18"/>
          <w:i w:val="1"/>
          <w:iCs w:val="1"/>
          <w:color w:val="auto"/>
        </w:rPr>
        <w:t>plus</w:t>
      </w:r>
    </w:p>
    <w:p>
      <w:pPr>
        <w:spacing w:after="0" w:line="170" w:lineRule="exact"/>
        <w:rPr>
          <w:sz w:val="20"/>
          <w:szCs w:val="20"/>
          <w:color w:val="auto"/>
        </w:rPr>
      </w:pPr>
    </w:p>
    <w:p>
      <w:pPr>
        <w:ind w:left="760" w:right="100" w:firstLine="761"/>
        <w:spacing w:after="0" w:line="255" w:lineRule="auto"/>
        <w:tabs>
          <w:tab w:leader="none" w:pos="17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(or </w:t>
      </w:r>
      <w:r>
        <w:rPr>
          <w:rFonts w:ascii="Arial" w:cs="Arial" w:eastAsia="Arial" w:hAnsi="Arial"/>
          <w:sz w:val="18"/>
          <w:szCs w:val="18"/>
          <w:i w:val="1"/>
          <w:iCs w:val="1"/>
          <w:color w:val="auto"/>
        </w:rPr>
        <w:t>minus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780" w:hanging="259"/>
        <w:spacing w:after="0"/>
        <w:tabs>
          <w:tab w:leader="none" w:pos="1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for purposes of calculating the Fixed Charge Coverage Ratio only, any non-recurring expenses or losses (or income or gains); </w:t>
      </w:r>
      <w:r>
        <w:rPr>
          <w:rFonts w:ascii="Arial" w:cs="Arial" w:eastAsia="Arial" w:hAnsi="Arial"/>
          <w:sz w:val="16"/>
          <w:szCs w:val="16"/>
          <w:i w:val="1"/>
          <w:iCs w:val="1"/>
          <w:color w:val="auto"/>
        </w:rPr>
        <w:t>minus</w:t>
      </w:r>
    </w:p>
    <w:p>
      <w:pPr>
        <w:spacing w:after="0" w:line="248" w:lineRule="exact"/>
        <w:rPr>
          <w:rFonts w:ascii="Arial" w:cs="Arial" w:eastAsia="Arial" w:hAnsi="Arial"/>
          <w:sz w:val="16"/>
          <w:szCs w:val="16"/>
          <w:color w:val="auto"/>
        </w:rPr>
      </w:pPr>
    </w:p>
    <w:p>
      <w:pPr>
        <w:ind w:left="1780" w:hanging="259"/>
        <w:spacing w:after="0"/>
        <w:tabs>
          <w:tab w:leader="none" w:pos="1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for such Person and its Restricted Subsidiaries and determined in accordance with GAAP.</w:t>
      </w:r>
    </w:p>
    <w:p>
      <w:pPr>
        <w:spacing w:after="0" w:line="239" w:lineRule="exact"/>
        <w:rPr>
          <w:sz w:val="20"/>
          <w:szCs w:val="20"/>
          <w:color w:val="auto"/>
        </w:rPr>
      </w:pPr>
    </w:p>
    <w:p>
      <w:pPr>
        <w:ind w:right="80" w:firstLine="756"/>
        <w:spacing w:after="0" w:line="255"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 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1" w:lineRule="exact"/>
        <w:rPr>
          <w:sz w:val="20"/>
          <w:szCs w:val="20"/>
          <w:color w:val="auto"/>
        </w:rPr>
      </w:pPr>
    </w:p>
    <w:p>
      <w:pPr>
        <w:ind w:left="760" w:right="220" w:firstLine="761"/>
        <w:spacing w:after="0" w:line="264" w:lineRule="auto"/>
        <w:tabs>
          <w:tab w:leader="none" w:pos="177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(i) accounted for by the equity method of accounting or is not a Restricted Subsidiary or (ii) an Unrestricted Subsidiary shall, in each case, be included only to the extent of the amount of dividends or distributions paid in cash to the specified Person or a Restricted Subsidiary thereof;</w:t>
      </w:r>
    </w:p>
    <w:p>
      <w:pPr>
        <w:spacing w:after="0" w:line="181" w:lineRule="exact"/>
        <w:rPr>
          <w:rFonts w:ascii="Arial" w:cs="Arial" w:eastAsia="Arial" w:hAnsi="Arial"/>
          <w:sz w:val="18"/>
          <w:szCs w:val="18"/>
          <w:color w:val="auto"/>
        </w:rPr>
      </w:pPr>
    </w:p>
    <w:p>
      <w:pPr>
        <w:ind w:left="760" w:right="20" w:firstLine="761"/>
        <w:spacing w:after="0" w:line="273" w:lineRule="auto"/>
        <w:tabs>
          <w:tab w:leader="none" w:pos="1771"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2018 Notes Issue Date and other than restrictions that are created or exist in compliance with the covenant under the caption “-Certain Covenants-Dividend and Other Payment Restrictions Affecting Subsidiaries”); and</w:t>
      </w:r>
    </w:p>
    <w:p>
      <w:pPr>
        <w:spacing w:after="0" w:line="178" w:lineRule="exact"/>
        <w:rPr>
          <w:rFonts w:ascii="Arial" w:cs="Arial" w:eastAsia="Arial" w:hAnsi="Arial"/>
          <w:sz w:val="17"/>
          <w:szCs w:val="17"/>
          <w:color w:val="auto"/>
        </w:rPr>
      </w:pPr>
    </w:p>
    <w:p>
      <w:pPr>
        <w:ind w:left="1780" w:hanging="259"/>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25" w:lineRule="exact"/>
        <w:rPr>
          <w:sz w:val="20"/>
          <w:szCs w:val="20"/>
          <w:color w:val="auto"/>
        </w:rPr>
      </w:pPr>
    </w:p>
    <w:p>
      <w:pPr>
        <w:ind w:right="100"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of the Company as of any date means all amounts that would, in accordance with GAAP, be set forth opposite the caption “total assets” (or any like caption) on the consolidated balance sheet of the Company and its Restricted Subsidiaries on the last day of the fiscal quarter immediately preceding such date for which internal financial statements are available at the time of calculation, after giving pro forma effect to all transactions occurring subsequent to the end of such fiscal quarter and on or prior to such date of calculation which gave or gives rise to the need to calculate Consolidated Total Assets.</w:t>
      </w:r>
    </w:p>
    <w:p>
      <w:pPr>
        <w:spacing w:after="0" w:line="188" w:lineRule="exact"/>
        <w:rPr>
          <w:sz w:val="20"/>
          <w:szCs w:val="20"/>
          <w:color w:val="auto"/>
        </w:rPr>
      </w:pPr>
    </w:p>
    <w:p>
      <w:pPr>
        <w:ind w:right="22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Fourth Amended and Restated Credit Agreement, dated as of October 29, 2015, by and among the Company, the subsidiary borrowers parties thereto and the banks and other financial institutions from time to time parties thereto as agents and lenders, and any related notes, guarantees, collateral documents, instruments and agreements executed in connection therewith, and in each case as amended, modified, renewed, refunded, replaced or refinanced from time to time.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with respect to the Company or any of its Restricted Subsidiaries: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 the Credit Agreement;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sectPr>
      </w:pPr>
    </w:p>
    <w:bookmarkStart w:id="73" w:name="page74"/>
    <w:bookmarkEnd w:id="73"/>
    <w:p>
      <w:pPr>
        <w:ind w:left="760" w:right="20" w:firstLine="761"/>
        <w:spacing w:after="0" w:line="271" w:lineRule="auto"/>
        <w:tabs>
          <w:tab w:leader="none" w:pos="1771"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one or more debt facilities (which may be outstanding at the same time)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w:t>
      </w:r>
    </w:p>
    <w:p>
      <w:pPr>
        <w:spacing w:after="0" w:line="179" w:lineRule="exact"/>
        <w:rPr>
          <w:sz w:val="20"/>
          <w:szCs w:val="20"/>
          <w:color w:val="auto"/>
        </w:rPr>
      </w:pPr>
    </w:p>
    <w:p>
      <w:pPr>
        <w:ind w:right="2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60" w:firstLine="7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193" w:lineRule="exact"/>
        <w:rPr>
          <w:sz w:val="20"/>
          <w:szCs w:val="20"/>
          <w:color w:val="auto"/>
        </w:rPr>
      </w:pPr>
    </w:p>
    <w:p>
      <w:pPr>
        <w:ind w:right="3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Restricted Subsidiary</w:t>
      </w:r>
      <w:r>
        <w:rPr>
          <w:rFonts w:ascii="Arial" w:cs="Arial" w:eastAsia="Arial" w:hAnsi="Arial"/>
          <w:sz w:val="18"/>
          <w:szCs w:val="18"/>
          <w:color w:val="auto"/>
        </w:rPr>
        <w:t>” means, with respect to the Company, any Restricted Subsidiary that was formed under the laws of the United States of America, any State thereof or the District of Columbia.</w:t>
      </w:r>
    </w:p>
    <w:p>
      <w:pPr>
        <w:spacing w:after="0" w:line="170" w:lineRule="exact"/>
        <w:rPr>
          <w:sz w:val="20"/>
          <w:szCs w:val="20"/>
          <w:color w:val="auto"/>
        </w:rPr>
      </w:pPr>
    </w:p>
    <w:p>
      <w:pPr>
        <w:ind w:right="3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2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181" w:lineRule="exact"/>
        <w:rPr>
          <w:sz w:val="20"/>
          <w:szCs w:val="20"/>
          <w:color w:val="auto"/>
        </w:rPr>
      </w:pPr>
    </w:p>
    <w:p>
      <w:pPr>
        <w:ind w:right="60" w:firstLine="7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Exclusive Agency and Marketing Agreement</w:t>
      </w:r>
      <w:r>
        <w:rPr>
          <w:rFonts w:ascii="Arial" w:cs="Arial" w:eastAsia="Arial" w:hAnsi="Arial"/>
          <w:sz w:val="17"/>
          <w:szCs w:val="17"/>
          <w:color w:val="auto"/>
        </w:rPr>
        <w:t>” means the Amended and Restated Exclusive Agency and Marketing Agreement between The Scotts Company LLC and Monsanto Company, dated as of September 30, 1998 (as amended as of March 10, 2005 and March 28, 2008 and by that certain Amendment to Amended and Restated Exclusive Agency and Marketing Agreement between The Scotts Company LLC and Monsanto Company, dated as of May 15, 2015), as the same may be amended, modified, restated, extended, renewed or replaced from time to time.</w:t>
      </w:r>
    </w:p>
    <w:p>
      <w:pPr>
        <w:spacing w:after="0" w:line="171" w:lineRule="exact"/>
        <w:rPr>
          <w:sz w:val="20"/>
          <w:szCs w:val="20"/>
          <w:color w:val="auto"/>
        </w:rPr>
      </w:pPr>
    </w:p>
    <w:p>
      <w:pPr>
        <w:ind w:right="4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the Company and its Restricted Subsidiaries (other than Indebtedness under the 2023 Notes and the Credit Agreement) in existence on the date of the Indenture, until such amounts are repaid.</w:t>
      </w:r>
    </w:p>
    <w:p>
      <w:pPr>
        <w:spacing w:after="0" w:line="170" w:lineRule="exact"/>
        <w:rPr>
          <w:sz w:val="20"/>
          <w:szCs w:val="20"/>
          <w:color w:val="auto"/>
        </w:rPr>
      </w:pPr>
    </w:p>
    <w:p>
      <w:pPr>
        <w:ind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137" w:lineRule="exact"/>
        <w:rPr>
          <w:sz w:val="20"/>
          <w:szCs w:val="20"/>
          <w:color w:val="auto"/>
        </w:rPr>
      </w:pPr>
    </w:p>
    <w:p>
      <w:pPr>
        <w:ind w:firstLine="7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(for purposes of this definition, the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Period</w:t>
      </w:r>
      <w:r>
        <w:rPr>
          <w:rFonts w:ascii="Arial" w:cs="Arial" w:eastAsia="Arial" w:hAnsi="Arial"/>
          <w:sz w:val="16"/>
          <w:szCs w:val="16"/>
          <w:color w:val="auto"/>
        </w:rPr>
        <w:t>”), the ratio of Consolidated Cash Flow of such Person for the Reference Period to the Fixed Charges of such Person for the Reference Period.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in each case, after the end of the Reference Period and on or prior to the date of the event for which the calculation of the Fixed Charge Coverage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shall be calculated giving pro forma effect to such incurrence, assumption, Guarantee, redemption or other repayment of Indebtedness, or such issuance or redemption of preferred stock and all other such incurrences, assumptions, Guarantees, redemptions, repayments or issuances that occurred after the first day of the Reference Period and on or prior to the Calculation Date, in each case, as if the same had occurred at the beginning of the Reference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74" w:name="page75"/>
    <w:bookmarkEnd w:id="74"/>
    <w:p>
      <w:pPr>
        <w:ind w:left="7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ind w:left="760" w:right="20" w:firstLine="761"/>
        <w:spacing w:after="0" w:line="312" w:lineRule="auto"/>
        <w:tabs>
          <w:tab w:leader="none" w:pos="1771" w:val="left"/>
        </w:tabs>
        <w:numPr>
          <w:ilvl w:val="0"/>
          <w:numId w:val="91"/>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46" w:lineRule="exact"/>
        <w:rPr>
          <w:rFonts w:ascii="Arial" w:cs="Arial" w:eastAsia="Arial" w:hAnsi="Arial"/>
          <w:sz w:val="16"/>
          <w:szCs w:val="16"/>
          <w:color w:val="auto"/>
        </w:rPr>
      </w:pPr>
    </w:p>
    <w:p>
      <w:pPr>
        <w:ind w:left="1780" w:hanging="259"/>
        <w:spacing w:after="0"/>
        <w:tabs>
          <w:tab w:leader="none" w:pos="1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 and</w:t>
      </w:r>
    </w:p>
    <w:p>
      <w:pPr>
        <w:spacing w:after="0" w:line="248" w:lineRule="exact"/>
        <w:rPr>
          <w:rFonts w:ascii="Arial" w:cs="Arial" w:eastAsia="Arial" w:hAnsi="Arial"/>
          <w:sz w:val="16"/>
          <w:szCs w:val="16"/>
          <w:color w:val="auto"/>
        </w:rPr>
      </w:pPr>
    </w:p>
    <w:p>
      <w:pPr>
        <w:ind w:left="760" w:right="60" w:firstLine="761"/>
        <w:spacing w:after="0" w:line="264" w:lineRule="auto"/>
        <w:tabs>
          <w:tab w:leader="none" w:pos="177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225" w:lineRule="exact"/>
        <w:rPr>
          <w:sz w:val="20"/>
          <w:szCs w:val="20"/>
          <w:color w:val="auto"/>
        </w:rPr>
      </w:pPr>
    </w:p>
    <w:p>
      <w:pPr>
        <w:ind w:left="760" w:right="120" w:firstLine="761"/>
        <w:spacing w:after="0" w:line="276" w:lineRule="auto"/>
        <w:tabs>
          <w:tab w:leader="none" w:pos="1771"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and other non-cash amortization; </w:t>
      </w:r>
      <w:r>
        <w:rPr>
          <w:rFonts w:ascii="Arial" w:cs="Arial" w:eastAsia="Arial" w:hAnsi="Arial"/>
          <w:sz w:val="17"/>
          <w:szCs w:val="17"/>
          <w:i w:val="1"/>
          <w:iCs w:val="1"/>
          <w:color w:val="auto"/>
        </w:rPr>
        <w:t>plus</w:t>
      </w:r>
    </w:p>
    <w:p>
      <w:pPr>
        <w:spacing w:after="0" w:line="172" w:lineRule="exact"/>
        <w:rPr>
          <w:rFonts w:ascii="Arial" w:cs="Arial" w:eastAsia="Arial" w:hAnsi="Arial"/>
          <w:sz w:val="17"/>
          <w:szCs w:val="17"/>
          <w:color w:val="auto"/>
        </w:rPr>
      </w:pPr>
    </w:p>
    <w:p>
      <w:pPr>
        <w:ind w:left="1780" w:hanging="259"/>
        <w:spacing w:after="0"/>
        <w:tabs>
          <w:tab w:leader="none" w:pos="1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760" w:right="340" w:firstLine="761"/>
        <w:spacing w:after="0" w:line="342" w:lineRule="auto"/>
        <w:tabs>
          <w:tab w:leader="none" w:pos="1771"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23" w:lineRule="exact"/>
        <w:rPr>
          <w:rFonts w:ascii="Arial" w:cs="Arial" w:eastAsia="Arial" w:hAnsi="Arial"/>
          <w:sz w:val="16"/>
          <w:szCs w:val="16"/>
          <w:color w:val="auto"/>
        </w:rPr>
      </w:pPr>
    </w:p>
    <w:p>
      <w:pPr>
        <w:ind w:left="760" w:right="180" w:firstLine="761"/>
        <w:spacing w:after="0" w:line="257" w:lineRule="auto"/>
        <w:tabs>
          <w:tab w:leader="none" w:pos="17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202" w:lineRule="exact"/>
        <w:rPr>
          <w:sz w:val="20"/>
          <w:szCs w:val="20"/>
          <w:color w:val="auto"/>
        </w:rPr>
      </w:pPr>
    </w:p>
    <w:p>
      <w:pPr>
        <w:ind w:right="1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Subsidiary that was not formed under the laws of the United States of America or any state thereof.</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on the Issue Date.</w:t>
      </w:r>
    </w:p>
    <w:p>
      <w:pPr>
        <w:spacing w:after="0" w:line="225" w:lineRule="exact"/>
        <w:rPr>
          <w:sz w:val="20"/>
          <w:szCs w:val="20"/>
          <w:color w:val="auto"/>
        </w:rPr>
      </w:pPr>
    </w:p>
    <w:p>
      <w:pPr>
        <w:ind w:right="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w:t>
      </w:r>
    </w:p>
    <w:p>
      <w:pPr>
        <w:spacing w:after="0" w:line="225" w:lineRule="exact"/>
        <w:rPr>
          <w:sz w:val="20"/>
          <w:szCs w:val="20"/>
          <w:color w:val="auto"/>
        </w:rPr>
      </w:pPr>
    </w:p>
    <w:p>
      <w:pPr>
        <w:ind w:left="760" w:firstLine="761"/>
        <w:spacing w:after="0" w:line="264" w:lineRule="auto"/>
        <w:tabs>
          <w:tab w:leader="none" w:pos="17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Restricted Subsidiary of the Company on the date of the Indenture, except for Foreign Subsidiaries and AeroGrow International, Inc., a Nevada corporation; American Agritech, L.L.C., an Arizona limited liability company; Scotts Global Services, Inc., an Ohio corporation; Scotts Global Investments, Inc., a Delaware corporation; and Teak 2, Ltd., a Delaware corporation; and</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other Subsidiary of the Company that executes a Subsidiary Guarantee in accordance with the provisions of the Indenture;</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the Indenture.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68" w:right="259" w:bottom="1440" w:gutter="0" w:footer="0" w:header="0"/>
        </w:sectPr>
      </w:pPr>
    </w:p>
    <w:bookmarkStart w:id="75" w:name="page76"/>
    <w:bookmarkEnd w:id="75"/>
    <w:p>
      <w:pPr>
        <w:ind w:right="380"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at any time (without duplication), with respect to any Person, whether recourse is to all or a portion of the assets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or non-recourse, the following:</w:t>
      </w:r>
    </w:p>
    <w:p>
      <w:pPr>
        <w:spacing w:after="0" w:line="211" w:lineRule="exact"/>
        <w:rPr>
          <w:sz w:val="20"/>
          <w:szCs w:val="20"/>
          <w:color w:val="auto"/>
        </w:rPr>
      </w:pPr>
    </w:p>
    <w:p>
      <w:pPr>
        <w:ind w:left="760" w:right="240" w:firstLine="761"/>
        <w:spacing w:after="0" w:line="277" w:lineRule="auto"/>
        <w:tabs>
          <w:tab w:leader="none" w:pos="173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any trade payables or other current liabilities incurred in the ordinary course of business;</w:t>
      </w:r>
    </w:p>
    <w:p>
      <w:pPr>
        <w:spacing w:after="0" w:line="170" w:lineRule="exact"/>
        <w:rPr>
          <w:rFonts w:ascii="Arial" w:cs="Arial" w:eastAsia="Arial" w:hAnsi="Arial"/>
          <w:sz w:val="18"/>
          <w:szCs w:val="18"/>
          <w:color w:val="auto"/>
        </w:rPr>
      </w:pPr>
    </w:p>
    <w:p>
      <w:pPr>
        <w:ind w:left="1780" w:hanging="259"/>
        <w:spacing w:after="0"/>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25" w:lineRule="exact"/>
        <w:rPr>
          <w:rFonts w:ascii="Arial" w:cs="Arial" w:eastAsia="Arial" w:hAnsi="Arial"/>
          <w:sz w:val="18"/>
          <w:szCs w:val="18"/>
          <w:color w:val="auto"/>
        </w:rPr>
      </w:pPr>
    </w:p>
    <w:p>
      <w:pPr>
        <w:ind w:left="760" w:right="40" w:firstLine="761"/>
        <w:spacing w:after="0" w:line="277" w:lineRule="auto"/>
        <w:tabs>
          <w:tab w:leader="none" w:pos="183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unpaid reimbursement obligations of such Person with respect to letters of credit, bankers’ acceptances or similar facilities issued for the account of such Person (other than to the extent secured by cash or Cash Equivalents);</w:t>
      </w:r>
    </w:p>
    <w:p>
      <w:pPr>
        <w:spacing w:after="0" w:line="170" w:lineRule="exact"/>
        <w:rPr>
          <w:rFonts w:ascii="Arial" w:cs="Arial" w:eastAsia="Arial" w:hAnsi="Arial"/>
          <w:sz w:val="18"/>
          <w:szCs w:val="18"/>
          <w:color w:val="auto"/>
        </w:rPr>
      </w:pPr>
    </w:p>
    <w:p>
      <w:pPr>
        <w:ind w:left="760" w:right="380" w:firstLine="761"/>
        <w:spacing w:after="0" w:line="264" w:lineRule="auto"/>
        <w:tabs>
          <w:tab w:leader="none" w:pos="182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Capital Lease Obligations of such Person (but excluding obligations under operating leases);</w:t>
      </w:r>
    </w:p>
    <w:p>
      <w:pPr>
        <w:spacing w:after="0" w:line="225" w:lineRule="exact"/>
        <w:rPr>
          <w:rFonts w:ascii="Arial" w:cs="Arial" w:eastAsia="Arial" w:hAnsi="Arial"/>
          <w:sz w:val="18"/>
          <w:szCs w:val="18"/>
          <w:color w:val="auto"/>
        </w:rPr>
      </w:pPr>
    </w:p>
    <w:p>
      <w:pPr>
        <w:ind w:left="1820" w:hanging="299"/>
        <w:spacing w:after="0"/>
        <w:tabs>
          <w:tab w:leader="none" w:pos="1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Disqualified Stock in such Person at the time of determination;</w:t>
      </w:r>
    </w:p>
    <w:p>
      <w:pPr>
        <w:spacing w:after="0" w:line="238" w:lineRule="exact"/>
        <w:rPr>
          <w:rFonts w:ascii="Arial" w:cs="Arial" w:eastAsia="Arial" w:hAnsi="Arial"/>
          <w:sz w:val="18"/>
          <w:szCs w:val="18"/>
          <w:color w:val="auto"/>
        </w:rPr>
      </w:pPr>
    </w:p>
    <w:p>
      <w:pPr>
        <w:ind w:left="1880" w:hanging="359"/>
        <w:spacing w:after="0"/>
        <w:tabs>
          <w:tab w:leader="none" w:pos="1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Hedging Obligations of such Person at the time of determination;</w:t>
      </w:r>
    </w:p>
    <w:p>
      <w:pPr>
        <w:spacing w:after="0" w:line="225" w:lineRule="exact"/>
        <w:rPr>
          <w:rFonts w:ascii="Arial" w:cs="Arial" w:eastAsia="Arial" w:hAnsi="Arial"/>
          <w:sz w:val="18"/>
          <w:szCs w:val="18"/>
          <w:color w:val="auto"/>
        </w:rPr>
      </w:pPr>
    </w:p>
    <w:p>
      <w:pPr>
        <w:ind w:left="1920" w:hanging="399"/>
        <w:spacing w:after="0"/>
        <w:tabs>
          <w:tab w:leader="none" w:pos="1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Attributable Indebtedness; and</w:t>
      </w:r>
    </w:p>
    <w:p>
      <w:pPr>
        <w:spacing w:after="0" w:line="225" w:lineRule="exact"/>
        <w:rPr>
          <w:rFonts w:ascii="Arial" w:cs="Arial" w:eastAsia="Arial" w:hAnsi="Arial"/>
          <w:sz w:val="18"/>
          <w:szCs w:val="18"/>
          <w:color w:val="auto"/>
        </w:rPr>
      </w:pPr>
    </w:p>
    <w:p>
      <w:pPr>
        <w:ind w:left="760" w:right="160" w:firstLine="761"/>
        <w:spacing w:after="0" w:line="257" w:lineRule="auto"/>
        <w:tabs>
          <w:tab w:leader="none" w:pos="182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obligations of the types referred to in clauses (i) through (viii) of this definition of another Person and all dividends and other distributions of another Person, the payment of which, in either case, (A) such Person has Guaranteed or (B) 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the foregoing:</w:t>
      </w:r>
    </w:p>
    <w:p>
      <w:pPr>
        <w:spacing w:after="0" w:line="225" w:lineRule="exact"/>
        <w:rPr>
          <w:sz w:val="20"/>
          <w:szCs w:val="20"/>
          <w:color w:val="auto"/>
        </w:rPr>
      </w:pPr>
    </w:p>
    <w:p>
      <w:pPr>
        <w:ind w:left="760" w:firstLine="761"/>
        <w:spacing w:after="0" w:line="259" w:lineRule="auto"/>
        <w:tabs>
          <w:tab w:leader="none" w:pos="1761"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Disqualified Stock is not then permitted to be repurchased, the repurchase price shall be the book value of such Disqualified Stock;</w:t>
      </w:r>
    </w:p>
    <w:p>
      <w:pPr>
        <w:spacing w:after="0" w:line="186" w:lineRule="exact"/>
        <w:rPr>
          <w:rFonts w:ascii="Arial" w:cs="Arial" w:eastAsia="Arial" w:hAnsi="Arial"/>
          <w:sz w:val="18"/>
          <w:szCs w:val="18"/>
          <w:color w:val="auto"/>
        </w:rPr>
      </w:pPr>
    </w:p>
    <w:p>
      <w:pPr>
        <w:ind w:left="760" w:right="180" w:firstLine="761"/>
        <w:spacing w:after="0" w:line="286" w:lineRule="auto"/>
        <w:tabs>
          <w:tab w:leader="none" w:pos="177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165" w:lineRule="exact"/>
        <w:rPr>
          <w:rFonts w:ascii="Arial" w:cs="Arial" w:eastAsia="Arial" w:hAnsi="Arial"/>
          <w:sz w:val="17"/>
          <w:szCs w:val="17"/>
          <w:color w:val="auto"/>
        </w:rPr>
      </w:pPr>
    </w:p>
    <w:p>
      <w:pPr>
        <w:ind w:left="1760" w:hanging="239"/>
        <w:spacing w:after="0"/>
        <w:tabs>
          <w:tab w:leader="none" w:pos="17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amount of any Indebtedness described in clause (ix)(A) above shall be the maximum liability under any such Guarantee;</w:t>
      </w:r>
    </w:p>
    <w:p>
      <w:pPr>
        <w:spacing w:after="0" w:line="236" w:lineRule="exact"/>
        <w:rPr>
          <w:rFonts w:ascii="Arial" w:cs="Arial" w:eastAsia="Arial" w:hAnsi="Arial"/>
          <w:sz w:val="17"/>
          <w:szCs w:val="17"/>
          <w:color w:val="auto"/>
        </w:rPr>
      </w:pPr>
    </w:p>
    <w:p>
      <w:pPr>
        <w:ind w:left="760" w:right="40" w:firstLine="761"/>
        <w:spacing w:after="0" w:line="277" w:lineRule="auto"/>
        <w:tabs>
          <w:tab w:leader="none" w:pos="17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(ix)(B) above shall be the lesser of (I) the maximum amount of the obligations so secured and (II) the fair market value of such property or other assets; and</w:t>
      </w:r>
    </w:p>
    <w:p>
      <w:pPr>
        <w:spacing w:after="0" w:line="170" w:lineRule="exact"/>
        <w:rPr>
          <w:rFonts w:ascii="Arial" w:cs="Arial" w:eastAsia="Arial" w:hAnsi="Arial"/>
          <w:sz w:val="18"/>
          <w:szCs w:val="18"/>
          <w:color w:val="auto"/>
        </w:rPr>
      </w:pPr>
    </w:p>
    <w:p>
      <w:pPr>
        <w:ind w:left="1760" w:hanging="239"/>
        <w:spacing w:after="0"/>
        <w:tabs>
          <w:tab w:leader="none" w:pos="17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interest, fees, premium, and expenses and additional payments, if any, will not constitute Indebtedness.</w:t>
      </w:r>
    </w:p>
    <w:p>
      <w:pPr>
        <w:spacing w:after="0" w:line="225" w:lineRule="exact"/>
        <w:rPr>
          <w:sz w:val="20"/>
          <w:szCs w:val="20"/>
          <w:color w:val="auto"/>
        </w:rPr>
      </w:pPr>
    </w:p>
    <w:p>
      <w:pPr>
        <w:jc w:val="both"/>
        <w:ind w:right="100" w:firstLine="756"/>
        <w:spacing w:after="0" w:line="264" w:lineRule="auto"/>
        <w:rPr>
          <w:sz w:val="20"/>
          <w:szCs w:val="20"/>
          <w:color w:val="auto"/>
        </w:rPr>
      </w:pPr>
      <w:r>
        <w:rPr>
          <w:rFonts w:ascii="Arial" w:cs="Arial" w:eastAsia="Arial" w:hAnsi="Arial"/>
          <w:sz w:val="18"/>
          <w:szCs w:val="18"/>
          <w:color w:val="auto"/>
        </w:rPr>
        <w:t>Notwithstanding the foregoing, in connection with the purchase or sale by the Company or any Restricted Subsidiary of any assets or business, the term “Indebtedness” will exclude (x) customary indemnification obligations and (y) post-closing payment adjustments to which the other party may become entitled to the extent such payment is determined by a final closing balance sheet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8" w:right="239" w:bottom="1440" w:gutter="0" w:footer="0" w:header="0"/>
        </w:sectPr>
      </w:pPr>
    </w:p>
    <w:bookmarkStart w:id="76" w:name="page77"/>
    <w:bookmarkEnd w:id="76"/>
    <w:p>
      <w:pPr>
        <w:ind w:right="200"/>
        <w:spacing w:after="0" w:line="277" w:lineRule="auto"/>
        <w:rPr>
          <w:sz w:val="20"/>
          <w:szCs w:val="20"/>
          <w:color w:val="auto"/>
        </w:rPr>
      </w:pPr>
      <w:r>
        <w:rPr>
          <w:rFonts w:ascii="Arial" w:cs="Arial" w:eastAsia="Arial" w:hAnsi="Arial"/>
          <w:sz w:val="18"/>
          <w:szCs w:val="18"/>
          <w:color w:val="auto"/>
        </w:rPr>
        <w:t xml:space="preserve">such payment is otherwise contingent;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amount would not be required to be reflected on the face of a balance sheet prepared in accordance with GAAP.</w:t>
      </w:r>
    </w:p>
    <w:p>
      <w:pPr>
        <w:spacing w:after="0" w:line="170" w:lineRule="exact"/>
        <w:rPr>
          <w:sz w:val="20"/>
          <w:szCs w:val="20"/>
          <w:color w:val="auto"/>
        </w:rPr>
      </w:pPr>
    </w:p>
    <w:p>
      <w:pPr>
        <w:jc w:val="both"/>
        <w:ind w:right="18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Merrill Lynch, Pierce, Fenner &amp; Smith Incorporated, J.P. Morgan Securities LLC, Wells Fargo Securities, LLC, Rabo Securities USA, Inc., U.S. Bancorp Investments, Inc., TD Securities (USA) LLC, Mizuho Securities USA Inc., Scotia Capital (USA) Inc., Citizens Capital Markets, Inc., BB&amp;T Capital Markets, a division of BB&amp;T Securities, LLC, Fifth Third Securities, Inc., BBVA Securities Inc. and SMBC Nikko Securities America, Inc.</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on the Notes.</w:t>
      </w:r>
    </w:p>
    <w:p>
      <w:pPr>
        <w:spacing w:after="0" w:line="225"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195" w:lineRule="exact"/>
        <w:rPr>
          <w:sz w:val="20"/>
          <w:szCs w:val="20"/>
          <w:color w:val="auto"/>
        </w:rPr>
      </w:pPr>
    </w:p>
    <w:p>
      <w:pPr>
        <w:ind w:firstLine="7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covenant described above under the caption “Certain Covenants-Unrestricted Subsidiaries.”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first issuance of the Notes under the Indenture.</w:t>
      </w:r>
    </w:p>
    <w:p>
      <w:pPr>
        <w:spacing w:after="0" w:line="225" w:lineRule="exact"/>
        <w:rPr>
          <w:sz w:val="20"/>
          <w:szCs w:val="20"/>
          <w:color w:val="auto"/>
        </w:rPr>
      </w:pPr>
    </w:p>
    <w:p>
      <w:pPr>
        <w:ind w:right="120" w:firstLine="7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joint venture</w:t>
      </w:r>
      <w:r>
        <w:rPr>
          <w:rFonts w:ascii="Arial" w:cs="Arial" w:eastAsia="Arial" w:hAnsi="Arial"/>
          <w:sz w:val="16"/>
          <w:szCs w:val="16"/>
          <w:color w:val="auto"/>
        </w:rPr>
        <w:t>” means any joint venture which is, directly or indirectly, engaged primarily in a Related Business, and the Equity Interests of which are owned by the Company and/or any of its Restricted Subsidiaries and/or one or more Persons other than the Company and/or any of its Affiliates.</w:t>
      </w:r>
    </w:p>
    <w:p>
      <w:pPr>
        <w:spacing w:after="0" w:line="124" w:lineRule="exact"/>
        <w:rPr>
          <w:sz w:val="20"/>
          <w:szCs w:val="20"/>
          <w:color w:val="auto"/>
        </w:rPr>
      </w:pPr>
    </w:p>
    <w:p>
      <w:pPr>
        <w:ind w:right="60" w:firstLine="7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Leverage Ratio</w:t>
      </w:r>
      <w:r>
        <w:rPr>
          <w:rFonts w:ascii="Arial" w:cs="Arial" w:eastAsia="Arial" w:hAnsi="Arial"/>
          <w:sz w:val="16"/>
          <w:szCs w:val="16"/>
          <w:color w:val="auto"/>
        </w:rPr>
        <w:t>” means, with respect to any specified Person as of any date, the ratio of (i) Average Net Indebtedness of such Person on such date to (ii) Consolidated Cash Flow of such Person for the period of four consecutive fiscal quarters ending on such date (for purposes of this definition and the definition of Average Net Indebtedness, the “</w:t>
      </w:r>
      <w:r>
        <w:rPr>
          <w:rFonts w:ascii="Arial" w:cs="Arial" w:eastAsia="Arial" w:hAnsi="Arial"/>
          <w:sz w:val="16"/>
          <w:szCs w:val="16"/>
          <w:i w:val="1"/>
          <w:iCs w:val="1"/>
          <w:color w:val="auto"/>
        </w:rPr>
        <w:t>Reference Period</w:t>
      </w:r>
      <w:r>
        <w:rPr>
          <w:rFonts w:ascii="Arial" w:cs="Arial" w:eastAsia="Arial" w:hAnsi="Arial"/>
          <w:sz w:val="16"/>
          <w:szCs w:val="16"/>
          <w:color w:val="auto"/>
        </w:rPr>
        <w:t>”).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or makes any Specified Payment, in each case, after the end of the Reference Period and on or prior to the date of the event for which the calculation of the Leverage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Leverage Ratio shall be calculated giving pro forma effect to (x) such incurrence, assumption, Guarantee, redemption or other repayment of Indebtedness, or (y) such issuance or redemption of preferred stock, or (z) such Specified Payment (including the incurrence of Indebtedness (without duplication of any incurrence included pursuant to the foregoing clause (x)) or the use of cash to fund such Specified Payment) and (I) all other such incurrences, assumptions, Guarantees, redemptions, repayments or issuances that occurred after the first day of the Reference Period and on or prior to the Calculation Date and (II) all other Specified Payments that occurred after the end of the Reference Period and on or prior to the Calculation Date, in each case, as if the same had occurred at the beginning of the Reference Period.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for purposes of calculating the Leverage Ratio:</w:t>
      </w:r>
    </w:p>
    <w:p>
      <w:pPr>
        <w:spacing w:after="0" w:line="225" w:lineRule="exact"/>
        <w:rPr>
          <w:sz w:val="20"/>
          <w:szCs w:val="20"/>
          <w:color w:val="auto"/>
        </w:rPr>
      </w:pPr>
    </w:p>
    <w:p>
      <w:pPr>
        <w:ind w:left="760" w:right="20" w:firstLine="761"/>
        <w:spacing w:after="0" w:line="312" w:lineRule="auto"/>
        <w:tabs>
          <w:tab w:leader="none" w:pos="17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146" w:lineRule="exact"/>
        <w:rPr>
          <w:rFonts w:ascii="Arial" w:cs="Arial" w:eastAsia="Arial" w:hAnsi="Arial"/>
          <w:sz w:val="16"/>
          <w:szCs w:val="16"/>
          <w:color w:val="auto"/>
        </w:rPr>
      </w:pPr>
    </w:p>
    <w:p>
      <w:pPr>
        <w:ind w:left="1780" w:hanging="259"/>
        <w:spacing w:after="0"/>
        <w:tabs>
          <w:tab w:leader="none" w:pos="17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Consolidated Cash Flow attributable to discontinued operations, as determined in accordance with GAAP, shall be excluded;</w:t>
      </w:r>
    </w:p>
    <w:p>
      <w:pPr>
        <w:spacing w:after="0" w:line="248" w:lineRule="exact"/>
        <w:rPr>
          <w:rFonts w:ascii="Arial" w:cs="Arial" w:eastAsia="Arial" w:hAnsi="Arial"/>
          <w:sz w:val="16"/>
          <w:szCs w:val="16"/>
          <w:color w:val="auto"/>
        </w:rPr>
      </w:pPr>
    </w:p>
    <w:p>
      <w:pPr>
        <w:ind w:left="760" w:right="60" w:firstLine="761"/>
        <w:spacing w:after="0" w:line="264" w:lineRule="auto"/>
        <w:tabs>
          <w:tab w:leader="none" w:pos="177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Indebtedness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368" w:right="259" w:bottom="1440" w:gutter="0" w:footer="0" w:header="0"/>
        </w:sectPr>
      </w:pPr>
    </w:p>
    <w:bookmarkStart w:id="77" w:name="page78"/>
    <w:bookmarkEnd w:id="77"/>
    <w:p>
      <w:pPr>
        <w:jc w:val="both"/>
        <w:ind w:left="760" w:right="100" w:firstLine="761"/>
        <w:spacing w:after="0" w:line="312" w:lineRule="auto"/>
        <w:tabs>
          <w:tab w:leader="none" w:pos="1771"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giving pro forma effect to a Specified Payment, to the extent that the Specified Payment would have exceeded the amount of cash and Cash Equivalents of such Person and its Restricted Subsidiaries that would have been available to fund such Specified Payment as of any date that Net Indebtedness is calculated, the amount of such excess shall be deemed to have been funded by additional Indebtedness.</w:t>
      </w:r>
    </w:p>
    <w:p>
      <w:pPr>
        <w:spacing w:after="0" w:line="147" w:lineRule="exact"/>
        <w:rPr>
          <w:sz w:val="20"/>
          <w:szCs w:val="20"/>
          <w:color w:val="auto"/>
        </w:rPr>
      </w:pPr>
    </w:p>
    <w:p>
      <w:pPr>
        <w:ind w:right="18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means Moody’s Investors Service, Inc. or any successor rating agency.</w:t>
      </w:r>
    </w:p>
    <w:p>
      <w:pPr>
        <w:spacing w:after="0" w:line="225" w:lineRule="exact"/>
        <w:rPr>
          <w:sz w:val="20"/>
          <w:szCs w:val="20"/>
          <w:color w:val="auto"/>
        </w:rPr>
      </w:pPr>
    </w:p>
    <w:p>
      <w:pPr>
        <w:ind w:right="10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187" w:lineRule="exact"/>
        <w:rPr>
          <w:sz w:val="20"/>
          <w:szCs w:val="20"/>
          <w:color w:val="auto"/>
        </w:rPr>
      </w:pPr>
    </w:p>
    <w:p>
      <w:pPr>
        <w:ind w:right="3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 excluding, however:</w:t>
      </w:r>
    </w:p>
    <w:p>
      <w:pPr>
        <w:spacing w:after="0" w:line="170" w:lineRule="exact"/>
        <w:rPr>
          <w:sz w:val="20"/>
          <w:szCs w:val="20"/>
          <w:color w:val="auto"/>
        </w:rPr>
      </w:pPr>
    </w:p>
    <w:p>
      <w:pPr>
        <w:ind w:left="1780" w:hanging="259"/>
        <w:spacing w:after="0"/>
        <w:tabs>
          <w:tab w:leader="none" w:pos="1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 and</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non-cash expenses attributable to grants or exercises of employee stock options.</w:t>
      </w:r>
    </w:p>
    <w:p>
      <w:pPr>
        <w:spacing w:after="0" w:line="225" w:lineRule="exact"/>
        <w:rPr>
          <w:sz w:val="20"/>
          <w:szCs w:val="20"/>
          <w:color w:val="auto"/>
        </w:rPr>
      </w:pPr>
    </w:p>
    <w:p>
      <w:pPr>
        <w:ind w:right="200" w:firstLine="7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Indebtedness</w:t>
      </w:r>
      <w:r>
        <w:rPr>
          <w:rFonts w:ascii="Arial" w:cs="Arial" w:eastAsia="Arial" w:hAnsi="Arial"/>
          <w:sz w:val="16"/>
          <w:szCs w:val="16"/>
          <w:color w:val="auto"/>
        </w:rPr>
        <w:t xml:space="preserve">” means, in respect of any Person at any date, (a) the aggregate outstanding principal amount of all Indebtedness for borrowed money of such Person and its Restricted Subsidiaries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all other items which would properly be included as indebtedness, determined in accordance with GAAP, on a consolidated balance sheet of such Person and its Restricted Subsidiaries at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unrestricted cash and Cash Equivalents set forth on the consolidated balance sheet of such Person and its Restricted Subsidiaries at such date.</w:t>
      </w:r>
    </w:p>
    <w:p>
      <w:pPr>
        <w:spacing w:after="0" w:line="154" w:lineRule="exact"/>
        <w:rPr>
          <w:sz w:val="20"/>
          <w:szCs w:val="20"/>
          <w:color w:val="auto"/>
        </w:rPr>
      </w:pPr>
    </w:p>
    <w:p>
      <w:pPr>
        <w:ind w:right="20" w:firstLine="7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secured by a Lien on the asset or assets that were the subject of such Asset Sale.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25" w:lineRule="exact"/>
        <w:rPr>
          <w:sz w:val="20"/>
          <w:szCs w:val="20"/>
          <w:color w:val="auto"/>
        </w:rPr>
      </w:pPr>
    </w:p>
    <w:p>
      <w:pPr>
        <w:ind w:left="760" w:right="420" w:firstLine="761"/>
        <w:spacing w:after="0" w:line="264" w:lineRule="auto"/>
        <w:tabs>
          <w:tab w:leader="none" w:pos="17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181" w:lineRule="exact"/>
        <w:rPr>
          <w:rFonts w:ascii="Arial" w:cs="Arial" w:eastAsia="Arial" w:hAnsi="Arial"/>
          <w:sz w:val="18"/>
          <w:szCs w:val="18"/>
          <w:color w:val="auto"/>
        </w:rPr>
      </w:pPr>
    </w:p>
    <w:p>
      <w:pPr>
        <w:jc w:val="both"/>
        <w:ind w:left="760" w:right="340" w:firstLine="761"/>
        <w:spacing w:after="0" w:line="259" w:lineRule="auto"/>
        <w:tabs>
          <w:tab w:leader="none" w:pos="17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186" w:lineRule="exact"/>
        <w:rPr>
          <w:rFonts w:ascii="Arial" w:cs="Arial" w:eastAsia="Arial" w:hAnsi="Arial"/>
          <w:sz w:val="18"/>
          <w:szCs w:val="18"/>
          <w:color w:val="auto"/>
        </w:rPr>
      </w:pPr>
    </w:p>
    <w:p>
      <w:pPr>
        <w:ind w:left="760" w:firstLine="761"/>
        <w:spacing w:after="0" w:line="277" w:lineRule="auto"/>
        <w:tabs>
          <w:tab w:leader="none" w:pos="17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70" w:lineRule="exact"/>
        <w:rPr>
          <w:sz w:val="20"/>
          <w:szCs w:val="20"/>
          <w:color w:val="auto"/>
        </w:rPr>
      </w:pPr>
    </w:p>
    <w:p>
      <w:pPr>
        <w:ind w:right="3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598" w:right="259" w:bottom="1440" w:gutter="0" w:footer="0" w:header="0"/>
        </w:sectPr>
      </w:pPr>
    </w:p>
    <w:bookmarkStart w:id="78" w:name="page79"/>
    <w:bookmarkEnd w:id="78"/>
    <w:p>
      <w:pPr>
        <w:ind w:right="16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counsel for the Company, or who is otherwise reasonably acceptable to the Trustee, complying with certain provisions in the Indenture.</w:t>
      </w:r>
    </w:p>
    <w:p>
      <w:pPr>
        <w:spacing w:after="0" w:line="170" w:lineRule="exact"/>
        <w:rPr>
          <w:sz w:val="20"/>
          <w:szCs w:val="20"/>
          <w:color w:val="auto"/>
        </w:rPr>
      </w:pPr>
    </w:p>
    <w:p>
      <w:pPr>
        <w:ind w:right="1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Additional Restricted Investment</w:t>
      </w:r>
      <w:r>
        <w:rPr>
          <w:rFonts w:ascii="Arial" w:cs="Arial" w:eastAsia="Arial" w:hAnsi="Arial"/>
          <w:sz w:val="18"/>
          <w:szCs w:val="18"/>
          <w:color w:val="auto"/>
        </w:rPr>
        <w:t>” means additional Restricted Investments made by the Company, if before and after giving pro forma effect to such Restricted Investment, the Leverage Ratio of the Company as of the end of the most recently ended fiscal quarter for which internal financial statements are available is less than 3.25:1.00.</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1780" w:hanging="259"/>
        <w:spacing w:after="0"/>
        <w:tabs>
          <w:tab w:leader="none" w:pos="1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Investment by the Company or any Restricted Subsidiary of the Company in a Person, if as a result of such Investment:</w:t>
      </w:r>
    </w:p>
    <w:p>
      <w:pPr>
        <w:spacing w:after="0" w:line="236" w:lineRule="exact"/>
        <w:rPr>
          <w:rFonts w:ascii="Arial" w:cs="Arial" w:eastAsia="Arial" w:hAnsi="Arial"/>
          <w:sz w:val="17"/>
          <w:szCs w:val="17"/>
          <w:color w:val="auto"/>
        </w:rPr>
      </w:pPr>
    </w:p>
    <w:p>
      <w:pPr>
        <w:ind w:left="2640" w:hanging="242"/>
        <w:spacing w:after="0"/>
        <w:tabs>
          <w:tab w:leader="none" w:pos="26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225" w:lineRule="exact"/>
        <w:rPr>
          <w:rFonts w:ascii="Arial" w:cs="Arial" w:eastAsia="Arial" w:hAnsi="Arial"/>
          <w:sz w:val="18"/>
          <w:szCs w:val="18"/>
          <w:color w:val="auto"/>
        </w:rPr>
      </w:pPr>
    </w:p>
    <w:p>
      <w:pPr>
        <w:ind w:left="1640" w:right="40" w:firstLine="758"/>
        <w:spacing w:after="0" w:line="277" w:lineRule="auto"/>
        <w:tabs>
          <w:tab w:leader="none" w:pos="265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70" w:lineRule="exact"/>
        <w:rPr>
          <w:rFonts w:ascii="Arial" w:cs="Arial" w:eastAsia="Arial" w:hAnsi="Arial"/>
          <w:sz w:val="18"/>
          <w:szCs w:val="18"/>
          <w:color w:val="auto"/>
        </w:rPr>
      </w:pPr>
    </w:p>
    <w:p>
      <w:pPr>
        <w:ind w:left="760" w:right="380" w:firstLine="761"/>
        <w:spacing w:after="0" w:line="264" w:lineRule="auto"/>
        <w:tabs>
          <w:tab w:leader="none" w:pos="1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Holders-Offer to Repurchase by Application of Excess Proceeds of Asset Sales”;</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acquisition of assets solely in exchange for the issuance of Equity Interests (other than Disqualified Stock) of the Company;</w:t>
      </w:r>
    </w:p>
    <w:p>
      <w:pPr>
        <w:spacing w:after="0" w:line="236" w:lineRule="exact"/>
        <w:rPr>
          <w:rFonts w:ascii="Arial" w:cs="Arial" w:eastAsia="Arial" w:hAnsi="Arial"/>
          <w:sz w:val="17"/>
          <w:szCs w:val="17"/>
          <w:color w:val="auto"/>
        </w:rPr>
      </w:pPr>
    </w:p>
    <w:p>
      <w:pPr>
        <w:ind w:left="1780" w:hanging="259"/>
        <w:spacing w:after="0"/>
        <w:tabs>
          <w:tab w:leader="none" w:pos="1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investments in accounts or notes receivable acquired in the ordinary course of business;</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780" w:hanging="259"/>
        <w:spacing w:after="0"/>
        <w:tabs>
          <w:tab w:leader="none" w:pos="1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payment by the Company or any of its Restricted Subsidiaries pursuant to the Exclusive Agency and Marketing Agreement;</w:t>
      </w:r>
    </w:p>
    <w:p>
      <w:pPr>
        <w:spacing w:after="0" w:line="236" w:lineRule="exact"/>
        <w:rPr>
          <w:rFonts w:ascii="Arial" w:cs="Arial" w:eastAsia="Arial" w:hAnsi="Arial"/>
          <w:sz w:val="17"/>
          <w:szCs w:val="17"/>
          <w:color w:val="auto"/>
        </w:rPr>
      </w:pPr>
    </w:p>
    <w:p>
      <w:pPr>
        <w:ind w:left="760" w:right="200" w:firstLine="761"/>
        <w:spacing w:after="0" w:line="277" w:lineRule="auto"/>
        <w:tabs>
          <w:tab w:leader="none" w:pos="1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Restricted Subsidiaries in the ordinary course of business for bona fide business purposes not in excess of $5.0 million at any one time outstanding;</w:t>
      </w:r>
    </w:p>
    <w:p>
      <w:pPr>
        <w:spacing w:after="0" w:line="183" w:lineRule="exact"/>
        <w:rPr>
          <w:rFonts w:ascii="Arial" w:cs="Arial" w:eastAsia="Arial" w:hAnsi="Arial"/>
          <w:sz w:val="18"/>
          <w:szCs w:val="18"/>
          <w:color w:val="auto"/>
        </w:rPr>
      </w:pPr>
    </w:p>
    <w:p>
      <w:pPr>
        <w:ind w:left="760" w:firstLine="761"/>
        <w:spacing w:after="0" w:line="257" w:lineRule="auto"/>
        <w:tabs>
          <w:tab w:leader="none" w:pos="186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 and Investments made in settlement or exchange for extensions of trade credit (including trade receivables) by the Company and its Restricted Subsidiaries on commercially reasonable terms in accordance with normal trade practices of the Company or such Restricted Subsidiary, as the case may be;</w:t>
      </w:r>
    </w:p>
    <w:p>
      <w:pPr>
        <w:spacing w:after="0" w:line="188" w:lineRule="exact"/>
        <w:rPr>
          <w:rFonts w:ascii="Arial" w:cs="Arial" w:eastAsia="Arial" w:hAnsi="Arial"/>
          <w:sz w:val="18"/>
          <w:szCs w:val="18"/>
          <w:color w:val="auto"/>
        </w:rPr>
      </w:pPr>
    </w:p>
    <w:p>
      <w:pPr>
        <w:ind w:left="760" w:right="20" w:firstLine="761"/>
        <w:spacing w:after="0" w:line="277" w:lineRule="auto"/>
        <w:tabs>
          <w:tab w:leader="none" w:pos="185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170" w:lineRule="exact"/>
        <w:rPr>
          <w:rFonts w:ascii="Arial" w:cs="Arial" w:eastAsia="Arial" w:hAnsi="Arial"/>
          <w:sz w:val="18"/>
          <w:szCs w:val="18"/>
          <w:color w:val="auto"/>
        </w:rPr>
      </w:pPr>
    </w:p>
    <w:p>
      <w:pPr>
        <w:ind w:left="760" w:right="200" w:firstLine="761"/>
        <w:spacing w:after="0" w:line="342" w:lineRule="auto"/>
        <w:tabs>
          <w:tab w:leader="none" w:pos="186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reclassification of any Investment initially made in the form of equity as a loan or advance, and reclassification of any Investment initially made in the form of a loan or advance as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amount of such Investment is not increased thereby;</w:t>
      </w:r>
    </w:p>
    <w:p>
      <w:pPr>
        <w:spacing w:after="0" w:line="123" w:lineRule="exact"/>
        <w:rPr>
          <w:rFonts w:ascii="Arial" w:cs="Arial" w:eastAsia="Arial" w:hAnsi="Arial"/>
          <w:sz w:val="16"/>
          <w:szCs w:val="16"/>
          <w:color w:val="auto"/>
        </w:rPr>
      </w:pPr>
    </w:p>
    <w:p>
      <w:pPr>
        <w:jc w:val="both"/>
        <w:ind w:left="760" w:right="140" w:firstLine="761"/>
        <w:spacing w:after="0" w:line="264" w:lineRule="auto"/>
        <w:tabs>
          <w:tab w:leader="none" w:pos="186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(13) that are at any time outstanding, not to exceed $200.0 million; and</w:t>
      </w:r>
    </w:p>
    <w:p>
      <w:pPr>
        <w:spacing w:after="0" w:line="181" w:lineRule="exact"/>
        <w:rPr>
          <w:rFonts w:ascii="Arial" w:cs="Arial" w:eastAsia="Arial" w:hAnsi="Arial"/>
          <w:sz w:val="18"/>
          <w:szCs w:val="18"/>
          <w:color w:val="auto"/>
        </w:rPr>
      </w:pPr>
    </w:p>
    <w:p>
      <w:pPr>
        <w:ind w:left="760" w:right="140" w:firstLine="761"/>
        <w:spacing w:after="0" w:line="286" w:lineRule="auto"/>
        <w:tabs>
          <w:tab w:leader="none" w:pos="186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Investments in joint ventures having an aggregate fair market value (measured on the date each such Investment was made and without giving effect to subsequent changes in value), when taken together with all other Investments made pursuant to this clause (14) that are at any time outstanding, not to exceed the greater of (x) $225.0 million and (y) 7.5% of Consolidated Total Assets.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368"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right="740" w:firstLine="761"/>
        <w:spacing w:after="0" w:line="277"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 incurred pursuant to clause (1) of the second paragraph under “-Certain Covenants-Incurrence of Indebtedness and Issuance of Preferred Stock”;</w:t>
      </w:r>
    </w:p>
    <w:p>
      <w:pPr>
        <w:spacing w:after="0" w:line="170" w:lineRule="exact"/>
        <w:rPr>
          <w:rFonts w:ascii="Arial" w:cs="Arial" w:eastAsia="Arial" w:hAnsi="Arial"/>
          <w:sz w:val="18"/>
          <w:szCs w:val="18"/>
          <w:color w:val="auto"/>
        </w:rPr>
      </w:pPr>
    </w:p>
    <w:p>
      <w:pPr>
        <w:ind w:left="1020" w:hanging="259"/>
        <w:spacing w:after="0"/>
        <w:tabs>
          <w:tab w:leader="none" w:pos="1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225" w:lineRule="exact"/>
        <w:rPr>
          <w:rFonts w:ascii="Arial" w:cs="Arial" w:eastAsia="Arial" w:hAnsi="Arial"/>
          <w:sz w:val="18"/>
          <w:szCs w:val="18"/>
          <w:color w:val="auto"/>
        </w:rPr>
      </w:pPr>
    </w:p>
    <w:p>
      <w:pPr>
        <w:ind w:right="120"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merger or consolidation and do not extend to any assets other than those of the Person merged into or consolidated with the Company or the Subsidiary;</w:t>
      </w:r>
    </w:p>
    <w:p>
      <w:pPr>
        <w:spacing w:after="0" w:line="181" w:lineRule="exact"/>
        <w:rPr>
          <w:rFonts w:ascii="Arial" w:cs="Arial" w:eastAsia="Arial" w:hAnsi="Arial"/>
          <w:sz w:val="18"/>
          <w:szCs w:val="18"/>
          <w:color w:val="auto"/>
        </w:rPr>
      </w:pPr>
    </w:p>
    <w:p>
      <w:pPr>
        <w:ind w:right="160" w:firstLine="761"/>
        <w:spacing w:after="0" w:line="277"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acquisition;</w:t>
      </w:r>
    </w:p>
    <w:p>
      <w:pPr>
        <w:spacing w:after="0" w:line="170" w:lineRule="exact"/>
        <w:rPr>
          <w:rFonts w:ascii="Arial" w:cs="Arial" w:eastAsia="Arial" w:hAnsi="Arial"/>
          <w:sz w:val="18"/>
          <w:szCs w:val="18"/>
          <w:color w:val="auto"/>
        </w:rPr>
      </w:pPr>
    </w:p>
    <w:p>
      <w:pPr>
        <w:ind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clause (4) of the second paragraph of the covenant entitled “-Certain Covenants-Incurrence of Indebtedness and Issuance of Preferred Stock” covering only the assets financed with such Indebtedness and additions and improvements thereon;</w:t>
      </w:r>
    </w:p>
    <w:p>
      <w:pPr>
        <w:spacing w:after="0" w:line="181" w:lineRule="exact"/>
        <w:rPr>
          <w:rFonts w:ascii="Arial" w:cs="Arial" w:eastAsia="Arial" w:hAnsi="Arial"/>
          <w:sz w:val="18"/>
          <w:szCs w:val="18"/>
          <w:color w:val="auto"/>
        </w:rPr>
      </w:pPr>
    </w:p>
    <w:p>
      <w:pPr>
        <w:ind w:left="1020" w:hanging="259"/>
        <w:spacing w:after="0"/>
        <w:tabs>
          <w:tab w:leader="none" w:pos="1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225" w:lineRule="exact"/>
        <w:rPr>
          <w:rFonts w:ascii="Arial" w:cs="Arial" w:eastAsia="Arial" w:hAnsi="Arial"/>
          <w:sz w:val="18"/>
          <w:szCs w:val="18"/>
          <w:color w:val="auto"/>
        </w:rPr>
      </w:pPr>
    </w:p>
    <w:p>
      <w:pPr>
        <w:ind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194" w:lineRule="exact"/>
        <w:rPr>
          <w:rFonts w:ascii="Arial" w:cs="Arial" w:eastAsia="Arial" w:hAnsi="Arial"/>
          <w:sz w:val="18"/>
          <w:szCs w:val="18"/>
          <w:color w:val="auto"/>
        </w:rPr>
      </w:pPr>
    </w:p>
    <w:p>
      <w:pPr>
        <w:ind w:right="200" w:firstLine="761"/>
        <w:spacing w:after="0" w:line="277"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securing Indebtedness or trade payables and any related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Indebtedness and trade payables secured by this clause (8) shall not exceed $100.0 million at any one time outstanding;</w:t>
      </w:r>
    </w:p>
    <w:p>
      <w:pPr>
        <w:spacing w:after="0" w:line="170" w:lineRule="exact"/>
        <w:rPr>
          <w:rFonts w:ascii="Arial" w:cs="Arial" w:eastAsia="Arial" w:hAnsi="Arial"/>
          <w:sz w:val="18"/>
          <w:szCs w:val="18"/>
          <w:color w:val="auto"/>
        </w:rPr>
      </w:pPr>
    </w:p>
    <w:p>
      <w:pPr>
        <w:ind w:right="20" w:firstLine="761"/>
        <w:spacing w:after="0" w:line="264" w:lineRule="auto"/>
        <w:tabs>
          <w:tab w:leader="none" w:pos="10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Liens securing Attributable Indebtedness under Sale and Leaseback Transactions incurred in compliance with the covenant described under “-Certain Covenants-Limitation on Sale and 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Attributable Indebtedness secured by this clause (9) shall not exceed $100.0 million at any one time outstanding;</w:t>
      </w:r>
    </w:p>
    <w:p>
      <w:pPr>
        <w:spacing w:after="0" w:line="181" w:lineRule="exact"/>
        <w:rPr>
          <w:rFonts w:ascii="Arial" w:cs="Arial" w:eastAsia="Arial" w:hAnsi="Arial"/>
          <w:sz w:val="18"/>
          <w:szCs w:val="18"/>
          <w:color w:val="auto"/>
        </w:rPr>
      </w:pPr>
    </w:p>
    <w:p>
      <w:pPr>
        <w:ind w:right="120" w:firstLine="761"/>
        <w:spacing w:after="0" w:line="259" w:lineRule="auto"/>
        <w:tabs>
          <w:tab w:leader="none" w:pos="11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suppliers, materialmen, repairmen and other Liens imposed by law incurred in the ordinary course of business; Liens in favor of customs and revenue authorities arising as a matter of law to secure payment of customs duties in connection with the importation of goods; and any other Liens imposed by operation of law which do not materially affect the Company’s ability to perform its obligations under the Notes and the Indenture;</w:t>
      </w:r>
    </w:p>
    <w:p>
      <w:pPr>
        <w:spacing w:after="0" w:line="186" w:lineRule="exact"/>
        <w:rPr>
          <w:rFonts w:ascii="Arial" w:cs="Arial" w:eastAsia="Arial" w:hAnsi="Arial"/>
          <w:sz w:val="18"/>
          <w:szCs w:val="18"/>
          <w:color w:val="auto"/>
        </w:rPr>
      </w:pPr>
    </w:p>
    <w:p>
      <w:pPr>
        <w:ind w:right="180" w:firstLine="761"/>
        <w:spacing w:after="0" w:line="257" w:lineRule="auto"/>
        <w:tabs>
          <w:tab w:leader="none" w:pos="109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similar obligations,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188" w:lineRule="exact"/>
        <w:rPr>
          <w:rFonts w:ascii="Arial" w:cs="Arial" w:eastAsia="Arial" w:hAnsi="Arial"/>
          <w:sz w:val="18"/>
          <w:szCs w:val="18"/>
          <w:color w:val="auto"/>
        </w:rPr>
      </w:pPr>
    </w:p>
    <w:p>
      <w:pPr>
        <w:ind w:right="100" w:firstLine="761"/>
        <w:spacing w:after="0" w:line="264" w:lineRule="auto"/>
        <w:tabs>
          <w:tab w:leader="none" w:pos="11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181" w:lineRule="exact"/>
        <w:rPr>
          <w:rFonts w:ascii="Arial" w:cs="Arial" w:eastAsia="Arial" w:hAnsi="Arial"/>
          <w:sz w:val="18"/>
          <w:szCs w:val="18"/>
          <w:color w:val="auto"/>
        </w:rPr>
      </w:pPr>
    </w:p>
    <w:p>
      <w:pPr>
        <w:ind w:right="20" w:firstLine="761"/>
        <w:spacing w:after="0" w:line="277" w:lineRule="auto"/>
        <w:tabs>
          <w:tab w:leader="none" w:pos="11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170" w:lineRule="exact"/>
        <w:rPr>
          <w:rFonts w:ascii="Arial" w:cs="Arial" w:eastAsia="Arial" w:hAnsi="Arial"/>
          <w:sz w:val="18"/>
          <w:szCs w:val="18"/>
          <w:color w:val="auto"/>
        </w:rPr>
      </w:pPr>
    </w:p>
    <w:p>
      <w:pPr>
        <w:ind w:right="80" w:firstLine="761"/>
        <w:spacing w:after="0" w:line="277" w:lineRule="auto"/>
        <w:tabs>
          <w:tab w:leader="none" w:pos="11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lease, whether or not characterized as capital or operating;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property or assets which is not leased property subject to such lease;</w:t>
      </w:r>
    </w:p>
    <w:p>
      <w:pPr>
        <w:spacing w:after="0" w:line="170" w:lineRule="exact"/>
        <w:rPr>
          <w:rFonts w:ascii="Arial" w:cs="Arial" w:eastAsia="Arial" w:hAnsi="Arial"/>
          <w:sz w:val="18"/>
          <w:szCs w:val="18"/>
          <w:color w:val="auto"/>
        </w:rPr>
      </w:pPr>
    </w:p>
    <w:p>
      <w:pPr>
        <w:ind w:right="180" w:firstLine="761"/>
        <w:spacing w:after="0" w:line="264" w:lineRule="auto"/>
        <w:tabs>
          <w:tab w:leader="none" w:pos="11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640"/>
          </w:cols>
          <w:pgMar w:left="1000" w:top="368" w:right="259" w:bottom="1440" w:gutter="0" w:footer="0" w:header="0"/>
        </w:sectPr>
      </w:pPr>
    </w:p>
    <w:bookmarkStart w:id="80" w:name="page81"/>
    <w:bookmarkEnd w:id="80"/>
    <w:p>
      <w:pPr>
        <w:ind w:left="760" w:right="4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170" w:lineRule="exact"/>
        <w:rPr>
          <w:rFonts w:ascii="Arial" w:cs="Arial" w:eastAsia="Arial" w:hAnsi="Arial"/>
          <w:sz w:val="18"/>
          <w:szCs w:val="18"/>
          <w:color w:val="auto"/>
        </w:rPr>
      </w:pPr>
    </w:p>
    <w:p>
      <w:pPr>
        <w:ind w:left="760" w:right="16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70" w:lineRule="exact"/>
        <w:rPr>
          <w:rFonts w:ascii="Arial" w:cs="Arial" w:eastAsia="Arial" w:hAnsi="Arial"/>
          <w:sz w:val="18"/>
          <w:szCs w:val="18"/>
          <w:color w:val="auto"/>
        </w:rPr>
      </w:pPr>
    </w:p>
    <w:p>
      <w:pPr>
        <w:ind w:left="1860" w:hanging="339"/>
        <w:spacing w:after="0"/>
        <w:tabs>
          <w:tab w:leader="none" w:pos="18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leases or subleases granted to others not interfering in any material respect with the business of the Company or its Restricted</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760" w:right="6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Company or any of its Restricted Subsidiaries in the ordinary course of business;</w:t>
      </w:r>
    </w:p>
    <w:p>
      <w:pPr>
        <w:spacing w:after="0" w:line="183" w:lineRule="exact"/>
        <w:rPr>
          <w:rFonts w:ascii="Arial" w:cs="Arial" w:eastAsia="Arial" w:hAnsi="Arial"/>
          <w:sz w:val="18"/>
          <w:szCs w:val="18"/>
          <w:color w:val="auto"/>
        </w:rPr>
      </w:pPr>
    </w:p>
    <w:p>
      <w:pPr>
        <w:ind w:left="1860" w:hanging="339"/>
        <w:spacing w:after="0"/>
        <w:tabs>
          <w:tab w:leader="none" w:pos="18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rights of banks to set off deposits against debts owed to said bank;</w:t>
      </w:r>
    </w:p>
    <w:p>
      <w:pPr>
        <w:spacing w:after="0" w:line="225" w:lineRule="exact"/>
        <w:rPr>
          <w:rFonts w:ascii="Arial" w:cs="Arial" w:eastAsia="Arial" w:hAnsi="Arial"/>
          <w:sz w:val="18"/>
          <w:szCs w:val="18"/>
          <w:color w:val="auto"/>
        </w:rPr>
      </w:pPr>
    </w:p>
    <w:p>
      <w:pPr>
        <w:ind w:left="760" w:right="10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on securities and cash securing Hedging Obligations incurred pursuant to clause (7) of the second paragraph under “-Certain Covenants-Incurrence of Indebtedness and Issuance of Preferred Stock”;</w:t>
      </w:r>
    </w:p>
    <w:p>
      <w:pPr>
        <w:spacing w:after="0" w:line="170" w:lineRule="exact"/>
        <w:rPr>
          <w:rFonts w:ascii="Arial" w:cs="Arial" w:eastAsia="Arial" w:hAnsi="Arial"/>
          <w:sz w:val="18"/>
          <w:szCs w:val="18"/>
          <w:color w:val="auto"/>
        </w:rPr>
      </w:pPr>
    </w:p>
    <w:p>
      <w:pPr>
        <w:ind w:left="760" w:right="140" w:firstLine="761"/>
        <w:spacing w:after="0" w:line="277" w:lineRule="auto"/>
        <w:tabs>
          <w:tab w:leader="none" w:pos="18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arising from licensing agreements granted in the ordinary course of business and consistent with past practices which do not materially interfere with the ordinary conduct of business of the Company and its Restricted Subsidiaries; and</w:t>
      </w:r>
    </w:p>
    <w:p>
      <w:pPr>
        <w:spacing w:after="0" w:line="170" w:lineRule="exact"/>
        <w:rPr>
          <w:rFonts w:ascii="Arial" w:cs="Arial" w:eastAsia="Arial" w:hAnsi="Arial"/>
          <w:sz w:val="18"/>
          <w:szCs w:val="18"/>
          <w:color w:val="auto"/>
        </w:rPr>
      </w:pPr>
    </w:p>
    <w:p>
      <w:pPr>
        <w:ind w:left="760" w:firstLine="761"/>
        <w:spacing w:after="0" w:line="286" w:lineRule="auto"/>
        <w:tabs>
          <w:tab w:leader="none" w:pos="186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Liens on accounts receivable originated by the Company and its Restricted Subsidiaries, any related assets and proceeds thereof that are sold, conveyed or otherwise transferred pursuant to a Receivables Financing permitted pursuant to clause (10) of the second paragraph of the covenant described under “-Certain Covenants-Incurrence of Indebtedness and Issuance of Preferred Stock”.</w:t>
      </w:r>
    </w:p>
    <w:p>
      <w:pPr>
        <w:spacing w:after="0" w:line="166" w:lineRule="exact"/>
        <w:rPr>
          <w:sz w:val="20"/>
          <w:szCs w:val="20"/>
          <w:color w:val="auto"/>
        </w:rPr>
      </w:pPr>
    </w:p>
    <w:p>
      <w:pPr>
        <w:ind w:right="480" w:firstLine="756"/>
        <w:spacing w:after="0" w:line="342" w:lineRule="auto"/>
        <w:rPr>
          <w:sz w:val="20"/>
          <w:szCs w:val="20"/>
          <w:color w:val="auto"/>
        </w:rPr>
      </w:pPr>
      <w:r>
        <w:rPr>
          <w:rFonts w:ascii="Arial" w:cs="Arial" w:eastAsia="Arial" w:hAnsi="Arial"/>
          <w:sz w:val="16"/>
          <w:szCs w:val="16"/>
          <w:color w:val="auto"/>
        </w:rPr>
        <w:t>During any Suspension Period, the relevant clauses of the covenant entitled “-Certain Covenants-Incurrence of Indebtedness and Issuance of Preferred Stock” shall be deemed to be in effect solely for purposes of determining the amount available under clauses (1) and (5) above.</w:t>
      </w:r>
    </w:p>
    <w:p>
      <w:pPr>
        <w:spacing w:after="0" w:line="124" w:lineRule="exact"/>
        <w:rPr>
          <w:sz w:val="20"/>
          <w:szCs w:val="20"/>
          <w:color w:val="auto"/>
        </w:rPr>
      </w:pPr>
    </w:p>
    <w:p>
      <w:pPr>
        <w:jc w:val="both"/>
        <w:ind w:firstLine="7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(such other Indebtedness, “</w:t>
      </w:r>
      <w:r>
        <w:rPr>
          <w:rFonts w:ascii="Arial" w:cs="Arial" w:eastAsia="Arial" w:hAnsi="Arial"/>
          <w:sz w:val="17"/>
          <w:szCs w:val="17"/>
          <w:i w:val="1"/>
          <w:iCs w:val="1"/>
          <w:color w:val="auto"/>
        </w:rPr>
        <w:t>Refinanced Indebtedness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66" w:lineRule="exact"/>
        <w:rPr>
          <w:sz w:val="20"/>
          <w:szCs w:val="20"/>
          <w:color w:val="auto"/>
        </w:rPr>
      </w:pPr>
    </w:p>
    <w:p>
      <w:pPr>
        <w:ind w:left="760" w:right="360" w:firstLine="761"/>
        <w:spacing w:after="0" w:line="264" w:lineRule="auto"/>
        <w:tabs>
          <w:tab w:leader="none" w:pos="17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expenses incurred in connection therewith including premiums paid, if any, to the holders thereto);</w:t>
      </w:r>
    </w:p>
    <w:p>
      <w:pPr>
        <w:spacing w:after="0" w:line="181" w:lineRule="exact"/>
        <w:rPr>
          <w:rFonts w:ascii="Arial" w:cs="Arial" w:eastAsia="Arial" w:hAnsi="Arial"/>
          <w:sz w:val="18"/>
          <w:szCs w:val="18"/>
          <w:color w:val="auto"/>
        </w:rPr>
      </w:pPr>
    </w:p>
    <w:p>
      <w:pPr>
        <w:ind w:left="760" w:right="120" w:firstLine="761"/>
        <w:spacing w:after="0" w:line="302" w:lineRule="auto"/>
        <w:tabs>
          <w:tab w:leader="none" w:pos="177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the Refinanced Indebtedness, and the portion, if any, of the Permitted Refinancing Indebtedness that is scheduled to mature on or prior to the maturity date of the Notes has a Weighted Average Life to Maturity at the time such Permitted Refinancing Indebtedness is incurred that is equal to or greater than the Weighted Average Life to Maturity of the portion of the Refinanced Indebtedness that is scheduled to mature on or prior to the maturity date of the Notes;</w:t>
      </w:r>
    </w:p>
    <w:p>
      <w:pPr>
        <w:spacing w:after="0" w:line="154" w:lineRule="exact"/>
        <w:rPr>
          <w:rFonts w:ascii="Arial" w:cs="Arial" w:eastAsia="Arial" w:hAnsi="Arial"/>
          <w:sz w:val="16"/>
          <w:szCs w:val="16"/>
          <w:color w:val="auto"/>
        </w:rPr>
      </w:pPr>
    </w:p>
    <w:p>
      <w:pPr>
        <w:ind w:left="760" w:right="540" w:firstLine="761"/>
        <w:spacing w:after="0" w:line="264" w:lineRule="auto"/>
        <w:tabs>
          <w:tab w:leader="none" w:pos="17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Refinanced Indebtedness is subordinated in right of payment to the Notes, such Permitted Refinancing Indebtedness is subordinated in right of payment to the Notes on terms at least as favorable to the Holders of Notes as those contained in the documentation governing the Refinanced Indebtedness;</w:t>
      </w:r>
    </w:p>
    <w:p>
      <w:pPr>
        <w:spacing w:after="0" w:line="181" w:lineRule="exact"/>
        <w:rPr>
          <w:rFonts w:ascii="Arial" w:cs="Arial" w:eastAsia="Arial" w:hAnsi="Arial"/>
          <w:sz w:val="18"/>
          <w:szCs w:val="18"/>
          <w:color w:val="auto"/>
        </w:rPr>
      </w:pPr>
    </w:p>
    <w:p>
      <w:pPr>
        <w:ind w:left="760" w:right="400" w:firstLine="761"/>
        <w:spacing w:after="0" w:line="277" w:lineRule="auto"/>
        <w:tabs>
          <w:tab w:leader="none" w:pos="17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Indebtedness shall not be incurred by a Restricted Subsidiary that is not a Guarantor to refinance debt of the Company or a Guarantor; and</w:t>
      </w:r>
    </w:p>
    <w:p>
      <w:pPr>
        <w:spacing w:after="0" w:line="170" w:lineRule="exact"/>
        <w:rPr>
          <w:rFonts w:ascii="Arial" w:cs="Arial" w:eastAsia="Arial" w:hAnsi="Arial"/>
          <w:sz w:val="18"/>
          <w:szCs w:val="18"/>
          <w:color w:val="auto"/>
        </w:rPr>
      </w:pPr>
    </w:p>
    <w:p>
      <w:pPr>
        <w:ind w:left="760" w:right="160" w:firstLine="761"/>
        <w:spacing w:after="0" w:line="257" w:lineRule="auto"/>
        <w:tabs>
          <w:tab w:leader="none" w:pos="177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proceeds of the Permitted Refinancing Indebtedness shall be used substantially concurrently with the incurrence thereof to redeem or refinance the Refinanced Indebtedness, unless, in the case of a redemption or refinancing, the Refinanced Indebtedness is not then due and is not redeemable or prepayable at the option of the obligor thereof or is redeemable or prepayable only with notice, in which case such proceeds shall be held in a segregated account of the obligor of the Refinanced Indebtedness until the Refinanced Indebtedness becomes due or redeemable or prepayable or such notice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584" w:right="279" w:bottom="1440" w:gutter="0" w:footer="0" w:header="0"/>
        </w:sectPr>
      </w:pPr>
    </w:p>
    <w:bookmarkStart w:id="81" w:name="page82"/>
    <w:bookmarkEnd w:id="81"/>
    <w:p>
      <w:pPr>
        <w:ind w:left="760" w:right="340"/>
        <w:spacing w:after="0" w:line="277" w:lineRule="auto"/>
        <w:rPr>
          <w:sz w:val="20"/>
          <w:szCs w:val="20"/>
          <w:color w:val="auto"/>
        </w:rPr>
      </w:pPr>
      <w:r>
        <w:rPr>
          <w:rFonts w:ascii="Arial" w:cs="Arial" w:eastAsia="Arial" w:hAnsi="Arial"/>
          <w:sz w:val="18"/>
          <w:szCs w:val="18"/>
          <w:color w:val="auto"/>
        </w:rPr>
        <w:t xml:space="preserve">period lapses and then shall be used to refinance the Refinanced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the Refinanced Indebtedness shall be redeemed or refinanced within six months of the incurrence of the Refinancing Indebtedness.</w:t>
      </w:r>
    </w:p>
    <w:p>
      <w:pPr>
        <w:spacing w:after="0" w:line="184" w:lineRule="exact"/>
        <w:rPr>
          <w:sz w:val="20"/>
          <w:szCs w:val="20"/>
          <w:color w:val="auto"/>
        </w:rPr>
      </w:pPr>
    </w:p>
    <w:p>
      <w:pPr>
        <w:jc w:val="both"/>
        <w:ind w:right="1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181" w:lineRule="exact"/>
        <w:rPr>
          <w:sz w:val="20"/>
          <w:szCs w:val="20"/>
          <w:color w:val="auto"/>
        </w:rPr>
      </w:pPr>
    </w:p>
    <w:p>
      <w:pPr>
        <w:jc w:val="both"/>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Principals</w:t>
      </w:r>
      <w:r>
        <w:rPr>
          <w:rFonts w:ascii="Arial" w:cs="Arial" w:eastAsia="Arial" w:hAnsi="Arial"/>
          <w:sz w:val="18"/>
          <w:szCs w:val="18"/>
          <w:color w:val="auto"/>
        </w:rPr>
        <w:t>” means the Hagedorn Partnership, L.P. and the general partners of the Hagedorn Partnership, L.P. on the Issue Date and, in the case of such individuals, their respective executors, administrators and heirs and their families and trusts for their benefit.</w:t>
      </w:r>
    </w:p>
    <w:p>
      <w:pPr>
        <w:spacing w:after="0" w:line="170" w:lineRule="exact"/>
        <w:rPr>
          <w:sz w:val="20"/>
          <w:szCs w:val="20"/>
          <w:color w:val="auto"/>
        </w:rPr>
      </w:pPr>
    </w:p>
    <w:p>
      <w:pPr>
        <w:ind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147" w:lineRule="exact"/>
        <w:rPr>
          <w:sz w:val="20"/>
          <w:szCs w:val="20"/>
          <w:color w:val="auto"/>
        </w:rPr>
      </w:pPr>
    </w:p>
    <w:p>
      <w:pPr>
        <w:ind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Financing</w:t>
      </w:r>
      <w:r>
        <w:rPr>
          <w:rFonts w:ascii="Arial" w:cs="Arial" w:eastAsia="Arial" w:hAnsi="Arial"/>
          <w:sz w:val="18"/>
          <w:szCs w:val="18"/>
          <w:color w:val="auto"/>
        </w:rPr>
        <w:t>” means, with respect to the Company or any of its Restricted Subsidiaries, any discounting, factoring or securitization arrangement pursuant to which the Company or any Restricted Subsidiary sells, conveys or otherwise transfers to a Restricted Subsidiary or any other Person, or grants a security interest in, any accounts receivable originated by the Company or such Restricted Subsidiary, as the case may be, together with any related assets, or pursuant to which ownership interests in, or notes, commercial paper, certificates or other debt instruments may be secured by such accounts receivable and related assets.</w:t>
      </w:r>
    </w:p>
    <w:p>
      <w:pPr>
        <w:spacing w:after="0" w:line="188" w:lineRule="exact"/>
        <w:rPr>
          <w:sz w:val="20"/>
          <w:szCs w:val="20"/>
          <w:color w:val="auto"/>
        </w:rPr>
      </w:pPr>
    </w:p>
    <w:p>
      <w:pPr>
        <w:ind w:right="1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Notes, dated as of the Issue Date, among the Company, the Guarantors and the Initial Purchasers, as amended, supplemented or modified from time to time, and any similar agreement entered into in connection with the issuance of any Additional Notes.</w:t>
      </w:r>
    </w:p>
    <w:p>
      <w:pPr>
        <w:spacing w:after="0" w:line="181" w:lineRule="exact"/>
        <w:rPr>
          <w:sz w:val="20"/>
          <w:szCs w:val="20"/>
          <w:color w:val="auto"/>
        </w:rPr>
      </w:pPr>
    </w:p>
    <w:p>
      <w:pPr>
        <w:ind w:right="80" w:firstLine="7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Business</w:t>
      </w:r>
      <w:r>
        <w:rPr>
          <w:rFonts w:ascii="Arial" w:cs="Arial" w:eastAsia="Arial" w:hAnsi="Arial"/>
          <w:sz w:val="17"/>
          <w:szCs w:val="17"/>
          <w:color w:val="auto"/>
        </w:rPr>
        <w:t>”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147" w:lineRule="exact"/>
        <w:rPr>
          <w:sz w:val="20"/>
          <w:szCs w:val="20"/>
          <w:color w:val="auto"/>
        </w:rPr>
      </w:pPr>
    </w:p>
    <w:p>
      <w:pPr>
        <w:ind w:right="320" w:firstLine="7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with respect to any Principal means any trust, corporation, partnership or other entity, the beneficiaries, stockholders, partners, owners or Persons beneficially holding an 80% or more controlling interest of which consist of such Principal.</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S&amp;P</w:t>
      </w:r>
      <w:r>
        <w:rPr>
          <w:rFonts w:ascii="Arial" w:cs="Arial" w:eastAsia="Arial" w:hAnsi="Arial"/>
          <w:sz w:val="17"/>
          <w:szCs w:val="17"/>
          <w:color w:val="auto"/>
        </w:rPr>
        <w:t>” means Standard &amp; Poor’s Rating Services, a division of McGraw Hill, Inc., a New York corporation, or any successor rating agency.</w:t>
      </w:r>
    </w:p>
    <w:p>
      <w:pPr>
        <w:spacing w:after="0" w:line="237" w:lineRule="exact"/>
        <w:rPr>
          <w:sz w:val="20"/>
          <w:szCs w:val="20"/>
          <w:color w:val="auto"/>
        </w:rPr>
      </w:pPr>
    </w:p>
    <w:p>
      <w:pPr>
        <w:ind w:right="4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Transactions</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60"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(1) any Subsidiary that would be a “significant subsidiary” as defined in Article 1, Rule 1-02 of Regulation S-X, promulgated pursuant to the Exchange Act, as such Regulation is in effect on the date hereof and (2) any Restricted Subsidiary that when aggregated with all other Restricted Subsidiaries that are not otherwise Significant Subsidiaries would constitute a Significant Subsidiary under clause (1) of this definition.</w:t>
      </w:r>
    </w:p>
    <w:p>
      <w:pPr>
        <w:spacing w:after="0" w:line="147" w:lineRule="exact"/>
        <w:rPr>
          <w:sz w:val="20"/>
          <w:szCs w:val="20"/>
          <w:color w:val="auto"/>
        </w:rPr>
      </w:pPr>
    </w:p>
    <w:p>
      <w:pPr>
        <w:ind w:right="18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Payments</w:t>
      </w:r>
      <w:r>
        <w:rPr>
          <w:rFonts w:ascii="Arial" w:cs="Arial" w:eastAsia="Arial" w:hAnsi="Arial"/>
          <w:sz w:val="18"/>
          <w:szCs w:val="18"/>
          <w:color w:val="auto"/>
        </w:rPr>
        <w:t>” means Permitted Investments pursuant to clauses (13) and (14) of the definition of “</w:t>
      </w:r>
      <w:r>
        <w:rPr>
          <w:rFonts w:ascii="Arial" w:cs="Arial" w:eastAsia="Arial" w:hAnsi="Arial"/>
          <w:sz w:val="18"/>
          <w:szCs w:val="18"/>
          <w:i w:val="1"/>
          <w:iCs w:val="1"/>
          <w:color w:val="auto"/>
        </w:rPr>
        <w:t>Permitted Investments</w:t>
      </w:r>
      <w:r>
        <w:rPr>
          <w:rFonts w:ascii="Arial" w:cs="Arial" w:eastAsia="Arial" w:hAnsi="Arial"/>
          <w:sz w:val="18"/>
          <w:szCs w:val="18"/>
          <w:color w:val="auto"/>
        </w:rPr>
        <w:t>” and any Restricted Investments pursuant to the first paragraph and clauses (1) and (2) of the covenant “-Certain Covenants-Restricted Investments,” in each case, to the extent made in cash.</w:t>
      </w:r>
    </w:p>
    <w:p>
      <w:pPr>
        <w:spacing w:after="0" w:line="181" w:lineRule="exact"/>
        <w:rPr>
          <w:sz w:val="20"/>
          <w:szCs w:val="20"/>
          <w:color w:val="auto"/>
        </w:rPr>
      </w:pPr>
    </w:p>
    <w:p>
      <w:pPr>
        <w:jc w:val="both"/>
        <w:ind w:right="80" w:firstLine="7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368" w:right="279" w:bottom="1440" w:gutter="0" w:footer="0" w:header="0"/>
        </w:sectPr>
      </w:pPr>
    </w:p>
    <w:bookmarkStart w:id="82" w:name="page83"/>
    <w:bookmarkEnd w:id="82"/>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760" w:right="160" w:firstLine="761"/>
        <w:spacing w:after="0" w:line="259" w:lineRule="auto"/>
        <w:tabs>
          <w:tab w:leader="none" w:pos="177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thereto); and</w:t>
      </w:r>
    </w:p>
    <w:p>
      <w:pPr>
        <w:spacing w:after="0" w:line="186" w:lineRule="exact"/>
        <w:rPr>
          <w:rFonts w:ascii="Arial" w:cs="Arial" w:eastAsia="Arial" w:hAnsi="Arial"/>
          <w:sz w:val="18"/>
          <w:szCs w:val="18"/>
          <w:color w:val="auto"/>
        </w:rPr>
      </w:pPr>
    </w:p>
    <w:p>
      <w:pPr>
        <w:ind w:left="1780" w:hanging="259"/>
        <w:spacing w:after="0"/>
        <w:tabs>
          <w:tab w:leader="none" w:pos="17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1020" w:hanging="256"/>
        <w:spacing w:after="0"/>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of one or more Subsidiaries of such Person (or any combination thereto).</w:t>
      </w:r>
    </w:p>
    <w:p>
      <w:pPr>
        <w:spacing w:after="0" w:line="211" w:lineRule="exact"/>
        <w:rPr>
          <w:sz w:val="20"/>
          <w:szCs w:val="20"/>
          <w:color w:val="auto"/>
        </w:rPr>
      </w:pPr>
    </w:p>
    <w:p>
      <w:pPr>
        <w:ind w:right="5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as an Unrestricted Subsidiary pursuant to a Board Resolution, but only to the extent that such Subsidiary:</w:t>
      </w:r>
    </w:p>
    <w:p>
      <w:pPr>
        <w:spacing w:after="0" w:line="170" w:lineRule="exact"/>
        <w:rPr>
          <w:sz w:val="20"/>
          <w:szCs w:val="20"/>
          <w:color w:val="auto"/>
        </w:rPr>
      </w:pPr>
    </w:p>
    <w:p>
      <w:pPr>
        <w:ind w:left="1780" w:hanging="259"/>
        <w:spacing w:after="0"/>
        <w:tabs>
          <w:tab w:leader="none" w:pos="1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25" w:lineRule="exact"/>
        <w:rPr>
          <w:rFonts w:ascii="Arial" w:cs="Arial" w:eastAsia="Arial" w:hAnsi="Arial"/>
          <w:sz w:val="18"/>
          <w:szCs w:val="18"/>
          <w:color w:val="auto"/>
        </w:rPr>
      </w:pPr>
    </w:p>
    <w:p>
      <w:pPr>
        <w:ind w:left="760" w:right="80" w:firstLine="761"/>
        <w:spacing w:after="0" w:line="286" w:lineRule="auto"/>
        <w:tabs>
          <w:tab w:leader="none" w:pos="177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65" w:lineRule="exact"/>
        <w:rPr>
          <w:rFonts w:ascii="Arial" w:cs="Arial" w:eastAsia="Arial" w:hAnsi="Arial"/>
          <w:sz w:val="17"/>
          <w:szCs w:val="17"/>
          <w:color w:val="auto"/>
        </w:rPr>
      </w:pPr>
    </w:p>
    <w:p>
      <w:pPr>
        <w:jc w:val="both"/>
        <w:ind w:left="760" w:right="140" w:firstLine="761"/>
        <w:spacing w:after="0" w:line="264" w:lineRule="auto"/>
        <w:tabs>
          <w:tab w:leader="none" w:pos="17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181" w:lineRule="exact"/>
        <w:rPr>
          <w:rFonts w:ascii="Arial" w:cs="Arial" w:eastAsia="Arial" w:hAnsi="Arial"/>
          <w:sz w:val="18"/>
          <w:szCs w:val="18"/>
          <w:color w:val="auto"/>
        </w:rPr>
      </w:pPr>
    </w:p>
    <w:p>
      <w:pPr>
        <w:ind w:left="760" w:right="420" w:firstLine="761"/>
        <w:spacing w:after="0" w:line="277" w:lineRule="auto"/>
        <w:tabs>
          <w:tab w:leader="none" w:pos="17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right="20" w:firstLine="756"/>
        <w:spacing w:after="0" w:line="287" w:lineRule="auto"/>
        <w:rPr>
          <w:sz w:val="20"/>
          <w:szCs w:val="20"/>
          <w:color w:val="auto"/>
        </w:rPr>
      </w:pPr>
      <w:r>
        <w:rPr>
          <w:rFonts w:ascii="Arial" w:cs="Arial" w:eastAsia="Arial" w:hAnsi="Arial"/>
          <w:sz w:val="16"/>
          <w:szCs w:val="16"/>
          <w:color w:val="auto"/>
        </w:rPr>
        <w:t xml:space="preserve">Any designation after the date of the Indenture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Covenants-Unrestricted Subsidiaries.”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69" w:lineRule="exact"/>
        <w:rPr>
          <w:sz w:val="20"/>
          <w:szCs w:val="20"/>
          <w:color w:val="auto"/>
        </w:rPr>
      </w:pPr>
    </w:p>
    <w:p>
      <w:pPr>
        <w:ind w:right="700" w:firstLine="756"/>
        <w:spacing w:after="0" w:line="312" w:lineRule="auto"/>
        <w:rPr>
          <w:sz w:val="20"/>
          <w:szCs w:val="20"/>
          <w:color w:val="auto"/>
        </w:rPr>
      </w:pPr>
      <w:r>
        <w:rPr>
          <w:rFonts w:ascii="Arial" w:cs="Arial" w:eastAsia="Arial" w:hAnsi="Arial"/>
          <w:sz w:val="16"/>
          <w:szCs w:val="16"/>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 Notwithstanding the foregoing, no Subsidiary of the Company shall be designated an Unrestricted Subsidiary during any Suspension Period.</w:t>
      </w:r>
    </w:p>
    <w:p>
      <w:pPr>
        <w:spacing w:after="0" w:line="147" w:lineRule="exact"/>
        <w:rPr>
          <w:sz w:val="20"/>
          <w:szCs w:val="20"/>
          <w:color w:val="auto"/>
        </w:rPr>
      </w:pPr>
    </w:p>
    <w:p>
      <w:pPr>
        <w:ind w:right="100" w:firstLine="7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187" w:lineRule="exact"/>
        <w:rPr>
          <w:sz w:val="20"/>
          <w:szCs w:val="20"/>
          <w:color w:val="auto"/>
        </w:rPr>
      </w:pPr>
    </w:p>
    <w:p>
      <w:pPr>
        <w:ind w:right="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70" w:lineRule="exact"/>
        <w:rPr>
          <w:sz w:val="20"/>
          <w:szCs w:val="20"/>
          <w:color w:val="auto"/>
        </w:rPr>
      </w:pPr>
    </w:p>
    <w:p>
      <w:pPr>
        <w:ind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584" w:right="259" w:bottom="1440" w:gutter="0" w:footer="0" w:header="0"/>
        </w:sectPr>
      </w:pPr>
    </w:p>
    <w:bookmarkStart w:id="83" w:name="page84"/>
    <w:bookmarkEnd w:id="83"/>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25" w:lineRule="exact"/>
        <w:rPr>
          <w:sz w:val="20"/>
          <w:szCs w:val="20"/>
          <w:color w:val="auto"/>
        </w:rPr>
      </w:pPr>
    </w:p>
    <w:p>
      <w:pPr>
        <w:jc w:val="both"/>
        <w:ind w:left="760" w:right="220" w:firstLine="761"/>
        <w:spacing w:after="0" w:line="264" w:lineRule="auto"/>
        <w:tabs>
          <w:tab w:leader="none" w:pos="17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181" w:lineRule="exact"/>
        <w:rPr>
          <w:rFonts w:ascii="Arial" w:cs="Arial" w:eastAsia="Arial" w:hAnsi="Arial"/>
          <w:sz w:val="18"/>
          <w:szCs w:val="18"/>
          <w:color w:val="auto"/>
        </w:rPr>
      </w:pPr>
    </w:p>
    <w:p>
      <w:pPr>
        <w:ind w:left="1780" w:hanging="259"/>
        <w:spacing w:after="0"/>
        <w:tabs>
          <w:tab w:leader="none" w:pos="17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certain U.S. federal income tax consequences of the exchange of the original notes for the exchange notes pursuant to the exchange offer and the ownership and disposition of the exchange notes acquired by holders pursuant to the exchange offer. This summary is based upon the provisions of the Internal Revenue Code of 1986, as amended (the “Code”), applicable U.S. Treasury Regulations promulgated thereunder, judicial authorities and administrative interpretations, in each case as of the date of this prospectus, all of which are subject to change and different interpretations, possibly with retroactive effect. We cannot assure you that the Internal Revenue Service (the “IRS”) will not challenge one or more of the tax consequences described in this discussion, and we have not obtained, nor do we intend to obtain, a ruling from the IRS or an opinion of counsel with respect to the U.S. federal income tax consequences of the exchange of the original notes for the exchange notes and the ownership and disposition of the exchange notes.</w:t>
      </w:r>
    </w:p>
    <w:p>
      <w:pPr>
        <w:spacing w:after="0" w:line="16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This discussion deals only with original notes and exchange notes that are held as capital assets by a holder who exchanges original notes for exchange notes pursuant to the exchange offer. 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such as banks and other financial institutions, insurance companies, regulated investment companies, tax-exempt entities, dealers in securities, partnerships or other pass-through entities (or investors in such entities), U.S. holders (as defined below) whose “functional currency” is not the U.S. dollar, U.S. holders that hold original notes or exchange notes through non-U.S. brokers or other non-U.S. intermediaries, persons subject to the alternative minimum tax, U.S. expatriates and former long-term residents of the United States or persons that hold original notes or exchange notes as part of a hedge, wash sale, conversion transaction, straddle or other risk reduction transaction. Moreover, this discussion does not address the tax consequences arising under any applicable state, local or non-U.S. tax laws or the application of any U.S. federal taxes other than U.S. federal income taxes (such as U.S. federal estate or gift taxes).</w:t>
      </w:r>
    </w:p>
    <w:p>
      <w:pPr>
        <w:spacing w:after="0" w:line="178"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If any entity treated as a partnership for U.S. federal income tax purposes holds original notes or exchange notes, the U.S. federal income tax treatment of a partner in the partnership generally will depend upon the status of the partner and the activities of the partnership. If you are a partnership or a partner in a partnership considering the exchange of original notes for exchange notes, you are urged to consult your own tax advisor about the tax consequences of exchanging the original notes for the exchange notes and owning and disposing of the exchange notes.</w:t>
      </w:r>
    </w:p>
    <w:p>
      <w:pPr>
        <w:spacing w:after="0" w:line="167" w:lineRule="exact"/>
        <w:rPr>
          <w:sz w:val="20"/>
          <w:szCs w:val="20"/>
          <w:color w:val="auto"/>
        </w:rPr>
      </w:pPr>
    </w:p>
    <w:p>
      <w:pPr>
        <w:ind w:right="300" w:firstLine="405"/>
        <w:spacing w:after="0" w:line="347" w:lineRule="auto"/>
        <w:rPr>
          <w:sz w:val="20"/>
          <w:szCs w:val="20"/>
          <w:color w:val="auto"/>
        </w:rPr>
      </w:pPr>
      <w:r>
        <w:rPr>
          <w:rFonts w:ascii="Arial" w:cs="Arial" w:eastAsia="Arial" w:hAnsi="Arial"/>
          <w:sz w:val="16"/>
          <w:szCs w:val="16"/>
          <w:b w:val="1"/>
          <w:bCs w:val="1"/>
          <w:color w:val="auto"/>
        </w:rPr>
        <w:t>Holders considering the exchange of original notes for exchange notes should consult their own tax advisors regarding the application of the U.S. federal tax laws to their particular situations and the applicability and effect of state, local or foreign tax laws and tax treaties.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22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exchange of the original notes for the exchange notes pursuant to the exchange offer will not be treated as a taxable event for U.S. federal income tax purposes because the exchange notes will not be considered to differ materially in kind or extent from the original notes. Consequently, a holder will not recognize gain or loss upon receipt of an exchange note in exchange for an original note. The holding period of an exchange note will include the holding period of the original note exchanged for such exchange note, and the initial tax basis of an exchange note will be the same as the adjusted tax basis in the exchanged original note immediately before the exchange.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Contingent Payments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certain circumstances, we may be obligated to pay amounts on the exchange notes that are in excess of the stated interest on, or principal amount of, the exchange notes and/or the timing of payments on the exchange notes may be affected. See, for example, “Description of Notes-Optional Redemption” and “Description of Notes-Repurchase at the Option of Holders-Offer to Repurchase upon Change of Control.” Certain debt instruments that provide for one or more contingent payments are subject to U.S. Treasury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84" w:name="page85"/>
    <w:bookmarkEnd w:id="84"/>
    <w:p>
      <w:pPr>
        <w:ind w:right="20"/>
        <w:spacing w:after="0" w:line="270" w:lineRule="auto"/>
        <w:rPr>
          <w:sz w:val="20"/>
          <w:szCs w:val="20"/>
          <w:color w:val="auto"/>
        </w:rPr>
      </w:pPr>
      <w:r>
        <w:rPr>
          <w:rFonts w:ascii="Arial" w:cs="Arial" w:eastAsia="Arial" w:hAnsi="Arial"/>
          <w:sz w:val="17"/>
          <w:szCs w:val="17"/>
          <w:color w:val="auto"/>
        </w:rPr>
        <w:t>Regulations governing contingent payment debt instruments. A payment is not treated as a contingent payment under these U.S. Treasury Regulations if, as of the issue date of the debt instrument, the likelihood that such payment will be made is “remote” or such contingency is considered “incidental.” We intend to take the position that the possibility that any such excess payment will be made is remote and/or incidental and, accordingly, we do not intend to treat the exchange notes as contingent payment debt instruments. Under applicable U.S. Treasury Regulations, our determination that such contingencies are remote and/or incidental is binding on all holders of the exchange notes (other than holders that properly disclose to the IRS that they are taking a different position) but is not binding on the IRS. The IRS may take a contrary position that, if sustained, could require holders subject to U.S. federal income taxation to accrue ordinary interest income on the exchange notes at a rate in excess of the rate of stated interest and to treat any gain recognized on a sale or other taxable disposition of an exchange note as ordinary interest income rather than as capital gain. The remainder of this discussion assumes that the exchange notes are not contingent payment debt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You are a “U.S. holder” for purposes of this discussion if you are a beneficial owner of an original note or exchange note and, for U.S. federal income tax purposes, you are:</w:t>
      </w:r>
    </w:p>
    <w:p>
      <w:pPr>
        <w:spacing w:after="0" w:line="170" w:lineRule="exact"/>
        <w:rPr>
          <w:sz w:val="20"/>
          <w:szCs w:val="20"/>
          <w:color w:val="auto"/>
        </w:rPr>
      </w:pPr>
    </w:p>
    <w:p>
      <w:pPr>
        <w:ind w:left="1160" w:hanging="342"/>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23" w:lineRule="exact"/>
        <w:rPr>
          <w:rFonts w:ascii="Arial" w:cs="Arial" w:eastAsia="Arial" w:hAnsi="Arial"/>
          <w:sz w:val="18"/>
          <w:szCs w:val="18"/>
          <w:color w:val="auto"/>
        </w:rPr>
      </w:pPr>
    </w:p>
    <w:p>
      <w:pPr>
        <w:ind w:left="1160" w:hanging="342"/>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9" w:lineRule="exact"/>
        <w:rPr>
          <w:rFonts w:ascii="Arial" w:cs="Arial" w:eastAsia="Arial" w:hAnsi="Arial"/>
          <w:sz w:val="18"/>
          <w:szCs w:val="18"/>
          <w:color w:val="auto"/>
        </w:rPr>
      </w:pPr>
    </w:p>
    <w:p>
      <w:pPr>
        <w:ind w:left="1160" w:hanging="342"/>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1160" w:right="60" w:hanging="342"/>
        <w:spacing w:after="0" w:line="255" w:lineRule="auto"/>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trust, if (i) a U.S. court is able to exercise primary supervision over the administration of the trust and one or more United States persons (as defined under the Code) have the authority to control all substantial decisions of the trust or (ii) the trust has a valid election in effect under applicable U.S. Treasury Regulations to be treated as a United States 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Stated Interest on the Exchange Notes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Stated interest on the exchange notes generally will be taxable to a U.S. holder as ordinary interest income at the time such stated interest is received or accrued in accordance with the U.S. holder’s regular method of accounting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Discount</w:t>
      </w:r>
    </w:p>
    <w:p>
      <w:pPr>
        <w:spacing w:after="0" w:line="225"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that was less than its principal amount, the amount of the difference will be treated as market discount for U.S. federal income tax purposes. Any market discount applicable to an original note will carry over to the exchange note received in exchange for such original note. The amount of any market discount will be treated as de minimis and will be disregarded if it is less than one-quarter of one percent (0.25%) of the principal amount of the original note, multiplied by the number of complete years to maturity at the time that such original note was purchased by the U.S. holder. The rules described below do not apply to a U.S. holder who purchased an original note that has de minimis market discount.</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Under the market discount rules, a U.S. holder will be required to treat any principal payment on, or any gain on the sale, exchange, redemption, retirement or other taxable disposition of, an exchange note as ordinary income to the extent of any accrued market discount (on the original note or the exchange note) that has not previously been included in income. If a U.S. holder disposes of an exchange note in an otherwise nontaxable transaction (other than certain specified nonrecognition transactions), the U.S. holder will be required to include any accrued market discount as ordinary income as if the U.S. holder had sold the exchange note at its then fair market value. In addition, a U.S. holder may be required to defer, until the maturity of the exchange note or its earlier disposition in a taxable transaction, the deduction of a portion of the interest expense on any indebtedness incurred or continued to purchase or carry the original note or the exchange note received in exchange for the original note.</w:t>
      </w:r>
    </w:p>
    <w:p>
      <w:pPr>
        <w:spacing w:after="0" w:line="17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Market discount accrues ratably during the period from the date on which a U.S. holder acquired the original note through the maturity date of the exchange note (for which the original note was exchanged), unless the U.S. holder makes an irrevocable election to accrue market discount under a constant yield method. A U.S. holder may elect to include market discount in income currently as it accrues (either ratably or under the constant yield method), in which case the rule described above regarding deferral of interest deductions will not apply. If a U.S. holder elects to include market discount in income currently, the U.S. holder’s adjusted tax basis in an exchange note will be increased by any market discount included in income. A U.S. holder’s election to include market discount in income currently, once made, will apply to all market discount obligations acquired by the U.S. holder during or after the first taxable year in which the election is made and may not be revoked without the consent of the IRS. U.S. holders should consult their own tax advisors before making this election.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in excess of its principal amount, the excess will be treated as bond premium. Any bond premium applicable to an original note will carry over to the exchange note received in exchange for such original note. A U.S. holder generally may elect to amortize bond premium over the remaining term of an exchange note on a constant yield method. In such case, the U.S. holder will reduce the amount required to be included in income each year with respect to interest on the exchange note by the amount of amortizable bond premium allocable to such year. Because we may call the notes under certain circumstances at a price in excess of their principal amount, the deduction for amortizable bond premium may be reduced or delayed. A U.S. holder’s election to amortize bond premium on a constant yield method, once made, applies to all taxable bonds held or subsequently acquired by the U.S. holder on or after the first day of the first taxable year for which the election is made and may not be revoked without the consent of the IRS.</w:t>
      </w:r>
    </w:p>
    <w:p>
      <w:pPr>
        <w:spacing w:after="0" w:line="17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If a U.S. holder elected to amortize bond premium on an original note, such election will carry over to the exchange note received in exchange for such original note. If a U.S. holder does not make this election, the U.S. holder will be required to include in gross income the full amount of interest on the exchange note in accordance with the U.S. holder’s regular method of accounting and will include the premium in the tax basis of the exchange note for purposes of computing the amount of any gain or loss recognized on a taxable disposition of the exchange note. U.S. holders should consult their own tax advisors concerning the computation and amortization of any bond premium on the exchange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 U.S. holder generally will recognize capital gain or loss on a sale, redemption, exchange, retirement or other taxable disposition of an exchange note equal to the difference, if any, between (i) the amount realized on such disposition (excluding amounts attributable to any accrued but unpaid stated interest, which will be taxable as ordinary income to the extent the U.S. holder has not previously included such amounts in income) and (ii) the U.S. holder’s adjusted tax basis in the exchange note. The amount realized will equal the sum of any cash and the fair market value of any other property received on the disposition. A U.S. holder’s adjusted tax basis in an exchange note generally will equal the initial tax basis of such exchange note, increased by market discount previously included in gross income and decreased (but not below zero) by payments previously received other than stated interest payments and by amortized bond premium. Any such gain or loss will be long-term capital gain or loss if the holding period of the exchange note is more than one year at the time of the disposition. Long-term capital gains of non-corporate U.S. holders generally are eligible for reduced rates of taxation. The deductibility of capital losses is subject to limitations.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Payments of stated interest and the proceeds of a disposition (including a retirement or redemption) of exchange notes held by a U.S. holder may be reported to the IRS. These information reporting requirements, however, do not apply with respect to certain exempt U.S. holders, such as corporations.</w:t>
      </w:r>
    </w:p>
    <w:p>
      <w:pPr>
        <w:spacing w:after="0" w:line="124"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Backup withholding (currently at a rate of 28%) may apply to payments of the foregoing amounts, unless the U.S. holder provides the applicable withholding agent with the U.S. holder’s taxpayer identification number, as well as certain other information, or otherwise establishes an exemption from backup withholding.</w:t>
      </w:r>
    </w:p>
    <w:p>
      <w:pPr>
        <w:spacing w:after="0" w:line="18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Backup withholding is not an additional tax. A U.S. holder subject to backup withholding may be allowed a credit in the amount withheld against such U.S. holder’s U.S. federal income tax liability and, if withholding results in an overpayment of tax, such U.S. holder may be entitled to a refund, provided that the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Certain U.S. holders who are individuals, estates or trusts will be subject to a 3.8% Medicare tax on the lesser of (i) the U.S. holder’s “net investment income” in the case of an individual, or undistributed “net investment income” in the case of an estate or trust, in each case for the relevant taxable year and</w:t>
      </w:r>
    </w:p>
    <w:p>
      <w:pPr>
        <w:ind w:right="80" w:firstLine="8"/>
        <w:spacing w:after="0" w:line="290" w:lineRule="auto"/>
        <w:tabs>
          <w:tab w:leader="none" w:pos="26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excess of the U.S. holder’s modified adjusted gross income in the case of an individual, or adjusted gross income in the case of an estate or trust, in each case for the relevant taxable year, over a certain threshold (which in the case of individuals will be between $125,000 and $250,000, depending on the individual’s circumstances). A U.S. holder’s net investment income generally will include its interest income and its net gains from a disposition of an exchange note, unless such interest income or net gains are derived in the ordinary course of the conduct of a trade or business (other than a trade or business that consists of certain passive or trading activities). If you are a U.S. holder that is an individual, estate or trust, you should consult your own tax advisor regarding the applicability of the Medicare tax to your income and gains in respect of your investment in the exchange notes.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68"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You are a “non-U.S. holder” for purposes of this discussion if you are a beneficial owner of an original note or exchange note and you are,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 individual, corporation, estate or trust that is not a U.S.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Subject to the discussion below under the headings “-Information Reporting and Backup Withholding” and “Foreign Account Tax Compliance Act,” payments of interest on the exchange notes to a non-U.S. holder generally will be exempt from U.S. federal income and withholding tax under the “portfolio interest” exemption if the non-U.S. holder properly certifies as to its non-U.S. status, as described below, and:</w:t>
      </w:r>
    </w:p>
    <w:p>
      <w:pPr>
        <w:spacing w:after="0" w:line="166" w:lineRule="exact"/>
        <w:rPr>
          <w:sz w:val="20"/>
          <w:szCs w:val="20"/>
          <w:color w:val="auto"/>
        </w:rPr>
      </w:pPr>
    </w:p>
    <w:p>
      <w:pPr>
        <w:ind w:left="1160" w:right="460" w:hanging="342"/>
        <w:spacing w:after="0" w:line="258"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does not own, actually or constructively, 10% or more of the total combined voting power of all classes of our stock entitled to vote;</w:t>
      </w:r>
    </w:p>
    <w:p>
      <w:pPr>
        <w:spacing w:after="0" w:line="1" w:lineRule="exact"/>
        <w:rPr>
          <w:rFonts w:ascii="Arial" w:cs="Arial" w:eastAsia="Arial" w:hAnsi="Arial"/>
          <w:sz w:val="18"/>
          <w:szCs w:val="18"/>
          <w:color w:val="auto"/>
        </w:rPr>
      </w:pPr>
    </w:p>
    <w:p>
      <w:pPr>
        <w:ind w:left="1160" w:hanging="342"/>
        <w:spacing w:after="0" w:line="250" w:lineRule="auto"/>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exchange notes is in connection with an extension of credit made pursuant to a loan agreement entered into in the ordinary course of business;</w:t>
      </w:r>
    </w:p>
    <w:p>
      <w:pPr>
        <w:ind w:left="1160" w:hanging="342"/>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for U.S. federal income tax purposes that is related to us; and</w:t>
      </w:r>
    </w:p>
    <w:p>
      <w:pPr>
        <w:spacing w:after="0" w:line="9" w:lineRule="exact"/>
        <w:rPr>
          <w:rFonts w:ascii="Arial" w:cs="Arial" w:eastAsia="Arial" w:hAnsi="Arial"/>
          <w:sz w:val="18"/>
          <w:szCs w:val="18"/>
          <w:color w:val="auto"/>
        </w:rPr>
      </w:pPr>
    </w:p>
    <w:p>
      <w:pPr>
        <w:ind w:left="1160" w:hanging="342"/>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interest on the exchange notes is not effectively connected with the conduct of a U.S. trade or business by the non-U.S. holder.</w:t>
      </w:r>
    </w:p>
    <w:p>
      <w:pPr>
        <w:spacing w:after="0" w:line="211"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portfolio interest exemption applies only if a non-U.S. holder appropriately certifies as to its non-U.S. status. A non-U.S. holder generally can meet this certification requirement by providing a properly executed IRS Form W-8BEN or W-8BEN-E, as applicable (or appropriate substitute or successor form) to the applicable withholding agent. If a non-U.S. holder holds the exchange notes through a financial institution or other agent acting on such non-U.S. holder’s behalf, such non-U.S. holder may be required to provide appropriate certifications to its agent. Such agent then generally will be required to provide appropriate certifications to the applicable withholding agent, either directly or through other intermediaries.</w:t>
      </w:r>
    </w:p>
    <w:p>
      <w:pPr>
        <w:spacing w:after="0" w:line="173"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U.S. federal withholding tax, currently at a 30% rate, unless (i) the non-U.S. holder provides the applicable withholding agent with a properly executed IRS Form W-8BEN or W-8BEN-E, as applicable (or appropriate substitute or successor form) claiming an exemption from (or a reduction of) withholding under an applicable income tax treaty or (ii) the payments of interest are effectively connected with the non-U.S. holder’s conduct of a trade or business in the United States and the non-U.S. holder meets the certification requirements described below (see “-Income or Gain Effectively Connected with a U.S. Trade or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“Foreign Account Tax Compliance Act,” a non-U.S. holder generally will not be subject to U.S. federal income or withholding tax on any gain realized on a sale, redemption, exchange, retirement or other taxable disposition of an exchange note (other than amounts attributable to accrued and unpaid interest, which will be treated as described above under “-Interest on the Exchange Notes”) unless:</w:t>
      </w:r>
    </w:p>
    <w:p>
      <w:pPr>
        <w:spacing w:after="0" w:line="187" w:lineRule="exact"/>
        <w:rPr>
          <w:sz w:val="20"/>
          <w:szCs w:val="20"/>
          <w:color w:val="auto"/>
        </w:rPr>
      </w:pPr>
    </w:p>
    <w:p>
      <w:pPr>
        <w:ind w:left="1140" w:hanging="349"/>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or</w:t>
      </w:r>
    </w:p>
    <w:p>
      <w:pPr>
        <w:spacing w:after="0" w:line="23" w:lineRule="exact"/>
        <w:rPr>
          <w:rFonts w:ascii="Arial" w:cs="Arial" w:eastAsia="Arial" w:hAnsi="Arial"/>
          <w:sz w:val="18"/>
          <w:szCs w:val="18"/>
          <w:color w:val="auto"/>
        </w:rPr>
      </w:pPr>
    </w:p>
    <w:p>
      <w:pPr>
        <w:ind w:left="1140" w:right="120" w:hanging="349"/>
        <w:spacing w:after="0" w:line="261" w:lineRule="auto"/>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is an individual who has been present in the United States for 183 days or more in the taxable year of the disposition and certain other requirements are met.</w:t>
      </w:r>
    </w:p>
    <w:p>
      <w:pPr>
        <w:spacing w:after="0" w:line="18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as described below (see “-Income or Gain Effectively Connected with a U.S. Trade or Business”). If you are a non-U.S. holder described in the second bullet point above, you generally will be subject to U.S. federal income tax at a flat 30% rate (or a lower applicable income tax treaty rate) on the gain derived from the disposition, which may be offset by certain U.S.-source capital losses recognized in such taxable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If any interest on the exchange notes or gain from a sale, redemption, exchange, retirement or other taxable disposition of the exchange notes by a non-U.S. holder is effectively connected with a U.S. trade or business conducted by the non-U.S. holder, then the non-U.S. holder generally will be subject to U.S. federal income tax on such interest or gain on a net income basis in the same manner as a U.S. holder (unless an applicable income tax treaty provides otherwise). If interest received with respect to the exchange notes is effectively connected income (whether or not an income tax treaty applies), the U.S. federal withholding tax described above will not apply, assuming an appropriate certification is provided. A non-U.S. holder generally can meet the certification requirements by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87" w:name="page88"/>
    <w:bookmarkEnd w:id="87"/>
    <w:p>
      <w:pPr>
        <w:ind w:right="220"/>
        <w:spacing w:after="0" w:line="312" w:lineRule="auto"/>
        <w:rPr>
          <w:sz w:val="20"/>
          <w:szCs w:val="20"/>
          <w:color w:val="auto"/>
        </w:rPr>
      </w:pPr>
      <w:r>
        <w:rPr>
          <w:rFonts w:ascii="Arial" w:cs="Arial" w:eastAsia="Arial" w:hAnsi="Arial"/>
          <w:sz w:val="16"/>
          <w:szCs w:val="16"/>
          <w:color w:val="auto"/>
        </w:rPr>
        <w:t>providing a properly executed IRS Form W-8ECI (or other applicable form) to the applicable withholding agent. In addition, if a non-U.S. holder is a corporation for U.S. federal income tax purposes, that portion of the non-U.S. holder’s earnings and profits that is attributable to such effectively connected income or gain, subject to certain adjustments, may be subject to a “branch profits tax” at a 30% rate (or a lower applicable income tax treaty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Payments to a non-U.S. holder of interest on an exchange note, and amounts withheld from such payments, if any, generally will be required to be reported to the IRS. Backup withholding (currently at a rate of 28%) generally will not apply to payments of interest on an exchange note to a non-U.S. holder if the certification described in “-Interest on the Exchange Notes” above is provided by the non-U.S. holder, or the non-U.S. holder otherwise establishes an exemption.</w:t>
      </w:r>
    </w:p>
    <w:p>
      <w:pPr>
        <w:spacing w:after="0" w:line="187"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Proceeds from a disposition (including a retirement or redemption) of an exchange note by a non-U.S. holder effected by the U.S. office of a U.S. or foreign broker will be subject to information reporting requirements and backup withholding unless the non-U.S. holder properly certifies as to its non-U.S. status and certain other conditions are met, or the non-U.S. holder otherwise establishes an exemption. Information reporting and backup withholding generally will not apply to any proceeds from a disposition of an exchange note by a non-U.S. holder effected outside the United States by a non-U.S. office of a broker; however, if such broker has certain connections to the United States, then information reporting, but not backup withholding, will apply unless the broker has documentary evidence in its records of the non-U.S. holder’s non-U.S. status and certain other conditions are met, or the non-U.S. holder otherwise establishes an exemption.</w:t>
      </w:r>
    </w:p>
    <w:p>
      <w:pPr>
        <w:spacing w:after="0" w:line="18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Backup withholding is not an additional tax. A non-U.S. holder subject to backup withholding may be allowed a credit in the amount withheld against such non-U.S. holder’s U.S. federal income tax liability and, if withholding results in an overpayment of tax, such non-U.S. holder may be entitled to a refund, provided that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Foreign Account Tax Compliance Act imposes a U.S. federal withholding tax of 30% on payments of interest on, and the gross proceeds from a disposition (including a retirement or redemption) of, a debt instrument paid to certain non-U.S. entities, including certain foreign financial institutions and investment funds (including, in some instances, where such an entity is acting as an intermediary), unless such non-U.S. entity complies with certain reporting requirements regarding its U.S. account holders and its U.S. owners. Pursuant to IRS administrative guidance, this withholding tax generally will not apply to payments of gross disposition proceeds until January 1, 2019. Foreign financial institutions located in jurisdictions that have an intergovernmental agreement with the United States with respect to these rules may be subject to different rules. Under certain circumstances, a beneficial owner of the exchange notes may be eligible for a refund or credit of such taxes. Holders of the exchange notes should consult their own tax advisors regarding the new withholding and reporting provisions.</w:t>
      </w:r>
    </w:p>
    <w:p>
      <w:pPr>
        <w:spacing w:after="0" w:line="188"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b w:val="1"/>
          <w:bCs w:val="1"/>
          <w:color w:val="auto"/>
        </w:rPr>
        <w:t>The preceding discussion of certain U.S. federal income tax consequences is for general information only and is not tax advice. Each prospective investor should consult its own tax advisor regarding the particular U.S. federal, state, local and non-U.S. tax consequences of exchanging the original notes for the exchange notes and owning and disposing of the exchange notes, including the consequences of any proposed change in applicable laws.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 ENTRY, DELIVERY AND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original notes were issued in the form of one or more notes in global form, without interest coupons (the “global notes”), as follows:</w:t>
      </w:r>
    </w:p>
    <w:p>
      <w:pPr>
        <w:spacing w:after="0" w:line="225" w:lineRule="exact"/>
        <w:rPr>
          <w:sz w:val="20"/>
          <w:szCs w:val="20"/>
          <w:color w:val="auto"/>
        </w:rPr>
      </w:pPr>
    </w:p>
    <w:p>
      <w:pPr>
        <w:ind w:left="1220" w:hanging="348"/>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notes sold to qualified institutional buyers (each, a “QIB”) under Rule 144A are represented by the Rule 144A global note;</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notes sold in offshore transactions to non-U.S. persons in reliance on Regulation S are represented by the Regulation S global note; and</w:t>
      </w:r>
    </w:p>
    <w:p>
      <w:pPr>
        <w:spacing w:after="0" w:line="32" w:lineRule="exact"/>
        <w:rPr>
          <w:rFonts w:ascii="Arial" w:cs="Arial" w:eastAsia="Arial" w:hAnsi="Arial"/>
          <w:sz w:val="16"/>
          <w:szCs w:val="16"/>
          <w:color w:val="auto"/>
        </w:rPr>
      </w:pPr>
    </w:p>
    <w:p>
      <w:pPr>
        <w:ind w:left="1220" w:right="60" w:hanging="348"/>
        <w:spacing w:after="0" w:line="261" w:lineRule="auto"/>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notes sold in the secondary market to institutional accredited investors will be represented by the Institutional Accredited Investor global note.</w:t>
      </w:r>
    </w:p>
    <w:p>
      <w:pPr>
        <w:spacing w:after="0" w:line="184"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Upon issuance, each of the global notes representing the original notes was deposited with the trustee as custodian for DTC and registered in the name of Cede &amp; Co., as nominee of DTC. The exchange notes will also be issued in the form of one or more global notes that will be deposited with the trustee as custodian for DTC and registered in the name of Cede &amp; Co., as nominee of DTC.</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8" w:right="239" w:bottom="1440" w:gutter="0" w:footer="0" w:header="0"/>
        </w:sectPr>
      </w:pPr>
    </w:p>
    <w:bookmarkStart w:id="88" w:name="page89"/>
    <w:bookmarkEnd w:id="88"/>
    <w:p>
      <w:pPr>
        <w:ind w:right="80" w:firstLine="405"/>
        <w:spacing w:after="0" w:line="277"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170" w:lineRule="exact"/>
        <w:rPr>
          <w:sz w:val="20"/>
          <w:szCs w:val="20"/>
          <w:color w:val="auto"/>
        </w:rPr>
      </w:pPr>
    </w:p>
    <w:p>
      <w:pPr>
        <w:ind w:left="1220" w:right="20" w:hanging="348"/>
        <w:spacing w:after="0" w:line="258"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deposit of each global note with DTC’s custodian, DTC will credit portions of the principal amount of the global note to the accounts of the DTC participants designated by the initial purchasers; and</w:t>
      </w:r>
    </w:p>
    <w:p>
      <w:pPr>
        <w:spacing w:after="0" w:line="1" w:lineRule="exact"/>
        <w:rPr>
          <w:rFonts w:ascii="Arial" w:cs="Arial" w:eastAsia="Arial" w:hAnsi="Arial"/>
          <w:sz w:val="18"/>
          <w:szCs w:val="18"/>
          <w:color w:val="auto"/>
        </w:rPr>
      </w:pPr>
    </w:p>
    <w:p>
      <w:pPr>
        <w:jc w:val="both"/>
        <w:ind w:left="1220" w:right="400" w:hanging="348"/>
        <w:spacing w:after="0" w:line="255"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9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Beneficial interests in the Regulation S global note will initially be credited within DTC to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on behalf of the owners of such interests.</w:t>
      </w:r>
    </w:p>
    <w:p>
      <w:pPr>
        <w:spacing w:after="0" w:line="170"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Investors may hold their interests in the Regulation S global note directly through Euroclear or Clearstream, if they are participants in those systems, or indirectly through organizations that are participants in those systems. Investors may also hold their interests in the Regulation S global note through organizations other than Euroclear or Clearstream that are DTC participants. Each of Euroclear and Clearstream will appoint a DTC participant to act as its depositary for the interests in the Regulation S global note that are held within DTC for the account of each settlement system on behalf of its participants.</w:t>
      </w:r>
    </w:p>
    <w:p>
      <w:pPr>
        <w:spacing w:after="0" w:line="154" w:lineRule="exact"/>
        <w:rPr>
          <w:sz w:val="20"/>
          <w:szCs w:val="20"/>
          <w:color w:val="auto"/>
        </w:rPr>
      </w:pPr>
    </w:p>
    <w:p>
      <w:pPr>
        <w:ind w:right="480" w:firstLine="405"/>
        <w:spacing w:after="0" w:line="342" w:lineRule="auto"/>
        <w:rPr>
          <w:sz w:val="20"/>
          <w:szCs w:val="20"/>
          <w:color w:val="auto"/>
        </w:rPr>
      </w:pPr>
      <w:r>
        <w:rPr>
          <w:rFonts w:ascii="Arial" w:cs="Arial" w:eastAsia="Arial" w:hAnsi="Arial"/>
          <w:sz w:val="16"/>
          <w:szCs w:val="16"/>
          <w:color w:val="auto"/>
        </w:rPr>
        <w:t>Beneficial interests in the global notes may not be exchanged for notes in physical, certificated form except in the limited circumstances described below. Each global note and beneficial interests in each global note will be subject to restrictions on transfer as described under “Notice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 among the Global Notes</w:t>
      </w:r>
    </w:p>
    <w:p>
      <w:pPr>
        <w:spacing w:after="0" w:line="243"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Beneficial interests in one global note may generally be exchanged for interests in another global note. Depending on to which global note the transfer is being made, the trustee may require the seller to provide certain written certifications in the form provided in the indenture. In addition, in the case of a transfer of interests to the Institutional Accredited Investor global note, the trustee may require the buyer to deliver a representation letter in the form provided in the indenture that states, among other things, that the buyer is not acquiring notes with a view to distributing them in violation of the Securities Act.</w:t>
      </w:r>
    </w:p>
    <w:p>
      <w:pPr>
        <w:spacing w:after="0" w:line="15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7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Pursuant to the terms of the indenture governing the notes, upon our satisfaction that the notes are no longer required to bear a restricted Securities Act legend in order to maintain compliance with the Securities Act, we may, at our option take the necessary action such that holders of notes bearing a restricted Securities Act legend may automatically exchange such notes for notes that do not bear a restricted Securities Act legend at any time on or after the 366th calendar day after the issue date of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None of the Company, the trustee, or the initial purchasers are responsible for those operations or procedures.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1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8" w:right="239" w:bottom="1440" w:gutter="0" w:footer="0" w:header="0"/>
        </w:sectPr>
      </w:pPr>
    </w:p>
    <w:bookmarkStart w:id="89" w:name="page90"/>
    <w:bookmarkEnd w:id="89"/>
    <w:p>
      <w:pPr>
        <w:ind w:right="160" w:firstLine="486"/>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147" w:lineRule="exact"/>
        <w:rPr>
          <w:sz w:val="20"/>
          <w:szCs w:val="20"/>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23" w:lineRule="exact"/>
        <w:rPr>
          <w:rFonts w:ascii="Arial" w:cs="Arial" w:eastAsia="Arial" w:hAnsi="Arial"/>
          <w:sz w:val="18"/>
          <w:szCs w:val="18"/>
          <w:color w:val="auto"/>
        </w:rPr>
      </w:pPr>
    </w:p>
    <w:p>
      <w:pPr>
        <w:ind w:left="1220" w:hanging="348"/>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 w:lineRule="exact"/>
        <w:rPr>
          <w:rFonts w:ascii="Arial" w:cs="Arial" w:eastAsia="Arial" w:hAnsi="Arial"/>
          <w:sz w:val="18"/>
          <w:szCs w:val="18"/>
          <w:color w:val="auto"/>
        </w:rPr>
      </w:pPr>
    </w:p>
    <w:p>
      <w:pPr>
        <w:ind w:left="1220" w:right="320" w:hanging="348"/>
        <w:spacing w:after="0" w:line="261" w:lineRule="auto"/>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8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1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5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248" w:lineRule="exact"/>
        <w:rPr>
          <w:sz w:val="20"/>
          <w:szCs w:val="20"/>
          <w:color w:val="auto"/>
        </w:rPr>
      </w:pPr>
    </w:p>
    <w:p>
      <w:pPr>
        <w:ind w:left="1220" w:right="420" w:hanging="348"/>
        <w:spacing w:after="0" w:line="258" w:lineRule="auto"/>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1" w:lineRule="exact"/>
        <w:rPr>
          <w:rFonts w:ascii="Arial" w:cs="Arial" w:eastAsia="Arial" w:hAnsi="Arial"/>
          <w:sz w:val="18"/>
          <w:szCs w:val="18"/>
          <w:color w:val="auto"/>
        </w:rPr>
      </w:pPr>
    </w:p>
    <w:p>
      <w:pPr>
        <w:ind w:left="1220" w:hanging="348"/>
        <w:spacing w:after="0"/>
        <w:tabs>
          <w:tab w:leader="none" w:pos="12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32" w:lineRule="exact"/>
        <w:rPr>
          <w:rFonts w:ascii="Arial" w:cs="Arial" w:eastAsia="Arial" w:hAnsi="Arial"/>
          <w:sz w:val="16"/>
          <w:szCs w:val="16"/>
          <w:color w:val="auto"/>
        </w:rPr>
      </w:pPr>
    </w:p>
    <w:p>
      <w:pPr>
        <w:ind w:left="1220" w:hanging="348"/>
        <w:spacing w:after="0"/>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9" w:lineRule="exact"/>
        <w:rPr>
          <w:rFonts w:ascii="Arial" w:cs="Arial" w:eastAsia="Arial" w:hAnsi="Arial"/>
          <w:sz w:val="18"/>
          <w:szCs w:val="18"/>
          <w:color w:val="auto"/>
        </w:rPr>
      </w:pPr>
    </w:p>
    <w:p>
      <w:pPr>
        <w:ind w:left="1220" w:hanging="348"/>
        <w:spacing w:after="0"/>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584" w:right="2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We have agreed that, for the one-year period following the consummation of the exchange offer, we will make this prospectus, as amended or supplemented, available to any broker-dealer for use in connection with any such resale. In addition, until the date that is 180 days from the date of the original issuance of the exchange notes, all dealers effecting transactions in the exchange notes may be required to deliver a prospectus.</w:t>
      </w:r>
    </w:p>
    <w:p>
      <w:pPr>
        <w:spacing w:after="0" w:line="18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7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For a period of one year following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reasonable fees and disbursements of one counsel for the initial purchasers of the original notes). We also have agreed to indemnify the holders of the notes (including any broker-dealers) against certain liabilities, including liabilities under the Securities Act.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Certain legal matters in connection with the validity of the exchange notes will be passed upon for us by Vorys, Sater, Seymour and Pease LLP, Columbus, Ohio.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consolidated financial statements, and the related financial statement schedules, incorporated in this prospectus by reference from the Company’s Annual Report on Form 10-K for the fiscal year ended September 30, 2016,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and financial statement schedules have been so incorporated in reliance upon the reports of such firm given upon their authority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This prospectus is part of a registration statement on Form S-4 that we filed with the SEC registering the offering and issuance of the exchange notes. The registration statement, including the exhibits and schedules thereto, contains additional relevant information about us and the exchange notes that, as permitted by the rules and regulations of the SEC, we have not included in this prospectus. A copy of the registration statement can be obtained at the address set forth below. You should read the entire registration statement for further information about us and the exchange notes.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(the “Exchange Act”), and file annual, quarterly and current reports, proxy statements and other information with the SEC. These SEC filings are available to the public at the SEC’s website at http://www.sec.gov. You may also read and copy any materials that we file with the SEC at the SEC’s Public Reference Room located at 100 F Street, N.E., Washington, D.C. 20549. You can request copies of these documents, upon payment of a duplicating fee, by writing to the SEC. Please call the SEC at 1-800-SEC-0330 for further information on the operation of the Public Reference Room.</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0" w:right="239" w:bottom="1440" w:gutter="0" w:footer="0" w:header="0"/>
        </w:sectPr>
      </w:pPr>
    </w:p>
    <w:bookmarkStart w:id="91" w:name="page92"/>
    <w:bookmarkEnd w:id="91"/>
    <w:p>
      <w:pPr>
        <w:ind w:right="180" w:firstLine="432"/>
        <w:spacing w:after="0" w:line="277" w:lineRule="auto"/>
        <w:rPr>
          <w:sz w:val="20"/>
          <w:szCs w:val="20"/>
          <w:color w:val="auto"/>
        </w:rPr>
      </w:pPr>
      <w:r>
        <w:rPr>
          <w:rFonts w:ascii="Arial" w:cs="Arial" w:eastAsia="Arial" w:hAnsi="Arial"/>
          <w:sz w:val="18"/>
          <w:szCs w:val="18"/>
          <w:color w:val="auto"/>
        </w:rPr>
        <w:t>In addition, our common shares are listed on the New York Stock Exchange, and similar information concerning us can be inspected and copied at the offices of the New York Stock Exchange, Inc., 20 Broad Street, New York, NY 10005.</w:t>
      </w:r>
    </w:p>
    <w:p>
      <w:pPr>
        <w:spacing w:after="0" w:line="170"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Our website address is www.scotts.com. We make available, free of charge, on or through our website, our annual reports on Form 10-K, quarterly reports on Form 10-Q and current reports on Form 8-K that are filed with or furnished to the SEC, and amendments to those reports, as soon as reasonably practicable after we electronically file such reports with, or furnish them to, the SEC. The contents of our website are not part of this prospectus, and the reference to our website does not constitute incorporation by reference in this prospectus of the information contained at that site.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“incorporating by reference” certain documents in this prospectus, which means that we are disclosing important information to you by referring you to other documents that contain such information. The information incorporated by reference in this prospectus is an important part of this prospectus. We incorporate by reference the following documents that we have previously filed with the SEC:</w:t>
      </w:r>
    </w:p>
    <w:p>
      <w:pPr>
        <w:spacing w:after="0" w:line="181" w:lineRule="exact"/>
        <w:rPr>
          <w:sz w:val="20"/>
          <w:szCs w:val="20"/>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30, 2016, as filed with the SEC on November 28, 2016;</w:t>
      </w:r>
    </w:p>
    <w:p>
      <w:pPr>
        <w:spacing w:after="0" w:line="23" w:lineRule="exact"/>
        <w:rPr>
          <w:rFonts w:ascii="Arial" w:cs="Arial" w:eastAsia="Arial" w:hAnsi="Arial"/>
          <w:sz w:val="18"/>
          <w:szCs w:val="18"/>
          <w:color w:val="auto"/>
        </w:rPr>
      </w:pPr>
    </w:p>
    <w:p>
      <w:pPr>
        <w:ind w:left="880" w:hanging="359"/>
        <w:spacing w:after="0"/>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our Quarterly Report on Form 10-Q for the fiscal quarter ended December 31, 2016, as filed with the SEC on February 11, 2017; and</w:t>
      </w:r>
    </w:p>
    <w:p>
      <w:pPr>
        <w:spacing w:after="0" w:line="20" w:lineRule="exact"/>
        <w:rPr>
          <w:rFonts w:ascii="Arial" w:cs="Arial" w:eastAsia="Arial" w:hAnsi="Arial"/>
          <w:sz w:val="17"/>
          <w:szCs w:val="17"/>
          <w:color w:val="auto"/>
        </w:rPr>
      </w:pPr>
    </w:p>
    <w:p>
      <w:pPr>
        <w:ind w:left="880" w:hanging="359"/>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January 30, 2017.</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also incorporating by reference in this prospectus all other documents (other than information furnished on Current Reports on Form 8-K under Item 2.02 or 7.01 and exhibits filed with such reports that are related to such items) that we file with the SEC pursuant to Sections 13(a), 13(c), 14 or 15(d) of the Exchange Act (1) on or after the date of the initial registration statement of which this prospectus is a part and prior to the effectiveness of such registration statement and (2) on or after the date of this prospectus and prior to the termination or completion of the offering of exchange notes under this prospectus.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Any statements contained in this prospectus or in documents incorporated by reference in this prospectus will be deemed to be modified or superseded to the extent that a statement contained in this prospectus or any subsequently filed document that is deemed to be incorporated by reference in this prospectus modifies or supersedes such statement. Any statement so modified or superseded shall not be deemed, except as so modified or superseded, to constitute a part of this prospectus.</w:t>
      </w:r>
    </w:p>
    <w:p>
      <w:pPr>
        <w:spacing w:after="0" w:line="18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incorporated by reference in this prospectus (including exhibits specifically incorporated by reference in those documents). Written or telephone requests should be directed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Marysville, Ohio 43041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580" w:hanging="425"/>
        <w:spacing w:after="0"/>
        <w:tabs>
          <w:tab w:leader="none" w:pos="5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644-0011</w:t>
      </w:r>
    </w:p>
    <w:p>
      <w:pPr>
        <w:spacing w:after="0" w:line="23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83</w:t>
      </w:r>
    </w:p>
    <w:p>
      <w:pPr>
        <w:sectPr>
          <w:pgSz w:w="11900" w:h="16838" w:orient="portrait"/>
          <w:cols w:equalWidth="0" w:num="1">
            <w:col w:w="11420"/>
          </w:cols>
          <w:pgMar w:left="240" w:top="368" w:right="239" w:bottom="1440" w:gutter="0" w:footer="0" w:header="0"/>
        </w:sectPr>
      </w:pPr>
    </w:p>
    <w:bookmarkStart w:id="92" w:name="page93"/>
    <w:bookmarkEnd w:id="9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The Scotts Miracle-Gro Company</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Offer to exchange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outstanding 5.250% Senior Notes due 2026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 equal principal amount of 5.250% Senior Notes due 2026 which have been registered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280035</wp:posOffset>
            </wp:positionV>
            <wp:extent cx="2778760" cy="523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2110105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following summary is qualified in its entirety by reference to the complete text of the statutes referred to below, the Amended and Restated Articles of Incorporation and the Amended and Restated Regulations of The Scotts Miracle-Gro Company and the organizational documents of each of the co-registrants.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California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California General Corporation Law</w:t>
      </w:r>
    </w:p>
    <w:p>
      <w:pPr>
        <w:spacing w:after="0" w:line="225"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Section 317 of the California General Corporation Law (“CAGCL”) provides that a corporation may indemnify any person who was or is a party or is threatened to be made a party to any proceeding (other than an action by or in the right of the corporation to procure a judgment in its favor), by reason of the fact that the person is or was a director, officer, employee or other agent of the corporation or is or was serving at the corporation’s request as a director, officer, employee or agent of another entity, against expenses, judgments, fines, settlements and other amounts actually and reasonably incurred by the person in connection with the proceeding if that person acted in good faith and in a manner the person reasonably believed to be in the best interests of the corporation, and, with respect to any criminal action or proceeding,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 in respect of any claim, issue or matter as to which that person shall have been adjudged to be liable to the corporation unless an appropriate court determines, in view of all the circumstances of the case, that such person is fairly and reasonably entitled to indemnification for such expenses and then only to the extent that the court shall determine, (ii) of amounts paid in settling or otherwise disposing of a pending action without court approval or (iii) of expenses incurred in defending a pending action which is settled or otherwise disposed of without court approval. To the extent that such person has been successful on the merits in defending any action, suit or proceeding referred to above or in the defense of any claim, issue or matter therein, the corporation must indemnify such person against the expenses actually and reasonably incurred by such person in connection therewith.</w:t>
      </w:r>
    </w:p>
    <w:p>
      <w:pPr>
        <w:spacing w:after="0" w:line="18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Section 317 of the CAGCL authorizes a corporation to purchase and maintain insurance on behalf of any officer, director, employee or agent against any liability asserted or incurred in his capacity, or arising out of his status, with the corporation.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Rod McLellan Company</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Article V of the Amended and Restated Articles of Incorporation of Rod McLellan Company (“McLellan”) authorizes McLellan to provide indemnification of its agents in excess of the limits set forth in Section 317 of the CAGCL, subject only to the applicable limits set forth in the CAGCL with respect to actions for breach of duty to the corporation and its shareholders.</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Article XI of McLellan’s Amended Bylaws requires McLellan to indemnify its directors and officers to the fullest extent permitted under the CAGCL, unless a determination is made that the director or officer did not meet the applicable standard of conduct.</w:t>
      </w:r>
    </w:p>
    <w:p>
      <w:pPr>
        <w:spacing w:after="0" w:line="17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Article XI also requires McLellan to purchase and maintain insurance on behalf of any person who is or was or has agreed to become a director or officer of McLellan, provided, that such insurance is available on acceptable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Section 145 of the Delaware General Corporation Law (“DGCL”) provides that a corporation may indemnify any person who was or is a party or is threatened to be made a party to any threatened, pending or completed action, suit or proceeding, by reason of the fact that the person is or was a director, officer, employee or agent of the corporation or is or was serving at the corporation’s request as a director, officer, employee or agent of another entity, against expenses (including attorneys’ fees), judgments, fines, settlements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such person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64" w:right="239" w:bottom="1440" w:gutter="0" w:footer="0" w:header="0"/>
        </w:sectPr>
      </w:pPr>
    </w:p>
    <w:bookmarkStart w:id="94" w:name="page95"/>
    <w:bookmarkEnd w:id="94"/>
    <w:p>
      <w:pPr>
        <w:ind w:right="100"/>
        <w:spacing w:after="0" w:line="257" w:lineRule="auto"/>
        <w:rPr>
          <w:sz w:val="20"/>
          <w:szCs w:val="20"/>
          <w:color w:val="auto"/>
        </w:rPr>
      </w:pPr>
      <w:r>
        <w:rPr>
          <w:rFonts w:ascii="Arial" w:cs="Arial" w:eastAsia="Arial" w:hAnsi="Arial"/>
          <w:sz w:val="18"/>
          <w:szCs w:val="18"/>
          <w:color w:val="auto"/>
        </w:rPr>
        <w:t>indemnification may be made in respect of any claim, issue or matter as to which that person shall have been adjudged to be liable to the corporation unless and only to the extent an appropriate court determines that such person is fairly and reasonably entitled to indemnification for such expenses the court deems proper. To the extent that such person has been successful on the merits or otherwise in defending any action, suit or proceeding referred to above or any claim, issue or matter therein, the corporation must indemnify such person against the expenses (including attorneys’ fees) actually and reasonably incurred by such person in connection therewith.</w:t>
      </w:r>
    </w:p>
    <w:p>
      <w:pPr>
        <w:spacing w:after="0" w:line="188"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Section 145(g) of the DGCL further provides that a corporation may purchase and maintain insurance on behalf of any former or current director or officer of the corporation, whether or not the corporation would have the power to indemnify the person under the statute.</w:t>
      </w:r>
    </w:p>
    <w:p>
      <w:pPr>
        <w:spacing w:after="0" w:line="147"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Hyponex Corporation; OMS Investments, Inc.; Scotts Manufacturing Company; SLS Holdings, Inc.; Swiss Farms Products, Inc.; The Hawthorne Gardening Company</w:t>
      </w:r>
    </w:p>
    <w:p>
      <w:pPr>
        <w:spacing w:after="0" w:line="170"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Certificates of Incorporation of Hyponex Corporation (“Hyponex”), OMS Investments, Inc. (“OMS”), Scotts Manufacturing Company (“Manufacturing”), SLS Holdings, Inc. (“SLS”), Swiss Farms Products, Inc. (“Swiss”) and The Hawthorne Gardening Company (“Hawthorne Gardening”) do not address indemnification.</w:t>
      </w:r>
    </w:p>
    <w:p>
      <w:pPr>
        <w:spacing w:after="0" w:line="181"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Article Seven of the Bylaws of OMS, Manufacturing, and Swiss and Article XI of the Bylaws of Hyponex require the corporation to indemnify its directors and officers to the fullest extent permitted under the DGCL, provided, that, the corporation shall only make such indemnification upon a determination that the director or officer met the applicable standard of conduct.</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Article XXIV of the By-Laws of SLS and Article XXIV of the By-Laws of Hawthorne Gardening require the corporation to indemnify its directors and officers to the extent permitted under the DGCL</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Article Seven of the Bylaws of OMS, Manufacturing and Swiss also authorizes the corporation to purchase and maintain insurance on behalf of any person who is or was or has agreed to become a director or officer of the corporation. Article XI of Hyponex’s Bylaws requires Hyponex to purchase and maintain insurance on behalf of any person who is or was or has agreed to become a director or officer of Hyponex, provided, that such insurance is available on acceptable terms.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Limited Liability Companies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Delaware Limited Liability Company Act</w:t>
      </w:r>
    </w:p>
    <w:p>
      <w:pPr>
        <w:spacing w:after="0" w:line="22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Section 18-108 of the Delaware Limited Liability Company Act (the “DLLC”) provides that, subject to such standards and restrictions, if any, as set forth in its limited liability company agreement, a limited liability company may, and shall have the power to, indemnify and hold harmless any member or manager or other person from and against any and all claims and demands whatsoever.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Hawthorne Hydroponics LLC; Scotts Temecula Operations, LLC; Scotts-Sierra Investments LLC</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Certificate of Formation and Limited Liability Company Agreement of Hawthorne Hydroponics LLC, Scotts Temecula Operations, LLC and Scotts-Sierra Investments LLC do not address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Indiana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Indiana Business Corporation Law</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Chapter 37 of the Indiana Business Corporation Law (“IBCL”) provides that unless otherwise provided in its articles of incorporation, a corporation may indemnify its directors and officers under certain circumstances against liability incurred in connection with proceedings to which the officers or directors are made a party by reason of their position in the corporation. A director or officer may be indemnified if (i) the individual’s conduct was in good faith, (ii) the individual reasonably believed (a) that the conduct was in the best interests of the corporation (if the individual was acting in his official capacity with the corporation) or (b) that the individual’s conduct was at least not opposed to the corporation’s best interests (in all other cases), and (iii) in the case of a criminal proceeding, the individual either (a) had reasonable cause to believe the individual’s conduct was lawful or (b) had no reasonable cause to believe the individual’s conduct was unlawful. Unless limited by its articles of incorporation, a corporation must indemnify a director or officer against reasonable expenses incurred by the director or officer in connection with any proceeding if the director or officer was wholly successful, on the merits or otherwise, in the defense of the proceeding to which the director or officer was a made party because of his position in the corporation.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368" w:right="259" w:bottom="1440" w:gutter="0" w:footer="0" w:header="0"/>
        </w:sectPr>
      </w:pPr>
    </w:p>
    <w:bookmarkStart w:id="95" w:name="page96"/>
    <w:bookmarkEnd w:id="95"/>
    <w:p>
      <w:pPr>
        <w:ind w:left="420"/>
        <w:spacing w:after="0"/>
        <w:rPr>
          <w:sz w:val="20"/>
          <w:szCs w:val="20"/>
          <w:color w:val="auto"/>
        </w:rPr>
      </w:pPr>
      <w:r>
        <w:rPr>
          <w:rFonts w:ascii="Arial" w:cs="Arial" w:eastAsia="Arial" w:hAnsi="Arial"/>
          <w:sz w:val="17"/>
          <w:szCs w:val="17"/>
          <w:color w:val="auto"/>
        </w:rPr>
        <w:t>The IBCL permits a corporation to purchase and maintain insurance on behalf of an individual who is or was a director or officer of the corporation.</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Gutwein &amp; Co.,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Gutwein &amp; Co., Inc. (“Gutwein”) do not address indemnification.</w:t>
      </w:r>
    </w:p>
    <w:p>
      <w:pPr>
        <w:spacing w:after="0" w:line="225"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Article IX of the Amended and Restated Code of By-Laws of Gutwein requires Gutwein to indemnify a director or officer made or threatened to be made a party to any proceeding against liabilities and expenses incurred by the director or officer in the following circumstances: (i) if the director or officer is wholly successful with respect to the proceeding and (ii) in all other circumstances, unless the director or officer has breached or failed to perform his duties in compliance with the applicable standard of conduct, the action or failure to act constituted willful misconduct or recklessness or resulted in any personal profit or advantage to which the director or officer was not legally entitled.</w:t>
      </w:r>
    </w:p>
    <w:p>
      <w:pPr>
        <w:spacing w:after="0" w:line="17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Article IX of the Amended and Restated Code of By-Laws of Gutwein authorizes Gutwein to purchase and maintain insurance on behalf of any person who is a director or officer of the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Corporation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Nevada Business Corporation Law</w:t>
      </w:r>
    </w:p>
    <w:p>
      <w:pPr>
        <w:spacing w:after="0" w:line="22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Section 78.7502(1) of the Nevada Revised Statutes permits indemnification of any person who was or is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against expenses, including attorneys’ fees, judgments, fines and amounts paid in settlement actually and reasonably incurred by the person in connection with the action, suit or proceeding if the person (a) is not liable pursuant to Nevada Revised Statutes Section 78.138, or (b) acted in good faith and in a manner which the person reasonably believed to be in or not opposed to the best interests of the corporation, and, with respect to any criminal action or proceeding, had no reasonable cause to believe his conduct was unlawful. Section 78.7502(2) of the Nevada Revised Statutes permits indemnification of any person who was or is a party to any threatened, pending or completed action or suit by or in the right of the corporation to procure a judgment in its favor by reason of the fact that the person is or was a director, officer, employee or agent of the corporation, against expenses, including amounts paid in settlement and attorneys’ fees actually and reasonably incurred by him in connection with the defense or settlement of the action or suit if the person (a) is not liable pursuant to Nevada Revised Statutes Section 78.138, or (b) acted in good faith and in a manner in which the person reasonably believed to be in or not opposed to the best interests of the corporation. Section 78.7502(2) of the Nevada Revised Statutes provides further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of the circumstances of the case, he is fairly and reasonably entitled to indemnity for such expenses as the court deems proper. Section 78.752 of the Nevada Revised Statutes allows a corporation to purchase and maintain insurance or make other financial arrangements on behalf of any person who is or was a director, officer, employee and agent of the corporation for any liability asserted against him and liability and expenses incurred by him in such capacity, or arising out of his status as such, whether or not the corporation has the authority to indemnify him against such liability and expenses.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HGCI,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HGCI, Inc. (“HGCI”) do not address indemnification.</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Article V of the Bylaws of HGCI requires HGCI to indemnify any person who was or is a party or is threatened to be made a party to any threatened or pending action, suit or proceedings, whether civil, criminal, administrative or investigative, by reason of the fact he, his testor or intestate is or was a director or officer of HGCI, or is or was serving at the request of HGCI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him in connection with such action, suit or proceeding (including appeals) or the defense or settlement thereof or any claim, issue or matter therein, to the fullest extent permitted by the laws of Nevada as they may exist from time to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36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The New York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York Business Corporation Law</w:t>
      </w:r>
    </w:p>
    <w:p>
      <w:pPr>
        <w:spacing w:after="0" w:line="2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Section 721 of the New York Business Corporation Law (“NYBCL”) provides that a corporation may not indemnify a director or officer if a judgment or other final adjudication adverse to the director or officer establishes that (i) the acts of the director or officer were committed in bad faith or were the result of active and deliberate dishonesty, and were material to the cause of action so adjudicated, or (ii) the director or officer personally gained in fact a financial profit or other advantage to which the director or officer was not legally entitled. Section 722 of the NYBCL provides that, subject to the limitations set forth in Section 721, a corporation may indemnify a director or officer made, or threatened to be made, a party to any action, by reason of the fact that he was a director or officer of the corporation or served at the corporation’s request on behalf of another entity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to any other entity, not opposed to, the best interests of the corporation and, with respect to criminal actions or proceedings, the director or officer had no reasonable cause to believe that his conduct was unlawful. In the case of an action by or in the right of the corporation, however, such indemnification may only apply to amounts paid in settlement and reasonable expenses (including attorneys’ fees) actually and necessarily incurred by the person in connection with the defense or settlement of such action, or in connection with an appeal therein, if such director or officer acted in good faith, for a purpose which he reasonably believed to be in, or in the case of service for any other entity, not opposed to, the best interests of the corporation, except that no such indemnification may be made in respect of (a) a threatened action, or a pending action which is settled or otherwise disposed of, or (b) any claim, issue or matter as to which such person has been adjudged to be liable to the corporation, unless and only to the extent an appropriate court determines that, in view of all the circumstances of the case, the person is fairly and reasonably entitled to partial or full indemnification. Section 723 of the NYBCL provides that indemnification by a corporation is mandatory in any case in which the director or officer has been successful, whether on the merits or otherwise, in defending an action.</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Section 726 of the NYBCL authorizes the corporation to purchase and maintain insurance to indemnify directors and officers in instances in which they may be indemnified by a corporation under New York law.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Miracle-Gro Lawn Products,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Certificate of Incorporation of Miracle-Gro Lawn Products, Inc. (“Lawn”) does not address indemnification.</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Article VI of the Bylaws of Lawn requires Lawn to indemnify its directors and officers to the fullest extent permitted under the NYBCL, provided, that, unless such indemnification is ordered by a court pursuant to Section 725 of the NYBCL, Lawn shall only make such indemnification upon a determination that the director or officer met the applicable standard of conduct.</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Article VI also authorizes Lawn to purchase and maintain insurance to indemnify directors and officers; provided, that no such insurance may provide for any payment, other than the cost of defense, to or on behalf of any director or officer (i) if a judgment or final adjudication adverse to the insured director or officer establishes that the director or officer’s acts of active and deliberate dishonesty were material to the cause of action adjudicated or that the director or officer personally gained a financial profit or other advantage to which the director or officer was not legally entitled, or (ii) in relation to any risk the insurance of which is prohibited under New York insurance law.</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Sanford Scientific,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Certificate of Incorporation and By-Laws of Sanford Scientific, Inc. do not address indemnification.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Corporations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Ohio General Corporation Law</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Section 1701.13(E) of the Ohio General Corporation Law (the “OGCL”) permits a corporation to indemnify any person who was or is a party or is threatened to be made a party to any threatened, pending or completed action, suit or proceeding, or is or was serving at the request of the corporation as a director or officer of another entity, because the person is or was a director or officer,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 in connection with the defense or settlement of such action and no such indemnification may be made if either (a) the director or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364" w:right="259" w:bottom="1440" w:gutter="0" w:footer="0" w:header="0"/>
        </w:sectPr>
      </w:pPr>
    </w:p>
    <w:bookmarkStart w:id="97" w:name="page98"/>
    <w:bookmarkEnd w:id="97"/>
    <w:p>
      <w:pPr>
        <w:ind w:right="20"/>
        <w:spacing w:after="0" w:line="273" w:lineRule="auto"/>
        <w:rPr>
          <w:sz w:val="20"/>
          <w:szCs w:val="20"/>
          <w:color w:val="auto"/>
        </w:rPr>
      </w:pPr>
      <w:r>
        <w:rPr>
          <w:rFonts w:ascii="Arial" w:cs="Arial" w:eastAsia="Arial" w:hAnsi="Arial"/>
          <w:sz w:val="17"/>
          <w:szCs w:val="17"/>
          <w:color w:val="auto"/>
        </w:rPr>
        <w:t>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178"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166"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18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GenSource, Inc.; Scotts Products Co.; Scotts Professional Products Co.; The Scotts Miracle-Gro Company</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Articles of Incorporation of Scotts Products Co. (“Products”), Scotts Professional Products Co. (“Professional”) and The Scotts Miracle-Gro Company do not address indemnification.</w:t>
      </w:r>
    </w:p>
    <w:p>
      <w:pPr>
        <w:spacing w:after="0" w:line="17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require the corporation to indemnify its directors and officers to the fullest extent permitted under the OGCL, provided that the corporation shall not make such indemnification if a determination is made that the director or officer did not meet the applicable standard of conduct.</w:t>
      </w:r>
    </w:p>
    <w:p>
      <w:pPr>
        <w:spacing w:after="0" w:line="181"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Article VI of the By-Laws of Products and Professional and Article Five of the Code of Regulations of The Scotts Miracle-Gro Company also permit the corporation to purchase and maintain insurance on behalf of any person who is or was or has agreed to become a director or officer of the corporation.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SMG Growing Media, Inc.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SMG Growing Media, Inc. (“Growing”) do not address indemnification.</w:t>
      </w:r>
    </w:p>
    <w:p>
      <w:pPr>
        <w:spacing w:after="0" w:line="225"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Article Five of the Code of Regulations of Growing requires Growing to indemnify any director or officer of Growing to the fullest extent permitted under the OGCL; provided, that Growing is not required to indemnify any director or officer in connection with any claim in any action, suit or proceeding that is asserted by the director or officer unless such claim was authorized by Growing’s Board of Directors. Any such indemnification shall be paid by Growing unless a determination is made by an appropriate court that the director or officer did not meet the applicable standard of conduct.</w:t>
      </w:r>
    </w:p>
    <w:p>
      <w:pPr>
        <w:spacing w:after="0" w:line="15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Article Five of the Code of Regulations of Growing authorizes Growing to purchase and maintain insurance on behalf of any person who is or was a director or officer of Growing.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Co-Registrants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officers and other employees of The Scotts Miracle-Gro Company or its subsidiaries or third party individuals serve at the request of The Scotts Miracle-Gro Company as a director, officer, employee or agent of the co-registrants, and thus may be entitled to indemnification under the provisions set forth above. In addition to potential indemnification by The Scotts Miracle-Gro Company, the directors, officers, employees and agents of the co-registrants are also entitled to indemnification to the extent provided in the applicable co-registrant’s organizational documents or under the laws under which the applicable co-registrant is organized as described below.</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368"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The Ohio Limited Liability Company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Ohio Limited Liability Company Act</w:t>
      </w:r>
    </w:p>
    <w:p>
      <w:pPr>
        <w:spacing w:after="0" w:line="2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Section 1705.32 of the Ohio Limited Liability Company Act (the “OLLCA”) provides that a limited liability company may indemnify any person who was or is a party, or who is threatened to be made a party, to any proceeding, because such person is or was a manager, member, partner, officer, employee or agent of the company or is or was serving at the company’s request as a manager, director, trustee, officer, employee or agent of any 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in connection with any criminal action or proceeding, such person had no reasonable cause to believe his or her conduct was unlawful. In the case of an action or suit by or in the right of the company to procure a judgment in its favor, however, such indemnification may only apply to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provided, however, that no such indemnification may be made in respect of any claim, issue or matter as to which such person is adjudged to be liable for negligence or misconduct in the performance of his or her duty to the company unless and only to the extent that the court of common pleas or the court in which the action or suit was brought determines, upon application, that, despite the adjudication of liability but in view of all the circumstances of the case, such person is fairly and reasonably entitled to indemnification for expenses that the court considers proper. To the extent that a manager, officer, employee or agent of a limited liability company has been successful on the merits or otherwise in defense of any such action, suit, proceeding, claim, issue or matter referred to above, the limited liability company must indemnify such person against expenses (including attorneys’ fees) that were actually and reasonably incurred by such person in connection with such action, suit or proceeding. The indemnification authorized by Section 1705.32 of the OLLCA is not exclusive of and is in addition to any other rights granted to those seeking indemnification, both as to action in their official capacities and as to action in another capacity while holding their offices or positions. Section 1705.32 of the OLLCA also provides that a limited liability company may purchase and maintain insurance or furnish similar protection for or on behalf of any person who is or was a manager, director, trustee, officer, employee or agent of the company or who is or was serving at the request of the company as a manager, director, trustee, officer, employee or agent of another entity.</w:t>
      </w:r>
    </w:p>
    <w:p>
      <w:pPr>
        <w:spacing w:after="0" w:line="16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for or on behalf of any person who is or was a manager, member or officer of the company.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Scotts Company LLC; SMGM LLC</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Organization and Operating Agreement of The Scotts Company LLC and SMGM LLC do not address indemnification.</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p>
      <w:pPr>
        <w:ind w:left="900" w:hanging="487"/>
        <w:spacing w:after="0"/>
        <w:tabs>
          <w:tab w:leader="none" w:pos="9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registration statement are set forth in the attached Exhibit Index, which is incorporated herein by reference.</w:t>
      </w:r>
    </w:p>
    <w:p>
      <w:pPr>
        <w:spacing w:after="0" w:line="221" w:lineRule="exact"/>
        <w:rPr>
          <w:sz w:val="20"/>
          <w:szCs w:val="20"/>
          <w:color w:val="auto"/>
        </w:rPr>
      </w:pPr>
    </w:p>
    <w:p>
      <w:pPr>
        <w:ind w:left="900" w:hanging="487"/>
        <w:spacing w:after="0"/>
        <w:tabs>
          <w:tab w:leader="none" w:pos="9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schedules have been omitted because they are not applicable or not required or the required information is included in The Scotts Miracle-Gro Company’s consolidated financial statements or the notes thereto which are incorporated herein by reference.</w:t>
      </w:r>
    </w:p>
    <w:p>
      <w:pPr>
        <w:spacing w:after="0" w:line="166" w:lineRule="exact"/>
        <w:rPr>
          <w:sz w:val="20"/>
          <w:szCs w:val="20"/>
          <w:color w:val="auto"/>
        </w:rPr>
      </w:pPr>
    </w:p>
    <w:p>
      <w:pPr>
        <w:ind w:left="900" w:hanging="487"/>
        <w:spacing w:after="0"/>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Reports, Opinions and Appraisals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460" w:hanging="384"/>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364" w:right="259" w:bottom="1440" w:gutter="0" w:footer="0" w:header="0"/>
        </w:sectPr>
      </w:pPr>
    </w:p>
    <w:bookmarkStart w:id="99" w:name="page100"/>
    <w:bookmarkEnd w:id="99"/>
    <w:p>
      <w:pPr>
        <w:ind w:left="584" w:hanging="4"/>
        <w:spacing w:after="0" w:line="293" w:lineRule="auto"/>
        <w:tabs>
          <w:tab w:leader="none" w:pos="98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584" w:right="560" w:hanging="4"/>
        <w:spacing w:after="0" w:line="277" w:lineRule="auto"/>
        <w:tabs>
          <w:tab w:leader="none" w:pos="103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left="4" w:right="240" w:hanging="4"/>
        <w:spacing w:after="0" w:line="264" w:lineRule="auto"/>
        <w:tabs>
          <w:tab w:leader="none" w:pos="39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4" w:right="200" w:hanging="4"/>
        <w:spacing w:after="0" w:line="277" w:lineRule="auto"/>
        <w:tabs>
          <w:tab w:leader="none" w:pos="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20" w:hanging="4"/>
        <w:spacing w:after="0" w:line="272" w:lineRule="auto"/>
        <w:tabs>
          <w:tab w:leader="none" w:pos="39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4" w:right="680" w:hanging="4"/>
        <w:spacing w:after="0" w:line="277" w:lineRule="auto"/>
        <w:tabs>
          <w:tab w:leader="none" w:pos="3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left="4" w:firstLine="55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924" w:hanging="344"/>
        <w:spacing w:after="0"/>
        <w:tabs>
          <w:tab w:leader="none" w:pos="924"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584" w:right="700" w:hanging="4"/>
        <w:spacing w:after="0" w:line="277" w:lineRule="auto"/>
        <w:tabs>
          <w:tab w:leader="none" w:pos="97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584" w:right="60" w:hanging="4"/>
        <w:spacing w:after="0" w:line="277" w:lineRule="auto"/>
        <w:tabs>
          <w:tab w:leader="none" w:pos="103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004" w:hanging="424"/>
        <w:spacing w:after="0"/>
        <w:tabs>
          <w:tab w:leader="none" w:pos="100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4" w:right="20" w:hanging="4"/>
        <w:spacing w:after="0" w:line="302" w:lineRule="auto"/>
        <w:tabs>
          <w:tab w:leader="none" w:pos="3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left="4" w:right="120" w:hanging="4"/>
        <w:spacing w:after="0" w:line="293" w:lineRule="auto"/>
        <w:tabs>
          <w:tab w:leader="none" w:pos="39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w:t>
      </w:r>
    </w:p>
    <w:p>
      <w:pPr>
        <w:spacing w:after="0" w:line="192"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24"/>
          </w:cols>
          <w:pgMar w:left="316" w:top="368" w:right="259" w:bottom="1440" w:gutter="0" w:footer="0" w:header="0"/>
        </w:sectPr>
      </w:pPr>
    </w:p>
    <w:bookmarkStart w:id="100" w:name="page101"/>
    <w:bookmarkEnd w:id="100"/>
    <w:p>
      <w:pPr>
        <w:ind w:left="4" w:right="60"/>
        <w:spacing w:after="0" w:line="277" w:lineRule="auto"/>
        <w:rPr>
          <w:sz w:val="20"/>
          <w:szCs w:val="20"/>
          <w:color w:val="auto"/>
        </w:rPr>
      </w:pPr>
      <w:r>
        <w:rPr>
          <w:rFonts w:ascii="Arial" w:cs="Arial" w:eastAsia="Arial" w:hAnsi="Arial"/>
          <w:sz w:val="18"/>
          <w:szCs w:val="18"/>
          <w:color w:val="auto"/>
        </w:rPr>
        <w:t>jurisdiction the question of whether such indemnification by it is against public policy as expressed in the Act and will be governed by the final adjudication of such issue.</w:t>
      </w:r>
    </w:p>
    <w:p>
      <w:pPr>
        <w:spacing w:after="0" w:line="170" w:lineRule="exact"/>
        <w:rPr>
          <w:sz w:val="20"/>
          <w:szCs w:val="20"/>
          <w:color w:val="auto"/>
        </w:rPr>
      </w:pPr>
    </w:p>
    <w:p>
      <w:pPr>
        <w:ind w:left="4" w:hanging="4"/>
        <w:spacing w:after="0" w:line="312" w:lineRule="auto"/>
        <w:tabs>
          <w:tab w:leader="none" w:pos="39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the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6" w:lineRule="exact"/>
        <w:rPr>
          <w:rFonts w:ascii="Arial" w:cs="Arial" w:eastAsia="Arial" w:hAnsi="Arial"/>
          <w:sz w:val="16"/>
          <w:szCs w:val="16"/>
          <w:color w:val="auto"/>
        </w:rPr>
      </w:pPr>
    </w:p>
    <w:p>
      <w:pPr>
        <w:ind w:left="4" w:right="160" w:hanging="4"/>
        <w:spacing w:after="0" w:line="277" w:lineRule="auto"/>
        <w:tabs>
          <w:tab w:leader="none" w:pos="3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supply by means of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14" w:lineRule="exact"/>
        <w:rPr>
          <w:sz w:val="20"/>
          <w:szCs w:val="20"/>
          <w:color w:val="auto"/>
        </w:rPr>
      </w:pPr>
    </w:p>
    <w:p>
      <w:pPr>
        <w:jc w:val="center"/>
        <w:ind w:right="36"/>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24"/>
          </w:cols>
          <w:pgMar w:left="316" w:top="368" w:right="25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 and Chairman of the Board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of the undersigned directors and officers of The Scotts Miracle-Gro Company (the “Company”)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p>
      <w:pPr>
        <w:ind w:left="2120"/>
        <w:spacing w:after="0"/>
        <w:tabs>
          <w:tab w:leader="none" w:pos="6180" w:val="left"/>
          <w:tab w:leader="none" w:pos="9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James Hagedorn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James Hagedorn</w:t>
      </w: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/s/ Thomas Randal Coleman</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Thomas Randal Coleman</w:t>
      </w:r>
    </w:p>
    <w:p>
      <w:pPr>
        <w:spacing w:after="0" w:line="38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Brian D. Finn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Brian D. Finn</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Adam Hanft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Adam Hanft</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Stephen L. Johnson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Stephen L. Johnson</w:t>
      </w: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Michelle A. Johnson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Michelle A. Johnson</w:t>
      </w:r>
    </w:p>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/s/ Thomas B. Kelly Jr.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Thomas N. Kelly Jr.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2"/>
              </w:rPr>
              <w:t>Chief Executive Officer and Chairman of the</w:t>
            </w:r>
          </w:p>
        </w:tc>
        <w:tc>
          <w:tcPr>
            <w:tcW w:w="1780" w:type="dxa"/>
            <w:vAlign w:val="bottom"/>
            <w:vMerge w:val="restart"/>
          </w:tcPr>
          <w:p>
            <w:pPr>
              <w:ind w:left="460"/>
              <w:spacing w:after="0"/>
              <w:rPr>
                <w:sz w:val="20"/>
                <w:szCs w:val="20"/>
                <w:color w:val="auto"/>
              </w:rPr>
            </w:pPr>
            <w:r>
              <w:rPr>
                <w:rFonts w:ascii="Arial" w:cs="Arial" w:eastAsia="Arial" w:hAnsi="Arial"/>
                <w:sz w:val="18"/>
                <w:szCs w:val="18"/>
                <w:color w:val="auto"/>
                <w:w w:val="88"/>
              </w:rPr>
              <w:t>February 28, 2017</w:t>
            </w:r>
          </w:p>
        </w:tc>
        <w:tc>
          <w:tcPr>
            <w:tcW w:w="0" w:type="dxa"/>
            <w:vAlign w:val="bottom"/>
          </w:tcPr>
          <w:p>
            <w:pPr>
              <w:spacing w:after="0"/>
              <w:rPr>
                <w:sz w:val="1"/>
                <w:szCs w:val="1"/>
                <w:color w:val="auto"/>
              </w:rPr>
            </w:pPr>
          </w:p>
        </w:tc>
      </w:tr>
      <w:tr>
        <w:trPr>
          <w:trHeight w:val="122"/>
        </w:trPr>
        <w:tc>
          <w:tcPr>
            <w:tcW w:w="3740" w:type="dxa"/>
            <w:vAlign w:val="bottom"/>
            <w:vMerge w:val="restart"/>
          </w:tcPr>
          <w:p>
            <w:pPr>
              <w:jc w:val="center"/>
              <w:ind w:right="350"/>
              <w:spacing w:after="0"/>
              <w:rPr>
                <w:sz w:val="20"/>
                <w:szCs w:val="20"/>
                <w:color w:val="auto"/>
              </w:rPr>
            </w:pPr>
            <w:r>
              <w:rPr>
                <w:rFonts w:ascii="Arial" w:cs="Arial" w:eastAsia="Arial" w:hAnsi="Arial"/>
                <w:sz w:val="18"/>
                <w:szCs w:val="18"/>
                <w:color w:val="auto"/>
                <w:w w:val="93"/>
              </w:rPr>
              <w:t>Board (Principal Executive Officer)</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4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3740" w:type="dxa"/>
            <w:vAlign w:val="bottom"/>
          </w:tcPr>
          <w:p>
            <w:pPr>
              <w:jc w:val="center"/>
              <w:ind w:right="350"/>
              <w:spacing w:after="0"/>
              <w:rPr>
                <w:sz w:val="20"/>
                <w:szCs w:val="20"/>
                <w:color w:val="auto"/>
              </w:rPr>
            </w:pPr>
            <w:r>
              <w:rPr>
                <w:rFonts w:ascii="Arial" w:cs="Arial" w:eastAsia="Arial" w:hAnsi="Arial"/>
                <w:sz w:val="18"/>
                <w:szCs w:val="18"/>
                <w:color w:val="auto"/>
                <w:w w:val="93"/>
              </w:rPr>
              <w:t>Chief Financial Officer and</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2"/>
              </w:rPr>
              <w:t>Executive Vice President (Principal Financial</w:t>
            </w:r>
          </w:p>
        </w:tc>
        <w:tc>
          <w:tcPr>
            <w:tcW w:w="1780" w:type="dxa"/>
            <w:vAlign w:val="bottom"/>
          </w:tcPr>
          <w:p>
            <w:pPr>
              <w:ind w:left="460"/>
              <w:spacing w:after="0"/>
              <w:rPr>
                <w:sz w:val="20"/>
                <w:szCs w:val="20"/>
                <w:color w:val="auto"/>
              </w:rPr>
            </w:pPr>
            <w:r>
              <w:rPr>
                <w:rFonts w:ascii="Arial" w:cs="Arial" w:eastAsia="Arial" w:hAnsi="Arial"/>
                <w:sz w:val="18"/>
                <w:szCs w:val="18"/>
                <w:color w:val="auto"/>
                <w:w w:val="88"/>
              </w:rPr>
              <w:t>February 28, 2017</w:t>
            </w:r>
          </w:p>
        </w:tc>
        <w:tc>
          <w:tcPr>
            <w:tcW w:w="0" w:type="dxa"/>
            <w:vAlign w:val="bottom"/>
          </w:tcPr>
          <w:p>
            <w:pPr>
              <w:spacing w:after="0"/>
              <w:rPr>
                <w:sz w:val="1"/>
                <w:szCs w:val="1"/>
                <w:color w:val="auto"/>
              </w:rPr>
            </w:pPr>
          </w:p>
        </w:tc>
      </w:tr>
      <w:tr>
        <w:trPr>
          <w:trHeight w:val="230"/>
        </w:trPr>
        <w:tc>
          <w:tcPr>
            <w:tcW w:w="3740" w:type="dxa"/>
            <w:vAlign w:val="bottom"/>
          </w:tcPr>
          <w:p>
            <w:pPr>
              <w:jc w:val="center"/>
              <w:ind w:right="350"/>
              <w:spacing w:after="0"/>
              <w:rPr>
                <w:sz w:val="20"/>
                <w:szCs w:val="20"/>
                <w:color w:val="auto"/>
              </w:rPr>
            </w:pPr>
            <w:r>
              <w:rPr>
                <w:rFonts w:ascii="Arial" w:cs="Arial" w:eastAsia="Arial" w:hAnsi="Arial"/>
                <w:sz w:val="18"/>
                <w:szCs w:val="18"/>
                <w:color w:val="auto"/>
                <w:w w:val="94"/>
              </w:rPr>
              <w:t>Officer and Principal Accounting Officer)</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460"/>
              <w:spacing w:after="0"/>
              <w:rPr>
                <w:sz w:val="20"/>
                <w:szCs w:val="20"/>
                <w:color w:val="auto"/>
              </w:rPr>
            </w:pPr>
            <w:r>
              <w:rPr>
                <w:rFonts w:ascii="Arial" w:cs="Arial" w:eastAsia="Arial" w:hAnsi="Arial"/>
                <w:sz w:val="18"/>
                <w:szCs w:val="18"/>
                <w:color w:val="auto"/>
                <w:w w:val="88"/>
              </w:rPr>
              <w:t>February 28, 2017</w:t>
            </w:r>
          </w:p>
        </w:tc>
        <w:tc>
          <w:tcPr>
            <w:tcW w:w="0" w:type="dxa"/>
            <w:vAlign w:val="bottom"/>
          </w:tcPr>
          <w:p>
            <w:pPr>
              <w:spacing w:after="0"/>
              <w:rPr>
                <w:sz w:val="1"/>
                <w:szCs w:val="1"/>
                <w:color w:val="auto"/>
              </w:rPr>
            </w:pPr>
          </w:p>
        </w:tc>
      </w:tr>
      <w:tr>
        <w:trPr>
          <w:trHeight w:val="810"/>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460"/>
              <w:spacing w:after="0"/>
              <w:rPr>
                <w:sz w:val="20"/>
                <w:szCs w:val="20"/>
                <w:color w:val="auto"/>
              </w:rPr>
            </w:pPr>
            <w:r>
              <w:rPr>
                <w:rFonts w:ascii="Arial" w:cs="Arial" w:eastAsia="Arial" w:hAnsi="Arial"/>
                <w:sz w:val="18"/>
                <w:szCs w:val="18"/>
                <w:color w:val="auto"/>
                <w:w w:val="88"/>
              </w:rPr>
              <w:t>February 28, 2017</w:t>
            </w:r>
          </w:p>
        </w:tc>
        <w:tc>
          <w:tcPr>
            <w:tcW w:w="0" w:type="dxa"/>
            <w:vAlign w:val="bottom"/>
          </w:tcPr>
          <w:p>
            <w:pPr>
              <w:spacing w:after="0"/>
              <w:rPr>
                <w:sz w:val="1"/>
                <w:szCs w:val="1"/>
                <w:color w:val="auto"/>
              </w:rPr>
            </w:pPr>
          </w:p>
        </w:tc>
      </w:tr>
      <w:tr>
        <w:trPr>
          <w:trHeight w:val="810"/>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460"/>
              <w:spacing w:after="0"/>
              <w:rPr>
                <w:sz w:val="20"/>
                <w:szCs w:val="20"/>
                <w:color w:val="auto"/>
              </w:rPr>
            </w:pPr>
            <w:r>
              <w:rPr>
                <w:rFonts w:ascii="Arial" w:cs="Arial" w:eastAsia="Arial" w:hAnsi="Arial"/>
                <w:sz w:val="18"/>
                <w:szCs w:val="18"/>
                <w:color w:val="auto"/>
                <w:w w:val="88"/>
              </w:rPr>
              <w:t>February 28, 2017</w:t>
            </w:r>
          </w:p>
        </w:tc>
        <w:tc>
          <w:tcPr>
            <w:tcW w:w="0" w:type="dxa"/>
            <w:vAlign w:val="bottom"/>
          </w:tcPr>
          <w:p>
            <w:pPr>
              <w:spacing w:after="0"/>
              <w:rPr>
                <w:sz w:val="1"/>
                <w:szCs w:val="1"/>
                <w:color w:val="auto"/>
              </w:rPr>
            </w:pPr>
          </w:p>
        </w:tc>
      </w:tr>
      <w:tr>
        <w:trPr>
          <w:trHeight w:val="918"/>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460"/>
              <w:spacing w:after="0"/>
              <w:rPr>
                <w:sz w:val="20"/>
                <w:szCs w:val="20"/>
                <w:color w:val="auto"/>
              </w:rPr>
            </w:pPr>
            <w:r>
              <w:rPr>
                <w:rFonts w:ascii="Arial" w:cs="Arial" w:eastAsia="Arial" w:hAnsi="Arial"/>
                <w:sz w:val="18"/>
                <w:szCs w:val="18"/>
                <w:color w:val="auto"/>
                <w:w w:val="88"/>
              </w:rPr>
              <w:t>February 28, 2017</w:t>
            </w:r>
          </w:p>
        </w:tc>
        <w:tc>
          <w:tcPr>
            <w:tcW w:w="0" w:type="dxa"/>
            <w:vAlign w:val="bottom"/>
          </w:tcPr>
          <w:p>
            <w:pPr>
              <w:spacing w:after="0"/>
              <w:rPr>
                <w:sz w:val="1"/>
                <w:szCs w:val="1"/>
                <w:color w:val="auto"/>
              </w:rPr>
            </w:pPr>
          </w:p>
        </w:tc>
      </w:tr>
      <w:tr>
        <w:trPr>
          <w:trHeight w:val="918"/>
        </w:trPr>
        <w:tc>
          <w:tcPr>
            <w:tcW w:w="3740" w:type="dxa"/>
            <w:vAlign w:val="bottom"/>
          </w:tcPr>
          <w:p>
            <w:pPr>
              <w:jc w:val="center"/>
              <w:ind w:right="37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ind w:left="460"/>
              <w:spacing w:after="0"/>
              <w:rPr>
                <w:sz w:val="20"/>
                <w:szCs w:val="20"/>
                <w:color w:val="auto"/>
              </w:rPr>
            </w:pPr>
            <w:r>
              <w:rPr>
                <w:rFonts w:ascii="Arial" w:cs="Arial" w:eastAsia="Arial" w:hAnsi="Arial"/>
                <w:sz w:val="18"/>
                <w:szCs w:val="18"/>
                <w:color w:val="auto"/>
                <w:w w:val="88"/>
              </w:rPr>
              <w:t>February 28, 2017</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4020" w:space="720"/>
            <w:col w:w="6640"/>
          </w:cols>
          <w:pgMar w:left="240" w:top="364" w:right="279" w:bottom="1440" w:gutter="0" w:footer="0" w:header="0"/>
          <w:type w:val="continuous"/>
        </w:sectPr>
      </w:pP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II-9</w:t>
      </w:r>
    </w:p>
    <w:p>
      <w:pPr>
        <w:sectPr>
          <w:pgSz w:w="11900" w:h="16838" w:orient="portrait"/>
          <w:cols w:equalWidth="0" w:num="1">
            <w:col w:w="11380"/>
          </w:cols>
          <w:pgMar w:left="240" w:top="364" w:right="279" w:bottom="1440" w:gutter="0" w:footer="0" w:header="0"/>
          <w:type w:val="continuous"/>
        </w:sectPr>
      </w:pPr>
    </w:p>
    <w:bookmarkStart w:id="102" w:name="page103"/>
    <w:bookmarkEnd w:id="102"/>
    <w:p>
      <w:pPr>
        <w:ind w:left="14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306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F. McCann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F. McCann</w:t>
      </w:r>
    </w:p>
    <w:p>
      <w:pPr>
        <w:spacing w:after="0" w:line="373"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u w:val="single" w:color="auto"/>
          <w:color w:val="auto"/>
        </w:rPr>
        <w:t xml:space="preserve">/s/ Katherine Hagedorn Littlefield </w:t>
      </w:r>
      <w:r>
        <w:rPr>
          <w:rFonts w:ascii="Arial" w:cs="Arial" w:eastAsia="Arial" w:hAnsi="Arial"/>
          <w:sz w:val="16"/>
          <w:szCs w:val="16"/>
          <w:color w:val="auto"/>
        </w:rPr>
        <w:t>Katherine Hagedorn Littlefield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Nancy G. Mistretta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G. Mistretta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 Vines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 Vines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E. Shumlin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E. Shumlin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48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28,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28,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28,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28, 2017</w:t>
            </w:r>
          </w:p>
        </w:tc>
      </w:tr>
      <w:tr>
        <w:trPr>
          <w:trHeight w:val="810"/>
        </w:trPr>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February 28, 2017</w:t>
            </w:r>
          </w:p>
        </w:tc>
      </w:tr>
    </w:tbl>
    <w:p>
      <w:pPr>
        <w:spacing w:after="0" w:line="200" w:lineRule="exact"/>
        <w:rPr>
          <w:sz w:val="20"/>
          <w:szCs w:val="20"/>
          <w:color w:val="auto"/>
        </w:rPr>
      </w:pPr>
    </w:p>
    <w:p>
      <w:pPr>
        <w:spacing w:after="0" w:line="3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II-10</w:t>
      </w:r>
    </w:p>
    <w:p>
      <w:pPr>
        <w:sectPr>
          <w:pgSz w:w="11900" w:h="16838" w:orient="portrait"/>
          <w:cols w:equalWidth="0" w:num="2">
            <w:col w:w="3200" w:space="720"/>
            <w:col w:w="6140"/>
          </w:cols>
          <w:pgMar w:left="940" w:top="1174" w:right="89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GENSOURCE,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2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6"/>
              </w:rPr>
              <w:t>/s/ James Hagedorn</w:t>
            </w:r>
          </w:p>
        </w:tc>
        <w:tc>
          <w:tcPr>
            <w:tcW w:w="2560" w:type="dxa"/>
            <w:vAlign w:val="bottom"/>
            <w:gridSpan w:val="5"/>
          </w:tcPr>
          <w:p>
            <w:pPr>
              <w:spacing w:after="0"/>
              <w:rPr>
                <w:sz w:val="24"/>
                <w:szCs w:val="24"/>
                <w:color w:val="auto"/>
              </w:rPr>
            </w:pP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President and Chief Executive Officer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8"/>
            <w:vMerge w:val="restart"/>
          </w:tcPr>
          <w:p>
            <w:pPr>
              <w:spacing w:after="0"/>
              <w:rPr>
                <w:sz w:val="20"/>
                <w:szCs w:val="20"/>
                <w:color w:val="auto"/>
              </w:rPr>
            </w:pPr>
            <w:r>
              <w:rPr>
                <w:rFonts w:ascii="Arial" w:cs="Arial" w:eastAsia="Arial" w:hAnsi="Arial"/>
                <w:sz w:val="18"/>
                <w:szCs w:val="18"/>
                <w:color w:val="auto"/>
              </w:rPr>
              <w:t>James Hagedorn</w:t>
            </w: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8"/>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Treasurer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60" w:type="dxa"/>
            <w:vAlign w:val="bottom"/>
            <w:tcBorders>
              <w:bottom w:val="single" w:sz="8" w:color="auto"/>
            </w:tcBorders>
            <w:gridSpan w:val="5"/>
          </w:tcPr>
          <w:p>
            <w:pPr>
              <w:spacing w:after="0" w:line="190" w:lineRule="exact"/>
              <w:rPr>
                <w:sz w:val="20"/>
                <w:szCs w:val="20"/>
                <w:color w:val="auto"/>
              </w:rPr>
            </w:pPr>
            <w:r>
              <w:rPr>
                <w:rFonts w:ascii="Arial" w:cs="Arial" w:eastAsia="Arial" w:hAnsi="Arial"/>
                <w:sz w:val="18"/>
                <w:szCs w:val="18"/>
                <w:color w:val="auto"/>
                <w:w w:val="87"/>
              </w:rPr>
              <w:t>/s/ James A. Schroeder</w:t>
            </w:r>
          </w:p>
        </w:tc>
        <w:tc>
          <w:tcPr>
            <w:tcW w:w="2320" w:type="dxa"/>
            <w:vAlign w:val="bottom"/>
            <w:gridSpan w:val="3"/>
          </w:tcPr>
          <w:p>
            <w:pPr>
              <w:spacing w:after="0"/>
              <w:rPr>
                <w:sz w:val="16"/>
                <w:szCs w:val="16"/>
                <w:color w:val="auto"/>
              </w:rPr>
            </w:pP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8"/>
          </w:tcPr>
          <w:p>
            <w:pPr>
              <w:spacing w:after="0"/>
              <w:rPr>
                <w:sz w:val="20"/>
                <w:szCs w:val="20"/>
                <w:color w:val="auto"/>
              </w:rPr>
            </w:pPr>
            <w:r>
              <w:rPr>
                <w:rFonts w:ascii="Arial" w:cs="Arial" w:eastAsia="Arial" w:hAnsi="Arial"/>
                <w:sz w:val="18"/>
                <w:szCs w:val="18"/>
                <w:color w:val="auto"/>
              </w:rPr>
              <w:t>James A. Schroeder</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8"/>
          </w:tcPr>
          <w:p>
            <w:pPr>
              <w:spacing w:after="0"/>
              <w:rPr>
                <w:sz w:val="20"/>
                <w:szCs w:val="20"/>
                <w:color w:val="auto"/>
              </w:rPr>
            </w:pPr>
            <w:r>
              <w:rPr>
                <w:rFonts w:ascii="Arial" w:cs="Arial" w:eastAsia="Arial" w:hAnsi="Arial"/>
                <w:sz w:val="18"/>
                <w:szCs w:val="18"/>
                <w:color w:val="auto"/>
              </w:rPr>
              <w:t>/s/ Aimee M. DeLuca</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color w:val="auto"/>
              </w:rPr>
              <w:t>Aimee M. DeLuca</w:t>
            </w:r>
          </w:p>
        </w:tc>
        <w:tc>
          <w:tcPr>
            <w:tcW w:w="2420" w:type="dxa"/>
            <w:vAlign w:val="bottom"/>
            <w:gridSpan w:val="4"/>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Craig Izzo</w:t>
            </w:r>
          </w:p>
        </w:tc>
        <w:tc>
          <w:tcPr>
            <w:tcW w:w="3000" w:type="dxa"/>
            <w:vAlign w:val="bottom"/>
            <w:gridSpan w:val="7"/>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8"/>
            <w:vMerge w:val="restart"/>
          </w:tcPr>
          <w:p>
            <w:pPr>
              <w:spacing w:after="0"/>
              <w:rPr>
                <w:sz w:val="20"/>
                <w:szCs w:val="20"/>
                <w:color w:val="auto"/>
              </w:rPr>
            </w:pPr>
            <w:r>
              <w:rPr>
                <w:rFonts w:ascii="Arial" w:cs="Arial" w:eastAsia="Arial" w:hAnsi="Arial"/>
                <w:sz w:val="18"/>
                <w:szCs w:val="18"/>
                <w:color w:val="auto"/>
              </w:rPr>
              <w:t>Craig Izzo</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8"/>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 Thomas Randal Coleman</w:t>
            </w:r>
          </w:p>
        </w:tc>
        <w:tc>
          <w:tcPr>
            <w:tcW w:w="1920" w:type="dxa"/>
            <w:vAlign w:val="bottom"/>
            <w:gridSpan w:val="2"/>
          </w:tcPr>
          <w:p>
            <w:pPr>
              <w:spacing w:after="0"/>
              <w:rPr>
                <w:sz w:val="24"/>
                <w:szCs w:val="24"/>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8"/>
            <w:vMerge w:val="restart"/>
          </w:tcPr>
          <w:p>
            <w:pPr>
              <w:spacing w:after="0"/>
              <w:rPr>
                <w:sz w:val="20"/>
                <w:szCs w:val="20"/>
                <w:color w:val="auto"/>
              </w:rPr>
            </w:pPr>
            <w:r>
              <w:rPr>
                <w:rFonts w:ascii="Arial" w:cs="Arial" w:eastAsia="Arial" w:hAnsi="Arial"/>
                <w:sz w:val="18"/>
                <w:szCs w:val="18"/>
                <w:color w:val="auto"/>
              </w:rPr>
              <w:t>Thomas Randal Coleman</w:t>
            </w: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8"/>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8"/>
          </w:tcPr>
          <w:p>
            <w:pPr>
              <w:spacing w:after="0"/>
              <w:rPr>
                <w:sz w:val="20"/>
                <w:szCs w:val="20"/>
                <w:color w:val="auto"/>
              </w:rPr>
            </w:pPr>
            <w:r>
              <w:rPr>
                <w:rFonts w:ascii="Arial" w:cs="Arial" w:eastAsia="Arial" w:hAnsi="Arial"/>
                <w:sz w:val="18"/>
                <w:szCs w:val="18"/>
                <w:color w:val="auto"/>
              </w:rPr>
              <w:t>/s/ Scott Hendrick</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Scott Hendrick</w:t>
            </w:r>
          </w:p>
        </w:tc>
        <w:tc>
          <w:tcPr>
            <w:tcW w:w="2680" w:type="dxa"/>
            <w:vAlign w:val="bottom"/>
            <w:gridSpan w:val="6"/>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680" w:type="dxa"/>
            <w:vAlign w:val="bottom"/>
            <w:gridSpan w:val="6"/>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II-11</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4" w:right="27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GUTWEIN &amp; CO.,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HYPONEX CORPORATION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MANUFACTURING COMPANY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SMG GROWING MEDIA, INC.</w:t>
      </w:r>
    </w:p>
    <w:p>
      <w:pPr>
        <w:spacing w:after="0" w:line="211"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James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/s/ James Hagedorn</w:t>
            </w:r>
          </w:p>
        </w:tc>
        <w:tc>
          <w:tcPr>
            <w:tcW w:w="2560" w:type="dxa"/>
            <w:vAlign w:val="bottom"/>
            <w:gridSpan w:val="3"/>
          </w:tcPr>
          <w:p>
            <w:pPr>
              <w:spacing w:after="0"/>
              <w:rPr>
                <w:sz w:val="24"/>
                <w:szCs w:val="24"/>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Chief Executive Officer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gridSpan w:val="5"/>
            <w:vMerge w:val="restart"/>
          </w:tcPr>
          <w:p>
            <w:pPr>
              <w:spacing w:after="0"/>
              <w:rPr>
                <w:sz w:val="20"/>
                <w:szCs w:val="20"/>
                <w:color w:val="auto"/>
              </w:rPr>
            </w:pPr>
            <w:r>
              <w:rPr>
                <w:rFonts w:ascii="Arial" w:cs="Arial" w:eastAsia="Arial" w:hAnsi="Arial"/>
                <w:sz w:val="18"/>
                <w:szCs w:val="18"/>
                <w:color w:val="auto"/>
              </w:rPr>
              <w:t>James Hagedorn</w:t>
            </w:r>
          </w:p>
        </w:tc>
        <w:tc>
          <w:tcPr>
            <w:tcW w:w="38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gridSpan w:val="5"/>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Executive Vice President,</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Chief Financial Officer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60" w:type="dxa"/>
            <w:vAlign w:val="bottom"/>
            <w:gridSpan w:val="3"/>
            <w:vMerge w:val="restart"/>
          </w:tcPr>
          <w:p>
            <w:pPr>
              <w:spacing w:after="0" w:line="190" w:lineRule="exact"/>
              <w:rPr>
                <w:sz w:val="20"/>
                <w:szCs w:val="20"/>
                <w:color w:val="auto"/>
              </w:rPr>
            </w:pPr>
            <w:r>
              <w:rPr>
                <w:rFonts w:ascii="Arial" w:cs="Arial" w:eastAsia="Arial" w:hAnsi="Arial"/>
                <w:sz w:val="18"/>
                <w:szCs w:val="18"/>
                <w:color w:val="auto"/>
                <w:w w:val="89"/>
              </w:rPr>
              <w:t>/s/ Thomas Randal Coleman</w:t>
            </w:r>
          </w:p>
        </w:tc>
        <w:tc>
          <w:tcPr>
            <w:tcW w:w="1920" w:type="dxa"/>
            <w:vAlign w:val="bottom"/>
            <w:gridSpan w:val="2"/>
            <w:vMerge w:val="restart"/>
          </w:tcPr>
          <w:p>
            <w:pPr>
              <w:spacing w:after="0"/>
              <w:rPr>
                <w:sz w:val="10"/>
                <w:szCs w:val="10"/>
                <w:color w:val="auto"/>
              </w:rPr>
            </w:pPr>
          </w:p>
        </w:tc>
        <w:tc>
          <w:tcPr>
            <w:tcW w:w="386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2060" w:type="dxa"/>
            <w:vAlign w:val="bottom"/>
            <w:tcBorders>
              <w:bottom w:val="single" w:sz="8" w:color="auto"/>
            </w:tcBorders>
            <w:gridSpan w:val="3"/>
            <w:vMerge w:val="continue"/>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3860" w:type="dxa"/>
            <w:vAlign w:val="bottom"/>
            <w:gridSpan w:val="2"/>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Thomas Randal Coleman</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/s/ Ivan C. Smith</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Executive Vice President, Secretary and</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Ivan C. Smith</w:t>
            </w:r>
          </w:p>
        </w:tc>
        <w:tc>
          <w:tcPr>
            <w:tcW w:w="2760" w:type="dxa"/>
            <w:vAlign w:val="bottom"/>
            <w:gridSpan w:val="4"/>
            <w:vMerge w:val="restart"/>
          </w:tcPr>
          <w:p>
            <w:pPr>
              <w:spacing w:after="0"/>
              <w:rPr>
                <w:sz w:val="11"/>
                <w:szCs w:val="11"/>
                <w:color w:val="auto"/>
              </w:rPr>
            </w:pP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760" w:type="dxa"/>
            <w:vAlign w:val="bottom"/>
            <w:gridSpan w:val="4"/>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II-12</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4" w:right="27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HAWTHORNE HYDROPONICS LLC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J.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gridSpan w:val="4"/>
          </w:tcPr>
          <w:p>
            <w:pPr>
              <w:ind w:left="144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ind w:left="1600"/>
              <w:spacing w:after="0"/>
              <w:rPr>
                <w:sz w:val="20"/>
                <w:szCs w:val="20"/>
                <w:color w:val="auto"/>
              </w:rPr>
            </w:pPr>
            <w:r>
              <w:rPr>
                <w:rFonts w:ascii="Arial" w:cs="Arial" w:eastAsia="Arial" w:hAnsi="Arial"/>
                <w:sz w:val="18"/>
                <w:szCs w:val="18"/>
                <w:b w:val="1"/>
                <w:bCs w:val="1"/>
                <w:color w:val="auto"/>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/s/ Christopher J. Hagedorn</w:t>
            </w: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86"/>
              </w:rPr>
              <w:t>President</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w w:val="99"/>
              </w:rPr>
              <w:t>Christopher J. Hagedorn</w:t>
            </w:r>
          </w:p>
        </w:tc>
        <w:tc>
          <w:tcPr>
            <w:tcW w:w="2000" w:type="dxa"/>
            <w:vAlign w:val="bottom"/>
            <w:gridSpan w:val="2"/>
            <w:vMerge w:val="restart"/>
          </w:tcPr>
          <w:p>
            <w:pPr>
              <w:spacing w:after="0"/>
              <w:rPr>
                <w:sz w:val="11"/>
                <w:szCs w:val="11"/>
                <w:color w:val="auto"/>
              </w:rPr>
            </w:pP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Vice President and Treasurer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80" w:type="dxa"/>
            <w:vAlign w:val="bottom"/>
            <w:gridSpan w:val="4"/>
          </w:tcPr>
          <w:p>
            <w:pPr>
              <w:spacing w:after="0" w:line="190" w:lineRule="exact"/>
              <w:rPr>
                <w:sz w:val="20"/>
                <w:szCs w:val="20"/>
                <w:color w:val="auto"/>
              </w:rPr>
            </w:pPr>
            <w:r>
              <w:rPr>
                <w:rFonts w:ascii="Arial" w:cs="Arial" w:eastAsia="Arial" w:hAnsi="Arial"/>
                <w:sz w:val="18"/>
                <w:szCs w:val="18"/>
                <w:color w:val="auto"/>
              </w:rPr>
              <w:t>/s/ Albert J. Messina</w:t>
            </w: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Albert J. Messina</w:t>
            </w:r>
          </w:p>
        </w:tc>
        <w:tc>
          <w:tcPr>
            <w:tcW w:w="2500" w:type="dxa"/>
            <w:vAlign w:val="bottom"/>
            <w:gridSpan w:val="3"/>
          </w:tcPr>
          <w:p>
            <w:pPr>
              <w:spacing w:after="0"/>
              <w:rPr>
                <w:sz w:val="20"/>
                <w:szCs w:val="20"/>
                <w:color w:val="auto"/>
              </w:rPr>
            </w:pP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ind w:left="920"/>
              <w:spacing w:after="0"/>
              <w:rPr>
                <w:sz w:val="20"/>
                <w:szCs w:val="20"/>
                <w:color w:val="auto"/>
              </w:rPr>
            </w:pPr>
            <w:r>
              <w:rPr>
                <w:rFonts w:ascii="Arial" w:cs="Arial" w:eastAsia="Arial" w:hAnsi="Arial"/>
                <w:sz w:val="18"/>
                <w:szCs w:val="18"/>
                <w:color w:val="auto"/>
              </w:rPr>
              <w:t>II-13</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4" w:right="27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HGCI,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J. Hagedorn</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80" w:type="dxa"/>
            <w:vAlign w:val="bottom"/>
            <w:gridSpan w:val="5"/>
          </w:tcPr>
          <w:p>
            <w:pPr>
              <w:ind w:left="240"/>
              <w:spacing w:after="0"/>
              <w:rPr>
                <w:sz w:val="20"/>
                <w:szCs w:val="20"/>
                <w:color w:val="auto"/>
              </w:rPr>
            </w:pPr>
            <w:r>
              <w:rPr>
                <w:rFonts w:ascii="Arial" w:cs="Arial" w:eastAsia="Arial" w:hAnsi="Arial"/>
                <w:sz w:val="18"/>
                <w:szCs w:val="18"/>
                <w:b w:val="1"/>
                <w:bCs w:val="1"/>
                <w:color w:val="auto"/>
              </w:rPr>
              <w:t>Signature</w:t>
            </w:r>
          </w:p>
        </w:tc>
        <w:tc>
          <w:tcPr>
            <w:tcW w:w="3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Title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/s/ Christopher J. Hagedorn</w:t>
            </w: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President and 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color w:val="auto"/>
                <w:w w:val="99"/>
              </w:rPr>
              <w:t>Christopher J. Hagedorn</w:t>
            </w:r>
          </w:p>
        </w:tc>
        <w:tc>
          <w:tcPr>
            <w:tcW w:w="2000" w:type="dxa"/>
            <w:vAlign w:val="bottom"/>
            <w:gridSpan w:val="2"/>
            <w:vMerge w:val="restart"/>
          </w:tcPr>
          <w:p>
            <w:pPr>
              <w:spacing w:after="0"/>
              <w:rPr>
                <w:sz w:val="11"/>
                <w:szCs w:val="11"/>
                <w:color w:val="auto"/>
              </w:rPr>
            </w:pPr>
          </w:p>
        </w:tc>
        <w:tc>
          <w:tcPr>
            <w:tcW w:w="386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94"/>
              </w:rPr>
              <w:t>(Principal Executive Officer)</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gridSpan w:val="4"/>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386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Treasurer and Director</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/s/ Garry J. Hills</w:t>
            </w:r>
          </w:p>
        </w:tc>
        <w:tc>
          <w:tcPr>
            <w:tcW w:w="2780" w:type="dxa"/>
            <w:vAlign w:val="bottom"/>
            <w:gridSpan w:val="5"/>
          </w:tcPr>
          <w:p>
            <w:pPr>
              <w:spacing w:after="0"/>
              <w:rPr>
                <w:sz w:val="16"/>
                <w:szCs w:val="16"/>
                <w:color w:val="auto"/>
              </w:rPr>
            </w:pPr>
          </w:p>
        </w:tc>
        <w:tc>
          <w:tcPr>
            <w:tcW w:w="3860" w:type="dxa"/>
            <w:vAlign w:val="bottom"/>
            <w:gridSpan w:val="2"/>
          </w:tcPr>
          <w:p>
            <w:pPr>
              <w:jc w:val="center"/>
              <w:ind w:left="27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40" w:type="dxa"/>
            <w:vAlign w:val="bottom"/>
          </w:tcPr>
          <w:p>
            <w:pPr>
              <w:jc w:val="center"/>
              <w:spacing w:after="0" w:line="190" w:lineRule="exact"/>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Garry J. Hills</w:t>
            </w:r>
          </w:p>
        </w:tc>
        <w:tc>
          <w:tcPr>
            <w:tcW w:w="386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Principal Accounting Officer)</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/s/ Aimee M. DeLuca</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Aimee M. DeLuca</w:t>
            </w:r>
          </w:p>
        </w:tc>
        <w:tc>
          <w:tcPr>
            <w:tcW w:w="2420" w:type="dxa"/>
            <w:vAlign w:val="bottom"/>
            <w:gridSpan w:val="4"/>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/s/ Edward R. Claggett</w:t>
            </w:r>
          </w:p>
        </w:tc>
        <w:tc>
          <w:tcPr>
            <w:tcW w:w="38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8"/>
                <w:szCs w:val="18"/>
                <w:color w:val="auto"/>
              </w:rPr>
              <w:t>Edward R. Claggett</w:t>
            </w:r>
          </w:p>
        </w:tc>
        <w:tc>
          <w:tcPr>
            <w:tcW w:w="2340" w:type="dxa"/>
            <w:vAlign w:val="bottom"/>
            <w:gridSpan w:val="3"/>
            <w:vMerge w:val="restart"/>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380"/>
          </w:cols>
          <w:pgMar w:left="240" w:top="364" w:right="27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OMS INVESTMENTS,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SWISS FARMS PRODUCTS, INC.</w:t>
      </w:r>
    </w:p>
    <w:p>
      <w:pPr>
        <w:spacing w:after="0" w:line="211"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4"/>
          </w:tcPr>
          <w:p>
            <w:pPr>
              <w:ind w:left="8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 Aimee M. DeLuca</w:t>
            </w:r>
          </w:p>
        </w:tc>
        <w:tc>
          <w:tcPr>
            <w:tcW w:w="2340" w:type="dxa"/>
            <w:vAlign w:val="bottom"/>
            <w:gridSpan w:val="3"/>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President, Chief Executive Officer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6"/>
            <w:vMerge w:val="restart"/>
          </w:tcPr>
          <w:p>
            <w:pPr>
              <w:spacing w:after="0"/>
              <w:rPr>
                <w:sz w:val="20"/>
                <w:szCs w:val="20"/>
                <w:color w:val="auto"/>
              </w:rPr>
            </w:pPr>
            <w:r>
              <w:rPr>
                <w:rFonts w:ascii="Arial" w:cs="Arial" w:eastAsia="Arial" w:hAnsi="Arial"/>
                <w:sz w:val="18"/>
                <w:szCs w:val="18"/>
                <w:color w:val="auto"/>
              </w:rPr>
              <w:t>Aimee M. DeLuca</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Treasurer and Director</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6"/>
          </w:tcPr>
          <w:p>
            <w:pPr>
              <w:spacing w:after="0" w:line="190" w:lineRule="exact"/>
              <w:rPr>
                <w:sz w:val="20"/>
                <w:szCs w:val="20"/>
                <w:color w:val="auto"/>
              </w:rPr>
            </w:pPr>
            <w:r>
              <w:rPr>
                <w:rFonts w:ascii="Arial" w:cs="Arial" w:eastAsia="Arial" w:hAnsi="Arial"/>
                <w:sz w:val="18"/>
                <w:szCs w:val="18"/>
                <w:color w:val="auto"/>
              </w:rPr>
              <w:t>/s/ Garry J. Hills</w:t>
            </w:r>
          </w:p>
        </w:tc>
        <w:tc>
          <w:tcPr>
            <w:tcW w:w="38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00" w:type="dxa"/>
            <w:vAlign w:val="bottom"/>
          </w:tcPr>
          <w:p>
            <w:pPr>
              <w:jc w:val="center"/>
              <w:spacing w:after="0" w:line="190" w:lineRule="exact"/>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Garry J. Hills</w:t>
            </w:r>
          </w:p>
        </w:tc>
        <w:tc>
          <w:tcPr>
            <w:tcW w:w="2720" w:type="dxa"/>
            <w:vAlign w:val="bottom"/>
            <w:gridSpan w:val="5"/>
          </w:tcPr>
          <w:p>
            <w:pPr>
              <w:spacing w:after="0"/>
              <w:rPr>
                <w:sz w:val="20"/>
                <w:szCs w:val="20"/>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3900" w:type="dxa"/>
            <w:vAlign w:val="bottom"/>
            <w:gridSpan w:val="6"/>
          </w:tcPr>
          <w:p>
            <w:pPr>
              <w:spacing w:after="0"/>
              <w:rPr>
                <w:sz w:val="20"/>
                <w:szCs w:val="20"/>
                <w:color w:val="auto"/>
              </w:rPr>
            </w:pPr>
            <w:r>
              <w:rPr>
                <w:rFonts w:ascii="Arial" w:cs="Arial" w:eastAsia="Arial" w:hAnsi="Arial"/>
                <w:sz w:val="18"/>
                <w:szCs w:val="18"/>
                <w:color w:val="auto"/>
              </w:rPr>
              <w:t>/s/ Patricia Ziegler</w:t>
            </w: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color w:val="auto"/>
              </w:rPr>
              <w:t>Patricia Ziegler</w:t>
            </w:r>
          </w:p>
        </w:tc>
        <w:tc>
          <w:tcPr>
            <w:tcW w:w="2580" w:type="dxa"/>
            <w:vAlign w:val="bottom"/>
            <w:gridSpan w:val="4"/>
            <w:vMerge w:val="restart"/>
          </w:tcPr>
          <w:p>
            <w:pPr>
              <w:spacing w:after="0"/>
              <w:rPr>
                <w:sz w:val="11"/>
                <w:szCs w:val="11"/>
                <w:color w:val="auto"/>
              </w:rPr>
            </w:pP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580" w:type="dxa"/>
            <w:vAlign w:val="bottom"/>
            <w:gridSpan w:val="4"/>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 Edward R. Claggett</w:t>
            </w:r>
          </w:p>
        </w:tc>
        <w:tc>
          <w:tcPr>
            <w:tcW w:w="2260" w:type="dxa"/>
            <w:vAlign w:val="bottom"/>
            <w:gridSpan w:val="2"/>
          </w:tcPr>
          <w:p>
            <w:pPr>
              <w:spacing w:after="0"/>
              <w:rPr>
                <w:sz w:val="24"/>
                <w:szCs w:val="24"/>
                <w:color w:val="auto"/>
              </w:rPr>
            </w:pP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6"/>
            <w:vMerge w:val="restart"/>
          </w:tcPr>
          <w:p>
            <w:pPr>
              <w:spacing w:after="0"/>
              <w:rPr>
                <w:sz w:val="20"/>
                <w:szCs w:val="20"/>
                <w:color w:val="auto"/>
              </w:rPr>
            </w:pPr>
            <w:r>
              <w:rPr>
                <w:rFonts w:ascii="Arial" w:cs="Arial" w:eastAsia="Arial" w:hAnsi="Arial"/>
                <w:sz w:val="18"/>
                <w:szCs w:val="18"/>
                <w:color w:val="auto"/>
              </w:rPr>
              <w:t>Edward R. Claggett</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II-15</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4" w:right="27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SCOTTS-SIERRA INVESTMENTS LLC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gridSpan w:val="4"/>
          </w:tcPr>
          <w:p>
            <w:pPr>
              <w:ind w:left="1320"/>
              <w:spacing w:after="0"/>
              <w:rPr>
                <w:sz w:val="20"/>
                <w:szCs w:val="20"/>
                <w:color w:val="auto"/>
              </w:rPr>
            </w:pPr>
            <w:r>
              <w:rPr>
                <w:rFonts w:ascii="Arial" w:cs="Arial" w:eastAsia="Arial" w:hAnsi="Arial"/>
                <w:sz w:val="18"/>
                <w:szCs w:val="18"/>
                <w:b w:val="1"/>
                <w:bCs w:val="1"/>
                <w:color w:val="auto"/>
              </w:rPr>
              <w:t>Signature</w:t>
            </w: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Title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/s/ Aimee M. DeLuca</w:t>
            </w:r>
          </w:p>
        </w:tc>
        <w:tc>
          <w:tcPr>
            <w:tcW w:w="39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President and Chief Executive Officer</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Aimee M. DeLuca</w:t>
            </w:r>
          </w:p>
        </w:tc>
        <w:tc>
          <w:tcPr>
            <w:tcW w:w="2160" w:type="dxa"/>
            <w:vAlign w:val="bottom"/>
            <w:gridSpan w:val="3"/>
            <w:vMerge w:val="restart"/>
          </w:tcPr>
          <w:p>
            <w:pPr>
              <w:spacing w:after="0"/>
              <w:rPr>
                <w:sz w:val="11"/>
                <w:szCs w:val="11"/>
                <w:color w:val="auto"/>
              </w:rPr>
            </w:pPr>
          </w:p>
        </w:tc>
        <w:tc>
          <w:tcPr>
            <w:tcW w:w="3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Vice President and Treasurer</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7"/>
              </w:rPr>
              <w:t>/s/ James A. Schroeder</w:t>
            </w:r>
          </w:p>
        </w:tc>
        <w:tc>
          <w:tcPr>
            <w:tcW w:w="2060" w:type="dxa"/>
            <w:vAlign w:val="bottom"/>
            <w:gridSpan w:val="2"/>
          </w:tcPr>
          <w:p>
            <w:pPr>
              <w:spacing w:after="0"/>
              <w:rPr>
                <w:sz w:val="16"/>
                <w:szCs w:val="16"/>
                <w:color w:val="auto"/>
              </w:rPr>
            </w:pPr>
          </w:p>
        </w:tc>
        <w:tc>
          <w:tcPr>
            <w:tcW w:w="39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420" w:type="dxa"/>
            <w:vAlign w:val="bottom"/>
          </w:tcPr>
          <w:p>
            <w:pPr>
              <w:jc w:val="center"/>
              <w:spacing w:after="0" w:line="190" w:lineRule="exact"/>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gridSpan w:val="4"/>
          </w:tcPr>
          <w:p>
            <w:pPr>
              <w:spacing w:after="0"/>
              <w:rPr>
                <w:sz w:val="20"/>
                <w:szCs w:val="20"/>
                <w:color w:val="auto"/>
              </w:rPr>
            </w:pPr>
            <w:r>
              <w:rPr>
                <w:rFonts w:ascii="Arial" w:cs="Arial" w:eastAsia="Arial" w:hAnsi="Arial"/>
                <w:sz w:val="18"/>
                <w:szCs w:val="18"/>
                <w:color w:val="auto"/>
              </w:rPr>
              <w:t>James A. Schroeder</w:t>
            </w:r>
          </w:p>
        </w:tc>
        <w:tc>
          <w:tcPr>
            <w:tcW w:w="39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Principal Accounting Officer)</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380"/>
          </w:cols>
          <w:pgMar w:left="240" w:top="364" w:right="27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SCOTTS TEMECULA OPERATIONS, LLC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SMGM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THE SCOTTS COMPANY LLC</w:t>
      </w:r>
    </w:p>
    <w:p>
      <w:pPr>
        <w:spacing w:after="0" w:line="211" w:lineRule="exact"/>
        <w:rPr>
          <w:sz w:val="20"/>
          <w:szCs w:val="20"/>
          <w:color w:val="auto"/>
        </w:rPr>
      </w:pPr>
    </w:p>
    <w:p>
      <w:pPr>
        <w:ind w:left="4460"/>
        <w:spacing w:after="0"/>
        <w:tabs>
          <w:tab w:leader="none" w:pos="4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James Hagedorn</w:t>
      </w:r>
    </w:p>
    <w:p>
      <w:pPr>
        <w:spacing w:after="0" w:line="23" w:lineRule="exact"/>
        <w:rPr>
          <w:sz w:val="20"/>
          <w:szCs w:val="20"/>
          <w:color w:val="auto"/>
        </w:rPr>
      </w:pPr>
    </w:p>
    <w:p>
      <w:pPr>
        <w:ind w:left="4460"/>
        <w:spacing w:after="0"/>
        <w:tabs>
          <w:tab w:leader="none" w:pos="5140" w:val="left"/>
        </w:tabs>
        <w:rPr>
          <w:sz w:val="20"/>
          <w:szCs w:val="20"/>
          <w:color w:val="auto"/>
        </w:rPr>
      </w:pPr>
      <w:r>
        <w:rPr>
          <w:rFonts w:ascii="Arial" w:cs="Arial" w:eastAsia="Arial" w:hAnsi="Arial"/>
          <w:sz w:val="18"/>
          <w:szCs w:val="18"/>
          <w:color w:val="auto"/>
        </w:rPr>
        <w:t>Name:</w:t>
        <w:tab/>
        <w:t>James Hagedorn</w:t>
      </w:r>
    </w:p>
    <w:p>
      <w:pPr>
        <w:spacing w:after="0" w:line="9" w:lineRule="exact"/>
        <w:rPr>
          <w:sz w:val="20"/>
          <w:szCs w:val="20"/>
          <w:color w:val="auto"/>
        </w:rPr>
      </w:pPr>
    </w:p>
    <w:p>
      <w:pPr>
        <w:ind w:left="4460"/>
        <w:spacing w:after="0"/>
        <w:tabs>
          <w:tab w:leader="none" w:pos="506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gridSpan w:val="4"/>
          </w:tcPr>
          <w:p>
            <w:pPr>
              <w:ind w:left="14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00" w:type="dxa"/>
            <w:vAlign w:val="bottom"/>
            <w:gridSpan w:val="4"/>
          </w:tcPr>
          <w:p>
            <w:pPr>
              <w:spacing w:after="0"/>
              <w:rPr>
                <w:sz w:val="20"/>
                <w:szCs w:val="20"/>
                <w:color w:val="auto"/>
              </w:rPr>
            </w:pPr>
            <w:r>
              <w:rPr>
                <w:rFonts w:ascii="Arial" w:cs="Arial" w:eastAsia="Arial" w:hAnsi="Arial"/>
                <w:sz w:val="18"/>
                <w:szCs w:val="18"/>
                <w:color w:val="auto"/>
              </w:rPr>
              <w:t>/s/ James Hagedorn</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Chief Executive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James Hagedorn</w:t>
            </w:r>
          </w:p>
        </w:tc>
        <w:tc>
          <w:tcPr>
            <w:tcW w:w="2500" w:type="dxa"/>
            <w:vAlign w:val="bottom"/>
            <w:gridSpan w:val="3"/>
            <w:vMerge w:val="restart"/>
          </w:tcPr>
          <w:p>
            <w:pPr>
              <w:spacing w:after="0"/>
              <w:rPr>
                <w:sz w:val="11"/>
                <w:szCs w:val="11"/>
                <w:color w:val="auto"/>
              </w:rPr>
            </w:pP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Executive Vice President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and Chief Financial Officer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4"/>
            <w:vMerge w:val="restart"/>
          </w:tcPr>
          <w:p>
            <w:pPr>
              <w:spacing w:after="0" w:line="190" w:lineRule="exact"/>
              <w:rPr>
                <w:sz w:val="20"/>
                <w:szCs w:val="20"/>
                <w:color w:val="auto"/>
              </w:rPr>
            </w:pPr>
            <w:r>
              <w:rPr>
                <w:rFonts w:ascii="Arial" w:cs="Arial" w:eastAsia="Arial" w:hAnsi="Arial"/>
                <w:sz w:val="18"/>
                <w:szCs w:val="18"/>
                <w:color w:val="auto"/>
              </w:rPr>
              <w:t>/s/ Thomas Randal Coleman</w:t>
            </w:r>
          </w:p>
        </w:tc>
        <w:tc>
          <w:tcPr>
            <w:tcW w:w="382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00" w:type="dxa"/>
            <w:vAlign w:val="bottom"/>
            <w:gridSpan w:val="4"/>
            <w:vMerge w:val="continue"/>
          </w:tcPr>
          <w:p>
            <w:pPr>
              <w:spacing w:after="0"/>
              <w:rPr>
                <w:sz w:val="5"/>
                <w:szCs w:val="5"/>
                <w:color w:val="auto"/>
              </w:rPr>
            </w:pPr>
          </w:p>
        </w:tc>
        <w:tc>
          <w:tcPr>
            <w:tcW w:w="382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Thomas Randal Coleman</w:t>
            </w:r>
          </w:p>
        </w:tc>
        <w:tc>
          <w:tcPr>
            <w:tcW w:w="1860" w:type="dxa"/>
            <w:vAlign w:val="bottom"/>
            <w:gridSpan w:val="2"/>
          </w:tcPr>
          <w:p>
            <w:pPr>
              <w:spacing w:after="0"/>
              <w:rPr>
                <w:sz w:val="20"/>
                <w:szCs w:val="20"/>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II-17</w:t>
      </w:r>
    </w:p>
    <w:p>
      <w:pPr>
        <w:sectPr>
          <w:pgSz w:w="11900" w:h="16838" w:orient="portrait"/>
          <w:cols w:equalWidth="0" w:num="1">
            <w:col w:w="11380"/>
          </w:cols>
          <w:pgMar w:left="240" w:top="364" w:right="27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SLS HOLDINGS, INC.</w:t>
      </w:r>
    </w:p>
    <w:p>
      <w:pPr>
        <w:spacing w:after="0" w:line="22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Aimee M. DeLuca</w:t>
      </w:r>
    </w:p>
    <w:p>
      <w:pPr>
        <w:spacing w:after="0" w:line="2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Aimee M. DeLuca</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80" w:type="dxa"/>
            <w:vAlign w:val="bottom"/>
            <w:gridSpan w:val="5"/>
          </w:tcPr>
          <w:p>
            <w:pPr>
              <w:ind w:left="18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Aimee M. DeLuca</w:t>
            </w:r>
          </w:p>
        </w:tc>
        <w:tc>
          <w:tcPr>
            <w:tcW w:w="2340" w:type="dxa"/>
            <w:vAlign w:val="bottom"/>
            <w:gridSpan w:val="4"/>
          </w:tcPr>
          <w:p>
            <w:pPr>
              <w:spacing w:after="0"/>
              <w:rPr>
                <w:sz w:val="24"/>
                <w:szCs w:val="24"/>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6"/>
            <w:vMerge w:val="restart"/>
          </w:tcPr>
          <w:p>
            <w:pPr>
              <w:spacing w:after="0"/>
              <w:rPr>
                <w:sz w:val="20"/>
                <w:szCs w:val="20"/>
                <w:color w:val="auto"/>
              </w:rPr>
            </w:pPr>
            <w:r>
              <w:rPr>
                <w:rFonts w:ascii="Arial" w:cs="Arial" w:eastAsia="Arial" w:hAnsi="Arial"/>
                <w:sz w:val="18"/>
                <w:szCs w:val="18"/>
                <w:color w:val="auto"/>
              </w:rPr>
              <w:t>Aimee M. DeLuca</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Vice President and Treasurer</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6"/>
          </w:tcPr>
          <w:p>
            <w:pPr>
              <w:spacing w:after="0" w:line="190" w:lineRule="exact"/>
              <w:rPr>
                <w:sz w:val="20"/>
                <w:szCs w:val="20"/>
                <w:color w:val="auto"/>
              </w:rPr>
            </w:pPr>
            <w:r>
              <w:rPr>
                <w:rFonts w:ascii="Arial" w:cs="Arial" w:eastAsia="Arial" w:hAnsi="Arial"/>
                <w:sz w:val="18"/>
                <w:szCs w:val="18"/>
                <w:color w:val="auto"/>
              </w:rPr>
              <w:t>/s/ James A. Schroeder</w:t>
            </w:r>
          </w:p>
        </w:tc>
        <w:tc>
          <w:tcPr>
            <w:tcW w:w="382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3"/>
              </w:rPr>
              <w:t>(Principal Financial Officer and</w:t>
            </w:r>
          </w:p>
        </w:tc>
        <w:tc>
          <w:tcPr>
            <w:tcW w:w="2300" w:type="dxa"/>
            <w:vAlign w:val="bottom"/>
          </w:tcPr>
          <w:p>
            <w:pPr>
              <w:jc w:val="center"/>
              <w:spacing w:after="0" w:line="190" w:lineRule="exact"/>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9"/>
              </w:rPr>
              <w:t>James A. Schroeder</w:t>
            </w:r>
          </w:p>
        </w:tc>
        <w:tc>
          <w:tcPr>
            <w:tcW w:w="2260" w:type="dxa"/>
            <w:vAlign w:val="bottom"/>
            <w:gridSpan w:val="3"/>
          </w:tcPr>
          <w:p>
            <w:pPr>
              <w:spacing w:after="0"/>
              <w:rPr>
                <w:sz w:val="20"/>
                <w:szCs w:val="20"/>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Ivan C. Smith</w:t>
            </w:r>
          </w:p>
        </w:tc>
        <w:tc>
          <w:tcPr>
            <w:tcW w:w="2680" w:type="dxa"/>
            <w:vAlign w:val="bottom"/>
            <w:gridSpan w:val="5"/>
          </w:tcPr>
          <w:p>
            <w:pPr>
              <w:spacing w:after="0"/>
              <w:rPr>
                <w:sz w:val="24"/>
                <w:szCs w:val="24"/>
                <w:color w:val="auto"/>
              </w:rPr>
            </w:pP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6"/>
            <w:vMerge w:val="restart"/>
          </w:tcPr>
          <w:p>
            <w:pPr>
              <w:spacing w:after="0"/>
              <w:rPr>
                <w:sz w:val="20"/>
                <w:szCs w:val="20"/>
                <w:color w:val="auto"/>
              </w:rPr>
            </w:pPr>
            <w:r>
              <w:rPr>
                <w:rFonts w:ascii="Arial" w:cs="Arial" w:eastAsia="Arial" w:hAnsi="Arial"/>
                <w:sz w:val="18"/>
                <w:szCs w:val="18"/>
                <w:color w:val="auto"/>
              </w:rPr>
              <w:t>Ivan C. Smith</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3900" w:type="dxa"/>
            <w:vAlign w:val="bottom"/>
            <w:gridSpan w:val="6"/>
          </w:tcPr>
          <w:p>
            <w:pPr>
              <w:spacing w:after="0"/>
              <w:rPr>
                <w:sz w:val="20"/>
                <w:szCs w:val="20"/>
                <w:color w:val="auto"/>
              </w:rPr>
            </w:pPr>
            <w:r>
              <w:rPr>
                <w:rFonts w:ascii="Arial" w:cs="Arial" w:eastAsia="Arial" w:hAnsi="Arial"/>
                <w:sz w:val="18"/>
                <w:szCs w:val="18"/>
                <w:color w:val="auto"/>
              </w:rPr>
              <w:t>/s/ Thomas Randal Coleman</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8"/>
              </w:rPr>
              <w:t>Thomas Randal Coleman</w:t>
            </w:r>
          </w:p>
        </w:tc>
        <w:tc>
          <w:tcPr>
            <w:tcW w:w="1860" w:type="dxa"/>
            <w:vAlign w:val="bottom"/>
            <w:gridSpan w:val="2"/>
          </w:tcPr>
          <w:p>
            <w:pPr>
              <w:spacing w:after="0"/>
              <w:rPr>
                <w:sz w:val="20"/>
                <w:szCs w:val="20"/>
                <w:color w:val="auto"/>
              </w:rPr>
            </w:pPr>
          </w:p>
        </w:tc>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II-18</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4" w:right="27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February, 2017.</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HAWTHORNE GARDENING COMPANY</w:t>
      </w:r>
    </w:p>
    <w:p>
      <w:pPr>
        <w:spacing w:after="0" w:line="225" w:lineRule="exact"/>
        <w:rPr>
          <w:sz w:val="20"/>
          <w:szCs w:val="20"/>
          <w:color w:val="auto"/>
        </w:rPr>
      </w:pPr>
    </w:p>
    <w:p>
      <w:pPr>
        <w:ind w:left="46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Christopher J. Hagedorn</w:t>
      </w:r>
    </w:p>
    <w:p>
      <w:pPr>
        <w:spacing w:after="0" w:line="23" w:lineRule="exact"/>
        <w:rPr>
          <w:sz w:val="20"/>
          <w:szCs w:val="20"/>
          <w:color w:val="auto"/>
        </w:rPr>
      </w:pPr>
    </w:p>
    <w:p>
      <w:pPr>
        <w:ind w:left="4620"/>
        <w:spacing w:after="0"/>
        <w:tabs>
          <w:tab w:leader="none" w:pos="5320" w:val="left"/>
        </w:tabs>
        <w:rPr>
          <w:sz w:val="20"/>
          <w:szCs w:val="20"/>
          <w:color w:val="auto"/>
        </w:rPr>
      </w:pPr>
      <w:r>
        <w:rPr>
          <w:rFonts w:ascii="Arial" w:cs="Arial" w:eastAsia="Arial" w:hAnsi="Arial"/>
          <w:sz w:val="18"/>
          <w:szCs w:val="18"/>
          <w:color w:val="auto"/>
        </w:rPr>
        <w:t>Name:</w:t>
        <w:tab/>
        <w:t>Christopher J. Hagedorn</w:t>
      </w:r>
    </w:p>
    <w:p>
      <w:pPr>
        <w:spacing w:after="0" w:line="9" w:lineRule="exact"/>
        <w:rPr>
          <w:sz w:val="20"/>
          <w:szCs w:val="20"/>
          <w:color w:val="auto"/>
        </w:rPr>
      </w:pPr>
    </w:p>
    <w:p>
      <w:pPr>
        <w:ind w:left="4620"/>
        <w:spacing w:after="0"/>
        <w:tabs>
          <w:tab w:leader="none" w:pos="522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gridSpan w:val="5"/>
          </w:tcPr>
          <w:p>
            <w:pPr>
              <w:ind w:left="1400"/>
              <w:spacing w:after="0"/>
              <w:rPr>
                <w:sz w:val="20"/>
                <w:szCs w:val="20"/>
                <w:color w:val="auto"/>
              </w:rPr>
            </w:pPr>
            <w:r>
              <w:rPr>
                <w:rFonts w:ascii="Arial" w:cs="Arial" w:eastAsia="Arial" w:hAnsi="Arial"/>
                <w:sz w:val="18"/>
                <w:szCs w:val="18"/>
                <w:b w:val="1"/>
                <w:bCs w:val="1"/>
                <w:color w:val="auto"/>
              </w:rPr>
              <w:t>Signature</w:t>
            </w: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Title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 Christopher J. Hagedorn</w:t>
            </w:r>
          </w:p>
        </w:tc>
        <w:tc>
          <w:tcPr>
            <w:tcW w:w="1920" w:type="dxa"/>
            <w:vAlign w:val="bottom"/>
            <w:gridSpan w:val="2"/>
          </w:tcPr>
          <w:p>
            <w:pPr>
              <w:spacing w:after="0"/>
              <w:rPr>
                <w:sz w:val="24"/>
                <w:szCs w:val="24"/>
                <w:color w:val="auto"/>
              </w:rPr>
            </w:pP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President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Christopher J. Hagedorn</w:t>
            </w:r>
          </w:p>
        </w:tc>
        <w:tc>
          <w:tcPr>
            <w:tcW w:w="382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820" w:type="dxa"/>
            <w:vAlign w:val="bottom"/>
            <w:gridSpan w:val="2"/>
            <w:vMerge w:val="continue"/>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Vice President,</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Treasurer and 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vMerge w:val="restart"/>
          </w:tcPr>
          <w:p>
            <w:pPr>
              <w:spacing w:after="0" w:line="190" w:lineRule="exact"/>
              <w:rPr>
                <w:sz w:val="20"/>
                <w:szCs w:val="20"/>
                <w:color w:val="auto"/>
              </w:rPr>
            </w:pPr>
            <w:r>
              <w:rPr>
                <w:rFonts w:ascii="Arial" w:cs="Arial" w:eastAsia="Arial" w:hAnsi="Arial"/>
                <w:sz w:val="18"/>
                <w:szCs w:val="18"/>
                <w:color w:val="auto"/>
                <w:w w:val="90"/>
              </w:rPr>
              <w:t>/s/ Albert J. Messina</w:t>
            </w:r>
          </w:p>
        </w:tc>
        <w:tc>
          <w:tcPr>
            <w:tcW w:w="2420" w:type="dxa"/>
            <w:vAlign w:val="bottom"/>
            <w:gridSpan w:val="4"/>
            <w:vMerge w:val="restart"/>
          </w:tcPr>
          <w:p>
            <w:pPr>
              <w:spacing w:after="0"/>
              <w:rPr>
                <w:sz w:val="10"/>
                <w:szCs w:val="10"/>
                <w:color w:val="auto"/>
              </w:rPr>
            </w:pPr>
          </w:p>
        </w:tc>
        <w:tc>
          <w:tcPr>
            <w:tcW w:w="3820" w:type="dxa"/>
            <w:vAlign w:val="bottom"/>
            <w:gridSpan w:val="2"/>
            <w:vMerge w:val="restart"/>
          </w:tcPr>
          <w:p>
            <w:pPr>
              <w:jc w:val="center"/>
              <w:ind w:right="320"/>
              <w:spacing w:after="0" w:line="190" w:lineRule="exact"/>
              <w:rPr>
                <w:sz w:val="20"/>
                <w:szCs w:val="20"/>
                <w:color w:val="auto"/>
              </w:rPr>
            </w:pPr>
            <w:r>
              <w:rPr>
                <w:rFonts w:ascii="Arial" w:cs="Arial" w:eastAsia="Arial" w:hAnsi="Arial"/>
                <w:sz w:val="18"/>
                <w:szCs w:val="18"/>
                <w:color w:val="auto"/>
                <w:w w:val="93"/>
              </w:rPr>
              <w:t>(Principal Financial Officer and Principal</w:t>
            </w: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382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gridSpan w:val="5"/>
          </w:tcPr>
          <w:p>
            <w:pPr>
              <w:spacing w:after="0"/>
              <w:rPr>
                <w:sz w:val="20"/>
                <w:szCs w:val="20"/>
                <w:color w:val="auto"/>
              </w:rPr>
            </w:pPr>
            <w:r>
              <w:rPr>
                <w:rFonts w:ascii="Arial" w:cs="Arial" w:eastAsia="Arial" w:hAnsi="Arial"/>
                <w:sz w:val="18"/>
                <w:szCs w:val="18"/>
                <w:color w:val="auto"/>
              </w:rPr>
              <w:t>Albert J. Messina</w:t>
            </w:r>
          </w:p>
        </w:tc>
        <w:tc>
          <w:tcPr>
            <w:tcW w:w="38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Accounting Officer)</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Michael C. Lukemire</w:t>
            </w:r>
          </w:p>
        </w:tc>
        <w:tc>
          <w:tcPr>
            <w:tcW w:w="2140" w:type="dxa"/>
            <w:vAlign w:val="bottom"/>
            <w:gridSpan w:val="3"/>
          </w:tcPr>
          <w:p>
            <w:pPr>
              <w:spacing w:after="0"/>
              <w:rPr>
                <w:sz w:val="24"/>
                <w:szCs w:val="24"/>
                <w:color w:val="auto"/>
              </w:rPr>
            </w:pP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gridSpan w:val="5"/>
            <w:vMerge w:val="restart"/>
          </w:tcPr>
          <w:p>
            <w:pPr>
              <w:spacing w:after="0"/>
              <w:rPr>
                <w:sz w:val="20"/>
                <w:szCs w:val="20"/>
                <w:color w:val="auto"/>
              </w:rPr>
            </w:pPr>
            <w:r>
              <w:rPr>
                <w:rFonts w:ascii="Arial" w:cs="Arial" w:eastAsia="Arial" w:hAnsi="Arial"/>
                <w:sz w:val="18"/>
                <w:szCs w:val="18"/>
                <w:color w:val="auto"/>
              </w:rPr>
              <w:t>Michael C. Lukemire</w:t>
            </w:r>
          </w:p>
        </w:tc>
        <w:tc>
          <w:tcPr>
            <w:tcW w:w="3820" w:type="dxa"/>
            <w:vAlign w:val="bottom"/>
            <w:gridSpan w:val="2"/>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gridSpan w:val="5"/>
            <w:vMerge w:val="continue"/>
          </w:tcPr>
          <w:p>
            <w:pPr>
              <w:spacing w:after="0"/>
              <w:rPr>
                <w:sz w:val="9"/>
                <w:szCs w:val="9"/>
                <w:color w:val="auto"/>
              </w:rPr>
            </w:pPr>
          </w:p>
        </w:tc>
        <w:tc>
          <w:tcPr>
            <w:tcW w:w="3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2"/>
          </w:tcPr>
          <w:p>
            <w:pPr>
              <w:ind w:left="920"/>
              <w:spacing w:after="0"/>
              <w:rPr>
                <w:sz w:val="20"/>
                <w:szCs w:val="20"/>
                <w:color w:val="auto"/>
              </w:rPr>
            </w:pPr>
            <w:r>
              <w:rPr>
                <w:rFonts w:ascii="Arial" w:cs="Arial" w:eastAsia="Arial" w:hAnsi="Arial"/>
                <w:sz w:val="18"/>
                <w:szCs w:val="18"/>
                <w:color w:val="auto"/>
              </w:rPr>
              <w:t>II-19</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64" w:right="279" w:bottom="1440" w:gutter="0" w:footer="0" w:header="0"/>
        </w:sectPr>
      </w:pPr>
    </w:p>
    <w:bookmarkStart w:id="112" w:name="page113"/>
    <w:bookmarkEnd w:id="112"/>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INDEX TO EXHIBITS</w:t>
            </w: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3160" w:type="dxa"/>
            <w:vAlign w:val="bottom"/>
            <w:gridSpan w:val="3"/>
          </w:tcPr>
          <w:p>
            <w:pPr>
              <w:ind w:left="280"/>
              <w:spacing w:after="0"/>
              <w:rPr>
                <w:sz w:val="20"/>
                <w:szCs w:val="20"/>
                <w:color w:val="auto"/>
              </w:rPr>
            </w:pPr>
            <w:r>
              <w:rPr>
                <w:rFonts w:ascii="Arial" w:cs="Arial" w:eastAsia="Arial" w:hAnsi="Arial"/>
                <w:sz w:val="18"/>
                <w:szCs w:val="18"/>
                <w:color w:val="auto"/>
              </w:rPr>
              <w:t>Description</w:t>
            </w:r>
          </w:p>
        </w:tc>
        <w:tc>
          <w:tcPr>
            <w:tcW w:w="1700" w:type="dxa"/>
            <w:vAlign w:val="bottom"/>
            <w:tcBorders>
              <w:top w:val="single" w:sz="8" w:color="auto"/>
            </w:tcBorders>
          </w:tcPr>
          <w:p>
            <w:pPr>
              <w:spacing w:after="0"/>
              <w:rPr>
                <w:sz w:val="24"/>
                <w:szCs w:val="24"/>
                <w:color w:val="auto"/>
              </w:rPr>
            </w:pPr>
          </w:p>
        </w:tc>
        <w:tc>
          <w:tcPr>
            <w:tcW w:w="4840" w:type="dxa"/>
            <w:vAlign w:val="bottom"/>
          </w:tcPr>
          <w:p>
            <w:pPr>
              <w:spacing w:after="0"/>
              <w:rPr>
                <w:sz w:val="24"/>
                <w:szCs w:val="24"/>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80" w:type="dxa"/>
            <w:vAlign w:val="bottom"/>
            <w:gridSpan w:val="3"/>
          </w:tcPr>
          <w:p>
            <w:pPr>
              <w:spacing w:after="0" w:line="20" w:lineRule="exact"/>
              <w:rPr>
                <w:sz w:val="1"/>
                <w:szCs w:val="1"/>
                <w:color w:val="auto"/>
              </w:rPr>
            </w:pPr>
          </w:p>
        </w:tc>
      </w:tr>
      <w:tr>
        <w:trPr>
          <w:trHeight w:val="492"/>
        </w:trPr>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300" w:type="dxa"/>
            <w:vAlign w:val="bottom"/>
          </w:tcPr>
          <w:p>
            <w:pPr>
              <w:spacing w:after="0"/>
              <w:rPr>
                <w:sz w:val="24"/>
                <w:szCs w:val="24"/>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1"/>
              </w:rPr>
              <w:t>Articles of Incorporation of the Registrant as filed with the Ohio Secretary of State on November 22, 2004 (Incorporated herein by</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reference to the Registrant’s Current Report on Form 8-K filed March 24, 2005 (File No. 1-11593) [Exhibit 3.1])</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2"/>
              </w:rPr>
              <w:t>Certificate of Amendment by Shareholders to Articles of Incorporation of the Registrant as filed with the Ohio Secretary of State</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on March 18, 2005 (Incorporated herein by reference to the Registrant’s Current Report on Form 8-K filed March 24, 2005 (File</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No. 1-11593) [Exhibit 3.2])</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5"/>
              </w:rPr>
              <w:t>Code of Regulations of the Registrant (Incorporated herein by reference to the Registrant’s Current Report on Form 8-K filed</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March 24, 2005 (File No. 1-11593) [Exhibit 3.3])</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1"/>
              </w:rPr>
              <w:t>Indenture, dated as of December 15, 2016, by and among The Scotts Miracle-Gro Company, the Guarantors (as defined therein)</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and U.S. Bank National Association, as trustee (Incorporated by reference to the Registrant’s Current Report on Form 8-K filed</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December 16, 2016 (File No. 1-11593) [Exhibit 4.1])</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Form of 5.250% Senior Notes due 2026 (Incorporated herein by reference to the Registrant’s Current Report on Form 8-K filed</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December 16, 2016 (File No. 1-11593) [Exhibit 4.2])</w:t>
            </w:r>
          </w:p>
        </w:tc>
      </w:tr>
      <w:tr>
        <w:trPr>
          <w:trHeight w:val="256"/>
        </w:trPr>
        <w:tc>
          <w:tcPr>
            <w:tcW w:w="8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300" w:type="dxa"/>
            <w:vAlign w:val="bottom"/>
          </w:tcPr>
          <w:p>
            <w:pPr>
              <w:spacing w:after="0"/>
              <w:rPr>
                <w:sz w:val="22"/>
                <w:szCs w:val="22"/>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1"/>
              </w:rPr>
              <w:t>Registration Rights Agreement, dated as of December 15, 2016, by and among The Scotts Miracle-Gro Company, the guarantors</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2"/>
              </w:rPr>
              <w:t>named therein and Merrill Lynch, Pierce, Fenner &amp; Smith Incorporated, as representative of the several initial purchasers named</w:t>
            </w: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w w:val="93"/>
              </w:rPr>
              <w:t>therein (Incorporated by reference to the Registrant’s Current Report on Form 8-K filed December 16, 2016 (File No. 1-11593)</w:t>
            </w:r>
          </w:p>
        </w:tc>
      </w:tr>
      <w:tr>
        <w:trPr>
          <w:trHeight w:val="230"/>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[Exhibit 4.3])</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Opinion of Vorys, Sater, Seymour and Pease LLP †</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Statement of Computation of Ratio of Earnings to Fixed Charges †</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Subsidiaries of The Scotts Miracle-Gro Company†</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Consent of Deloitte &amp; Touche LLP, Independent Registered Public Accounting Firm †</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Consent of Vorys, Sater, Seymour and Pease LLP (included in Exhibit 5.1)</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Powers of Attorney (included on signature pages of this registration statement)</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Statement of Eligibility of Trustee, U.S. Bank National Association, on Form T-1†</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Letter of Transmittal†</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Notice of Guaranteed Delivery†</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Letter to Brokers, Dealers, Commercial Banks, Trust Companies and Other Nominees†</w:t>
            </w:r>
          </w:p>
        </w:tc>
      </w:tr>
      <w:tr>
        <w:trPr>
          <w:trHeight w:val="270"/>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300" w:type="dxa"/>
            <w:vAlign w:val="bottom"/>
          </w:tcPr>
          <w:p>
            <w:pPr>
              <w:spacing w:after="0"/>
              <w:rPr>
                <w:sz w:val="23"/>
                <w:szCs w:val="23"/>
                <w:color w:val="auto"/>
              </w:rPr>
            </w:pPr>
          </w:p>
        </w:tc>
        <w:tc>
          <w:tcPr>
            <w:tcW w:w="9700" w:type="dxa"/>
            <w:vAlign w:val="bottom"/>
            <w:gridSpan w:val="5"/>
          </w:tcPr>
          <w:p>
            <w:pPr>
              <w:ind w:left="280"/>
              <w:spacing w:after="0"/>
              <w:rPr>
                <w:sz w:val="20"/>
                <w:szCs w:val="20"/>
                <w:color w:val="auto"/>
              </w:rPr>
            </w:pPr>
            <w:r>
              <w:rPr>
                <w:rFonts w:ascii="Arial" w:cs="Arial" w:eastAsia="Arial" w:hAnsi="Arial"/>
                <w:sz w:val="18"/>
                <w:szCs w:val="18"/>
                <w:color w:val="auto"/>
              </w:rPr>
              <w:t>Form of Letter to Clients for Use by Brokers, Dealers, Commercial Banks, Trust Companies and Other Nominees†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II-20</w:t>
      </w:r>
    </w:p>
    <w:p>
      <w:pPr>
        <w:sectPr>
          <w:pgSz w:w="11900" w:h="16838" w:orient="portrait"/>
          <w:cols w:equalWidth="0" w:num="1">
            <w:col w:w="11400"/>
          </w:cols>
          <w:pgMar w:left="240" w:top="351" w:right="2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5.1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[VORYS, SATER, SEYMOUR AND PEASE LLP LETTERHEAD]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counsel to The Scotts Miracle-Gro Company, an Ohio corporation (the “Company”), and certain subsidiaries of the Company (the “Guarantors”) in connection with the Registration Statement on Form S-4 (the “Registration Statement”) filed by the Company and the Guarantors with the Securities and Exchange Commission under the Securities Act of 1933, as amended (the “Securities Act”), relating to the issuance by the Company of up to $250,000,000 aggregate principal amount of its 5.250% Senior Notes due 2026 (the “Exchange Notes”) and the issuance by the Guarantors of guarantees (the “Guarantees”) of the Company’s obligations with respect to the Exchange Notes. The Exchange Notes and the Guarantees will be issued pursuant to an Indenture, dated as of December 15, 2016 (the “Indenture”), by and among the Company, the Guarantors and U.S. Bank National Association, as Trustee (the “Trustee”). The Exchange Notes and the Guarantees will be offered (the “Exchange Offer”) by the Company and the Guarantors, respectively, in exchange for an equal principal amount of the Company’s outstanding unregistered 5.250% Senior Notes due 2026 (the “Original Notes”) and the guarantees thereof.</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giving this opinion in connection with the Registration Statement and in accordance with the requirements of Item 601(b)(5) of Regulation S-K promulgated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rendering this opinion, we have examined, among other things: (i) the Registration Statement; (ii) the Indenture; (iii) the form of the Exchange Notes;</w:t>
      </w:r>
    </w:p>
    <w:p>
      <w:pPr>
        <w:spacing w:after="0" w:line="35" w:lineRule="exact"/>
        <w:rPr>
          <w:sz w:val="20"/>
          <w:szCs w:val="20"/>
          <w:color w:val="auto"/>
        </w:rPr>
      </w:pPr>
    </w:p>
    <w:p>
      <w:pPr>
        <w:ind w:right="180" w:firstLine="8"/>
        <w:spacing w:after="0" w:line="288" w:lineRule="auto"/>
        <w:tabs>
          <w:tab w:leader="none" w:pos="3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form of the Guarantees; (v) the Articles of Incorporation of the Company, as amended and currently in effect; (vi) the Code of Regulations of the Company as currently in effect; (vii) the resolutions adopted by the Board of Directors of the Company and committees thereof relating to the Exchange Offer; and (viii) the corporate documents and records of each of the Guarantors as currently in effect, consisting of their respective articles or certificate of organization or formation (or similar organizational documents), their respective operating, limited liability company or partnership agreement (or similar organizational documents) and copies of the resolutions adopted by their respective managers, members or partners relating to the Exchange Offer. We have also examined originals or copies, certified or otherwise identified to our satisfaction, of such records of the Company and the Guarantors and such other documents, certificates and records as we have deemed necessary or appropriate as a basis for the opinions set forth herein.</w:t>
      </w:r>
    </w:p>
    <w:p>
      <w:pPr>
        <w:spacing w:after="0" w:line="16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corporate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opinion is subject to (i) the effect of applicable bankruptcy, insolvency, reorganization, moratorium, fraudulent conveyance, fraudulent transfer or other similar laws now or hereafter in effect relating to creditors’ rights generally</w:t>
      </w:r>
    </w:p>
    <w:p>
      <w:pPr>
        <w:sectPr>
          <w:pgSz w:w="11900" w:h="16838" w:orient="portrait"/>
          <w:cols w:equalWidth="0" w:num="1">
            <w:col w:w="11420"/>
          </w:cols>
          <w:pgMar w:left="240" w:top="364"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and (ii) the limitations imposed by general principles of equity (regardless of whether enforceability is considered in a proceeding at law or in equity).</w:t>
      </w:r>
    </w:p>
    <w:p>
      <w:pPr>
        <w:spacing w:after="0" w:line="23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Based upon and subject to the foregoing, we are of the opinion that (i) the Exchange Notes, when issued in accordance with the terms of the Indenture, duly executed by the Company, duly authenticated by the Trustee and exchanged for the Original Notes in accordance with the terms of the Exchange Offer as set forth in the Prospectus that forms a part of the Registration Statement, will constitute the valid and binding obligations of the Company and (ii) the Guarantees, when duly executed, issued and delivered by the Guarantors, will constitute the valid and binding obligations of each of the Guarantors.</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opinions expressed herein are limited to the laws of the State of Delaware, the laws of the State of Nevada, the laws of the State of Indiana, the laws of the State of California, the laws of the State of New York and the laws of the State of Ohio, and we do not express any opinion as to the laws of any other jurisdiction. We express no opinion with respect to those matters herein and, to the extent elements of those opinions are necessary to the conclusions expressed herein, we have assumed such matters.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Except in connection with the Registration Statement as aforesaid, no portion of this opinion may be quoted or otherwise used by any person without our prior written consent.</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300"/>
          </w:cols>
          <w:pgMar w:left="240" w:top="368" w:right="3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643"/>
        </w:trPr>
        <w:tc>
          <w:tcPr>
            <w:tcW w:w="3660" w:type="dxa"/>
            <w:vAlign w:val="bottom"/>
          </w:tcPr>
          <w:p>
            <w:pPr>
              <w:spacing w:after="0"/>
              <w:rPr>
                <w:sz w:val="20"/>
                <w:szCs w:val="20"/>
                <w:color w:val="auto"/>
              </w:rPr>
            </w:pPr>
            <w:r>
              <w:rPr>
                <w:rFonts w:ascii="Arial" w:cs="Arial" w:eastAsia="Arial" w:hAnsi="Arial"/>
                <w:sz w:val="18"/>
                <w:szCs w:val="18"/>
                <w:b w:val="1"/>
                <w:bCs w:val="1"/>
                <w:color w:val="auto"/>
              </w:rPr>
              <w:t>The Scotts Miracle-Gro Company</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8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 IN MILLIONS)</w:t>
            </w:r>
          </w:p>
        </w:tc>
        <w:tc>
          <w:tcPr>
            <w:tcW w:w="18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20" w:type="dxa"/>
            <w:vAlign w:val="bottom"/>
            <w:gridSpan w:val="7"/>
          </w:tcPr>
          <w:p>
            <w:pPr>
              <w:jc w:val="right"/>
              <w:ind w:right="191"/>
              <w:spacing w:after="0"/>
              <w:rPr>
                <w:sz w:val="20"/>
                <w:szCs w:val="20"/>
                <w:color w:val="auto"/>
              </w:rPr>
            </w:pPr>
            <w:r>
              <w:rPr>
                <w:rFonts w:ascii="Arial" w:cs="Arial" w:eastAsia="Arial" w:hAnsi="Arial"/>
                <w:sz w:val="16"/>
                <w:szCs w:val="16"/>
                <w:b w:val="1"/>
                <w:bCs w:val="1"/>
                <w:color w:val="auto"/>
                <w:w w:val="96"/>
              </w:rPr>
              <w:t>Fiscal Year Ended September 30,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2012</w:t>
            </w: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77.4</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Total adjusted earnings available for payment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fixed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294.3</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6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capitalized</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Rental expense representative of interest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factor</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73.1</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36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bl>
    <w:p>
      <w:pPr>
        <w:spacing w:after="0" w:line="377" w:lineRule="exact"/>
        <w:rPr>
          <w:sz w:val="20"/>
          <w:szCs w:val="20"/>
          <w:color w:val="auto"/>
        </w:rPr>
      </w:pPr>
    </w:p>
    <w:p>
      <w:pPr>
        <w:jc w:val="both"/>
        <w:ind w:left="840" w:right="20" w:hanging="805"/>
        <w:spacing w:after="0" w:line="264" w:lineRule="auto"/>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spacing w:after="0" w:line="19" w:lineRule="exact"/>
        <w:rPr>
          <w:rFonts w:ascii="Arial" w:cs="Arial" w:eastAsia="Arial" w:hAnsi="Arial"/>
          <w:sz w:val="18"/>
          <w:szCs w:val="18"/>
          <w:color w:val="auto"/>
        </w:rPr>
      </w:pPr>
    </w:p>
    <w:p>
      <w:pPr>
        <w:ind w:left="840" w:hanging="805"/>
        <w:spacing w:after="0"/>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Includes amortization of deferred financing and issuance costs related to indebtedness.</w:t>
      </w:r>
    </w:p>
    <w:p>
      <w:pPr>
        <w:spacing w:after="0" w:line="63" w:lineRule="exact"/>
        <w:rPr>
          <w:rFonts w:ascii="Arial" w:cs="Arial" w:eastAsia="Arial" w:hAnsi="Arial"/>
          <w:sz w:val="18"/>
          <w:szCs w:val="18"/>
          <w:color w:val="auto"/>
        </w:rPr>
      </w:pPr>
    </w:p>
    <w:p>
      <w:pPr>
        <w:ind w:left="840" w:right="40" w:hanging="805"/>
        <w:spacing w:after="0" w:line="264" w:lineRule="auto"/>
        <w:tabs>
          <w:tab w:leader="none" w:pos="8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Losses were inadequate to cover fixed charges by (in millions): $84.3 for the three months ended December 31, 2016; $122.8 for the three months ended January 2, 2016. Due to the seasonal nature of our business, in which sales are heavily weighted to the spring and summer selling periods during our second and third fiscal quarters, we recognize losses in our first quarter.</w:t>
      </w:r>
    </w:p>
    <w:p>
      <w:pPr>
        <w:sectPr>
          <w:pgSz w:w="11900" w:h="16838" w:orient="portrait"/>
          <w:cols w:equalWidth="0" w:num="1">
            <w:col w:w="11420"/>
          </w:cols>
          <w:pgMar w:left="240" w:top="607"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80"/>
        <w:spacing w:after="0" w:line="324" w:lineRule="auto"/>
        <w:rPr>
          <w:sz w:val="20"/>
          <w:szCs w:val="20"/>
          <w:color w:val="auto"/>
        </w:rPr>
      </w:pPr>
      <w:r>
        <w:rPr>
          <w:rFonts w:ascii="Arial" w:cs="Arial" w:eastAsia="Arial" w:hAnsi="Arial"/>
          <w:sz w:val="18"/>
          <w:szCs w:val="18"/>
          <w:color w:val="auto"/>
        </w:rPr>
        <w:t>Directly owned subsidiaries, as of February 28, 2017,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American Agritech, L.L.C.</w:t>
            </w:r>
          </w:p>
        </w:tc>
        <w:tc>
          <w:tcPr>
            <w:tcW w:w="250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Holland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Worldwide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Nederland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Canada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AS</w:t>
            </w:r>
          </w:p>
        </w:tc>
        <w:tc>
          <w:tcPr>
            <w:tcW w:w="250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405"/>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81.3%.</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Hawthorne Gardening B.V.'s ownership is 95%.</w:t>
      </w:r>
    </w:p>
    <w:p>
      <w:pPr>
        <w:sectPr>
          <w:pgSz w:w="11900" w:h="16838" w:orient="portrait"/>
          <w:cols w:equalWidth="0" w:num="1">
            <w:col w:w="11420"/>
          </w:cols>
          <w:pgMar w:left="240" w:top="337" w:right="239" w:bottom="1440" w:gutter="0" w:footer="0" w:header="0"/>
        </w:sectPr>
      </w:pPr>
    </w:p>
    <w:bookmarkStart w:id="117" w:name="page118"/>
    <w:bookmarkEnd w:id="117"/>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Australia Pty Limited</w:t>
      </w:r>
    </w:p>
    <w:p>
      <w:pPr>
        <w:spacing w:after="0" w:line="63" w:lineRule="exact"/>
        <w:rPr>
          <w:sz w:val="20"/>
          <w:szCs w:val="20"/>
          <w:color w:val="auto"/>
        </w:rPr>
      </w:pPr>
    </w:p>
    <w:p>
      <w:pPr>
        <w:ind w:left="38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Czech s.r.o.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7</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9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41" w:lineRule="exact"/>
        <w:rPr>
          <w:sz w:val="20"/>
          <w:szCs w:val="20"/>
          <w:color w:val="auto"/>
        </w:rPr>
      </w:pPr>
    </w:p>
    <w:p>
      <w:pPr>
        <w:ind w:left="105" w:hanging="105"/>
        <w:spacing w:after="0"/>
        <w:tabs>
          <w:tab w:leader="none" w:pos="105" w:val="left"/>
        </w:tabs>
        <w:numPr>
          <w:ilvl w:val="0"/>
          <w:numId w:val="131"/>
        </w:numPr>
        <w:rPr>
          <w:rFonts w:ascii="Arial" w:cs="Arial" w:eastAsia="Arial" w:hAnsi="Arial"/>
          <w:sz w:val="22"/>
          <w:szCs w:val="22"/>
          <w:color w:val="auto"/>
          <w:vertAlign w:val="superscript"/>
        </w:rPr>
      </w:pPr>
      <w:r>
        <w:rPr>
          <w:rFonts w:ascii="Arial" w:cs="Arial" w:eastAsia="Arial" w:hAnsi="Arial"/>
          <w:sz w:val="16"/>
          <w:szCs w:val="16"/>
          <w:color w:val="auto"/>
        </w:rPr>
        <w:t>OMS Investments, Inc. owns 0.1% and Scotts-Sierra Investments LLC owns the remaining 99.9%.</w:t>
      </w:r>
    </w:p>
    <w:p>
      <w:pPr>
        <w:spacing w:after="0" w:line="1" w:lineRule="exact"/>
        <w:rPr>
          <w:rFonts w:ascii="Arial" w:cs="Arial" w:eastAsia="Arial" w:hAnsi="Arial"/>
          <w:sz w:val="22"/>
          <w:szCs w:val="22"/>
          <w:color w:val="auto"/>
          <w:vertAlign w:val="superscript"/>
        </w:rPr>
      </w:pPr>
    </w:p>
    <w:p>
      <w:pPr>
        <w:ind w:left="5"/>
        <w:spacing w:after="0" w:line="18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Scotts Canada Ltd.'s ownership is 50.0%.</w:t>
      </w:r>
    </w:p>
    <w:p>
      <w:pPr>
        <w:ind w:left="5"/>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7</w:t>
      </w:r>
      <w:r>
        <w:rPr>
          <w:rFonts w:ascii="Arial" w:cs="Arial" w:eastAsia="Arial" w:hAnsi="Arial"/>
          <w:sz w:val="16"/>
          <w:szCs w:val="16"/>
          <w:color w:val="auto"/>
        </w:rPr>
        <w:t xml:space="preserve"> The Scotts Company LLC owns 0.5% and Scotts-Sierra Investments LLC owns the remaining 99.5%.</w:t>
      </w:r>
    </w:p>
    <w:p>
      <w:pPr>
        <w:sectPr>
          <w:pgSz w:w="11900" w:h="16838" w:orient="portrait"/>
          <w:cols w:equalWidth="0" w:num="1">
            <w:col w:w="10184"/>
          </w:cols>
          <w:pgMar w:left="275" w:top="962" w:right="1440"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58035" cy="386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80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consent to the incorporation by reference in this Registration Statement on Form S-4 of our reports dated November 28, 2016, relating to the consolidated financial statements and financial statement schedules of The Scotts Miracle-Gro Company and subsidiaries (the “Company”), and the effectiveness of the Company’s internal control over financial reporting, appearing in the Annual Report on Form 10-K of the Company for the year ended September 30, 2016 and to the reference to us under the heading "Experts" in the Prospectus, which is part of this Registration Statement.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Columbus, Ohio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2017</w:t>
      </w:r>
    </w:p>
    <w:p>
      <w:pPr>
        <w:sectPr>
          <w:pgSz w:w="11900" w:h="16838" w:orient="portrait"/>
          <w:cols w:equalWidth="0" w:num="1">
            <w:col w:w="11420"/>
          </w:cols>
          <w:pgMar w:left="240" w:top="11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292100</wp:posOffset>
            </wp:positionV>
            <wp:extent cx="6346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309245</wp:posOffset>
            </wp:positionV>
            <wp:extent cx="6346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20"/>
          <w:szCs w:val="20"/>
          <w:color w:val="auto"/>
        </w:rPr>
        <w:t>__________________________</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FORM T-1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STATEMENT OF ELIGIBILITY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TRUST INDENTURE ACT OF 1939</w:t>
      </w:r>
    </w:p>
    <w:p>
      <w:pPr>
        <w:jc w:val="center"/>
        <w:ind w:right="-19"/>
        <w:spacing w:after="0"/>
        <w:rPr>
          <w:sz w:val="20"/>
          <w:szCs w:val="20"/>
          <w:color w:val="auto"/>
        </w:rPr>
      </w:pPr>
      <w:r>
        <w:rPr>
          <w:rFonts w:ascii="Arial" w:cs="Arial" w:eastAsia="Arial" w:hAnsi="Arial"/>
          <w:sz w:val="20"/>
          <w:szCs w:val="20"/>
          <w:b w:val="1"/>
          <w:bCs w:val="1"/>
          <w:color w:val="auto"/>
        </w:rPr>
        <w:t>OF A CORPORATION DESIGNATED TO ACT AS TRUSTEE</w:t>
      </w:r>
    </w:p>
    <w:p>
      <w:pPr>
        <w:spacing w:after="0" w:line="216"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CHECK IF AN APPLICATION TO DETERMINE ELIGIBILITY OF A TRUSTEE PURSUANT TO SECTION 305(b)(2)</w:t>
      </w:r>
    </w:p>
    <w:p>
      <w:pPr>
        <w:spacing w:after="0" w:line="22"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20"/>
          <w:szCs w:val="20"/>
          <w:color w:val="auto"/>
        </w:rPr>
        <w:t>__________________________</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U.S. BANK NATIONAL ASSOCIATION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trustee as specified in its charter)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20"/>
          </w:cols>
          <w:pgMar w:left="240" w:top="364" w:right="239" w:bottom="1440" w:gutter="0" w:footer="0" w:header="0"/>
        </w:sectPr>
      </w:pP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800 Nicollet Mall, Minneapolis, Minnesota</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55402</w:t>
      </w:r>
    </w:p>
    <w:p>
      <w:pPr>
        <w:spacing w:after="0" w:line="90" w:lineRule="exact"/>
        <w:rPr>
          <w:sz w:val="20"/>
          <w:szCs w:val="20"/>
          <w:color w:val="auto"/>
        </w:rPr>
      </w:pPr>
    </w:p>
    <w:p>
      <w:pPr>
        <w:sectPr>
          <w:pgSz w:w="11900" w:h="16838" w:orient="portrait"/>
          <w:cols w:equalWidth="0" w:num="2">
            <w:col w:w="6700" w:space="720"/>
            <w:col w:w="4000"/>
          </w:cols>
          <w:pgMar w:left="240" w:top="364" w:right="2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6520" w:space="720"/>
            <w:col w:w="4180"/>
          </w:cols>
          <w:pgMar w:left="240" w:top="364"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Katherine Esber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West Broad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Columbus, OH 43215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(614) 232-8019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address and telephone number of agent for service)</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Scotts-Miracle Gro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ectPr>
          <w:pgSz w:w="11900" w:h="16838" w:orient="portrait"/>
          <w:cols w:equalWidth="0" w:num="1">
            <w:col w:w="11420"/>
          </w:cols>
          <w:pgMar w:left="240" w:top="364" w:right="239" w:bottom="1440" w:gutter="0" w:footer="0" w:header="0"/>
          <w:type w:val="continuous"/>
        </w:sectPr>
      </w:pPr>
    </w:p>
    <w:p>
      <w:pPr>
        <w:spacing w:after="0" w:line="151"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Ohio</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31-1414921</w:t>
      </w:r>
    </w:p>
    <w:p>
      <w:pPr>
        <w:spacing w:after="0" w:line="90" w:lineRule="exact"/>
        <w:rPr>
          <w:sz w:val="20"/>
          <w:szCs w:val="20"/>
          <w:color w:val="auto"/>
        </w:rPr>
      </w:pPr>
    </w:p>
    <w:p>
      <w:pPr>
        <w:sectPr>
          <w:pgSz w:w="11900" w:h="16838" w:orient="portrait"/>
          <w:cols w:equalWidth="0" w:num="2">
            <w:col w:w="7060" w:space="720"/>
            <w:col w:w="3640"/>
          </w:cols>
          <w:pgMar w:left="240" w:top="364" w:right="239" w:bottom="1440" w:gutter="0" w:footer="0" w:header="0"/>
          <w:type w:val="continuous"/>
        </w:sectPr>
      </w:pPr>
    </w:p>
    <w:p>
      <w:pPr>
        <w:ind w:left="20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18" w:lineRule="exact"/>
        <w:rPr>
          <w:sz w:val="20"/>
          <w:szCs w:val="20"/>
          <w:color w:val="auto"/>
        </w:rPr>
      </w:pPr>
    </w:p>
    <w:p>
      <w:pPr>
        <w:sectPr>
          <w:pgSz w:w="11900" w:h="16838" w:orient="portrait"/>
          <w:cols w:equalWidth="0" w:num="2">
            <w:col w:w="6180" w:space="720"/>
            <w:col w:w="4520"/>
          </w:cols>
          <w:pgMar w:left="240" w:top="364" w:right="239" w:bottom="1440" w:gutter="0" w:footer="0" w:header="0"/>
          <w:type w:val="continuous"/>
        </w:sectPr>
      </w:pPr>
    </w:p>
    <w:p>
      <w:pPr>
        <w:spacing w:after="0" w:line="3"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14111 Scottslawn Road, Marysville, Ohio</w:t>
      </w:r>
    </w:p>
    <w:p>
      <w:pPr>
        <w:spacing w:after="0" w:line="20" w:lineRule="exact"/>
        <w:rPr>
          <w:sz w:val="20"/>
          <w:szCs w:val="20"/>
          <w:color w:val="auto"/>
        </w:rPr>
      </w:pPr>
      <w:r>
        <w:rPr>
          <w:sz w:val="20"/>
          <w:szCs w:val="20"/>
          <w:color w:val="auto"/>
        </w:rPr>
        <w:br w:type="column"/>
      </w:r>
    </w:p>
    <w:p>
      <w:pPr>
        <w:jc w:val="center"/>
        <w:ind w:right="3580"/>
        <w:spacing w:after="0"/>
        <w:rPr>
          <w:sz w:val="20"/>
          <w:szCs w:val="20"/>
          <w:color w:val="auto"/>
        </w:rPr>
      </w:pPr>
      <w:r>
        <w:rPr>
          <w:rFonts w:ascii="Arial" w:cs="Arial" w:eastAsia="Arial" w:hAnsi="Arial"/>
          <w:sz w:val="15"/>
          <w:szCs w:val="15"/>
          <w:b w:val="1"/>
          <w:bCs w:val="1"/>
          <w:color w:val="auto"/>
        </w:rPr>
        <w:t>43041</w:t>
      </w:r>
    </w:p>
    <w:p>
      <w:pPr>
        <w:spacing w:after="0" w:line="101" w:lineRule="exact"/>
        <w:rPr>
          <w:sz w:val="20"/>
          <w:szCs w:val="20"/>
          <w:color w:val="auto"/>
        </w:rPr>
      </w:pPr>
    </w:p>
    <w:p>
      <w:pPr>
        <w:sectPr>
          <w:pgSz w:w="11900" w:h="16838" w:orient="portrait"/>
          <w:cols w:equalWidth="0" w:num="2">
            <w:col w:w="6680" w:space="720"/>
            <w:col w:w="4020"/>
          </w:cols>
          <w:pgMar w:left="240" w:top="364"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6"/>
          <w:szCs w:val="16"/>
          <w:color w:val="auto"/>
        </w:rPr>
        <w:t>(Zip Code)</w:t>
      </w:r>
    </w:p>
    <w:p>
      <w:pPr>
        <w:spacing w:after="0" w:line="57" w:lineRule="exact"/>
        <w:rPr>
          <w:sz w:val="20"/>
          <w:szCs w:val="20"/>
          <w:color w:val="auto"/>
        </w:rPr>
      </w:pPr>
    </w:p>
    <w:p>
      <w:pPr>
        <w:sectPr>
          <w:pgSz w:w="11900" w:h="16838" w:orient="portrait"/>
          <w:cols w:equalWidth="0" w:num="2">
            <w:col w:w="6500" w:space="720"/>
            <w:col w:w="4200"/>
          </w:cols>
          <w:pgMar w:left="240" w:top="364" w:right="239" w:bottom="1440" w:gutter="0" w:footer="0" w:header="0"/>
          <w:type w:val="continuous"/>
        </w:sectPr>
      </w:pPr>
    </w:p>
    <w:p>
      <w:pPr>
        <w:ind w:left="4420"/>
        <w:spacing w:after="0"/>
        <w:rPr>
          <w:sz w:val="20"/>
          <w:szCs w:val="20"/>
          <w:color w:val="auto"/>
        </w:rPr>
      </w:pPr>
      <w:r>
        <w:rPr>
          <w:rFonts w:ascii="Arial" w:cs="Arial" w:eastAsia="Arial" w:hAnsi="Arial"/>
          <w:sz w:val="16"/>
          <w:szCs w:val="16"/>
          <w:color w:val="auto"/>
        </w:rPr>
        <w:t>__________________________</w:t>
      </w:r>
    </w:p>
    <w:p>
      <w:pPr>
        <w:sectPr>
          <w:pgSz w:w="11900" w:h="16838" w:orient="portrait"/>
          <w:cols w:equalWidth="0" w:num="1">
            <w:col w:w="11420"/>
          </w:cols>
          <w:pgMar w:left="240" w:top="364" w:right="239" w:bottom="1440" w:gutter="0" w:footer="0" w:header="0"/>
          <w:type w:val="continuous"/>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5.250% Senior Notes due 2026</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Guarantees of 5.250% Senior Notes due 2026</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280035</wp:posOffset>
            </wp:positionV>
            <wp:extent cx="6346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346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See Table of Additional Obligors on following page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TABLE OF ADDITIONAL OBLIGORS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5.250% Senior Notes due 2026 and are co-obligors.</w:t>
      </w:r>
    </w:p>
    <w:p>
      <w:pPr>
        <w:spacing w:after="0" w:line="312"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240" w:type="dxa"/>
            <w:vAlign w:val="bottom"/>
          </w:tcPr>
          <w:p>
            <w:pPr>
              <w:jc w:val="center"/>
              <w:ind w:left="632"/>
              <w:spacing w:after="0"/>
              <w:rPr>
                <w:sz w:val="20"/>
                <w:szCs w:val="20"/>
                <w:color w:val="auto"/>
              </w:rPr>
            </w:pPr>
            <w:r>
              <w:rPr>
                <w:rFonts w:ascii="Arial" w:cs="Arial" w:eastAsia="Arial" w:hAnsi="Arial"/>
                <w:sz w:val="14"/>
                <w:szCs w:val="14"/>
                <w:b w:val="1"/>
                <w:bCs w:val="1"/>
                <w:color w:val="auto"/>
                <w:w w:val="93"/>
              </w:rPr>
              <w:t>State or other jurisdiction</w:t>
            </w:r>
          </w:p>
        </w:tc>
        <w:tc>
          <w:tcPr>
            <w:tcW w:w="1860" w:type="dxa"/>
            <w:vAlign w:val="bottom"/>
            <w:vMerge w:val="restart"/>
          </w:tcPr>
          <w:p>
            <w:pPr>
              <w:jc w:val="center"/>
              <w:ind w:left="372"/>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44"/>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co-registrant as specified in its charter*</w:t>
            </w:r>
          </w:p>
        </w:tc>
        <w:tc>
          <w:tcPr>
            <w:tcW w:w="3240" w:type="dxa"/>
            <w:vAlign w:val="bottom"/>
          </w:tcPr>
          <w:p>
            <w:pPr>
              <w:jc w:val="center"/>
              <w:ind w:left="652"/>
              <w:spacing w:after="0" w:line="145" w:lineRule="exact"/>
              <w:rPr>
                <w:sz w:val="20"/>
                <w:szCs w:val="20"/>
                <w:color w:val="auto"/>
              </w:rPr>
            </w:pPr>
            <w:r>
              <w:rPr>
                <w:rFonts w:ascii="Arial" w:cs="Arial" w:eastAsia="Arial" w:hAnsi="Arial"/>
                <w:sz w:val="14"/>
                <w:szCs w:val="14"/>
                <w:b w:val="1"/>
                <w:bCs w:val="1"/>
                <w:color w:val="auto"/>
                <w:w w:val="94"/>
              </w:rPr>
              <w:t>of incorporation or</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20" w:type="dxa"/>
            <w:vAlign w:val="bottom"/>
            <w:vMerge w:val="continue"/>
          </w:tcPr>
          <w:p>
            <w:pPr>
              <w:spacing w:after="0"/>
              <w:rPr>
                <w:sz w:val="16"/>
                <w:szCs w:val="16"/>
                <w:color w:val="auto"/>
              </w:rPr>
            </w:pPr>
          </w:p>
        </w:tc>
        <w:tc>
          <w:tcPr>
            <w:tcW w:w="3240" w:type="dxa"/>
            <w:vAlign w:val="bottom"/>
          </w:tcPr>
          <w:p>
            <w:pPr>
              <w:jc w:val="center"/>
              <w:ind w:left="672"/>
              <w:spacing w:after="0"/>
              <w:rPr>
                <w:sz w:val="20"/>
                <w:szCs w:val="20"/>
                <w:color w:val="auto"/>
              </w:rPr>
            </w:pPr>
            <w:r>
              <w:rPr>
                <w:rFonts w:ascii="Arial" w:cs="Arial" w:eastAsia="Arial" w:hAnsi="Arial"/>
                <w:sz w:val="14"/>
                <w:szCs w:val="14"/>
                <w:b w:val="1"/>
                <w:bCs w:val="1"/>
                <w:color w:val="auto"/>
                <w:w w:val="91"/>
              </w:rPr>
              <w:t>organization</w:t>
            </w:r>
          </w:p>
        </w:tc>
        <w:tc>
          <w:tcPr>
            <w:tcW w:w="1860" w:type="dxa"/>
            <w:vAlign w:val="bottom"/>
          </w:tcPr>
          <w:p>
            <w:pPr>
              <w:jc w:val="center"/>
              <w:ind w:left="392"/>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36"/>
        </w:trPr>
        <w:tc>
          <w:tcPr>
            <w:tcW w:w="4520" w:type="dxa"/>
            <w:vAlign w:val="bottom"/>
          </w:tcPr>
          <w:p>
            <w:pPr>
              <w:spacing w:after="0"/>
              <w:rPr>
                <w:sz w:val="20"/>
                <w:szCs w:val="20"/>
                <w:color w:val="auto"/>
              </w:rPr>
            </w:pPr>
            <w:r>
              <w:rPr>
                <w:rFonts w:ascii="Arial" w:cs="Arial" w:eastAsia="Arial" w:hAnsi="Arial"/>
                <w:sz w:val="18"/>
                <w:szCs w:val="18"/>
                <w:color w:val="auto"/>
              </w:rPr>
              <w:t>GenSource, Inc.(1)</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4"/>
              </w:rPr>
              <w:t>Ohio</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47-3691890</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Gutwein &amp; Co., Inc.(2)</w:t>
            </w:r>
          </w:p>
        </w:tc>
        <w:tc>
          <w:tcPr>
            <w:tcW w:w="3240" w:type="dxa"/>
            <w:vAlign w:val="bottom"/>
          </w:tcPr>
          <w:p>
            <w:pPr>
              <w:jc w:val="center"/>
              <w:ind w:left="692"/>
              <w:spacing w:after="0"/>
              <w:rPr>
                <w:sz w:val="20"/>
                <w:szCs w:val="20"/>
                <w:color w:val="auto"/>
              </w:rPr>
            </w:pPr>
            <w:r>
              <w:rPr>
                <w:rFonts w:ascii="Arial" w:cs="Arial" w:eastAsia="Arial" w:hAnsi="Arial"/>
                <w:sz w:val="18"/>
                <w:szCs w:val="18"/>
                <w:color w:val="auto"/>
                <w:w w:val="91"/>
              </w:rPr>
              <w:t>Indiana</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35-0864689</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Hawthorne Hydroponics LLC(3)</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46-5720038</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HGCI, Inc.(4)</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0"/>
              </w:rPr>
              <w:t>Nevada</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47-3426969</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Hyponex Corporation(2)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31-1254519</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Miracle-Gro Lawn Products, Inc.(2)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2"/>
              </w:rPr>
              <w:t>New York</w:t>
            </w:r>
          </w:p>
        </w:tc>
        <w:tc>
          <w:tcPr>
            <w:tcW w:w="1860" w:type="dxa"/>
            <w:vAlign w:val="bottom"/>
          </w:tcPr>
          <w:p>
            <w:pPr>
              <w:jc w:val="center"/>
              <w:ind w:left="392"/>
              <w:spacing w:after="0"/>
              <w:rPr>
                <w:sz w:val="20"/>
                <w:szCs w:val="20"/>
                <w:color w:val="auto"/>
              </w:rPr>
            </w:pPr>
            <w:r>
              <w:rPr>
                <w:rFonts w:ascii="Arial" w:cs="Arial" w:eastAsia="Arial" w:hAnsi="Arial"/>
                <w:sz w:val="18"/>
                <w:szCs w:val="18"/>
                <w:color w:val="auto"/>
                <w:w w:val="89"/>
              </w:rPr>
              <w:t>11-3186421</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OMS Investments, Inc.(5)</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51-0357374</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Rod McLellan Company(2)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4"/>
              </w:rPr>
              <w:t>California</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94-1439564</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Sanford Scientific, Inc.(2)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2"/>
              </w:rPr>
              <w:t>New York</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16-1279959</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Scotts Manufacturing Company(2)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42-1508875</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Scotts Products Co.(2)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4"/>
              </w:rPr>
              <w:t>Ohio</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31-1269080</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Scotts Professional Products Co.(2)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4"/>
              </w:rPr>
              <w:t>Ohio</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31-1269066</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Scotts-Sierra Investments LLC(2)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51-0371209</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Scotts Temecula Operations, LLC(2)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33-0978312</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SLS Holdings, Inc.(2)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81-2077880</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SMG Growing Media, Inc.(2)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4"/>
              </w:rPr>
              <w:t>Ohio</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20-3544126</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SMGM LLC(2)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4"/>
              </w:rPr>
              <w:t>Ohio</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31-1414921</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Swiss Farms Products, Inc.(4)</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88-0407223</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The Hawthorne Gardening Company(3)</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89"/>
              </w:rPr>
              <w:t>Delaware</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46-5720038</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The Scotts Company LLC(2)</w:t>
            </w:r>
          </w:p>
        </w:tc>
        <w:tc>
          <w:tcPr>
            <w:tcW w:w="3240" w:type="dxa"/>
            <w:vAlign w:val="bottom"/>
          </w:tcPr>
          <w:p>
            <w:pPr>
              <w:jc w:val="center"/>
              <w:ind w:left="672"/>
              <w:spacing w:after="0"/>
              <w:rPr>
                <w:sz w:val="20"/>
                <w:szCs w:val="20"/>
                <w:color w:val="auto"/>
              </w:rPr>
            </w:pPr>
            <w:r>
              <w:rPr>
                <w:rFonts w:ascii="Arial" w:cs="Arial" w:eastAsia="Arial" w:hAnsi="Arial"/>
                <w:sz w:val="18"/>
                <w:szCs w:val="18"/>
                <w:color w:val="auto"/>
                <w:w w:val="94"/>
              </w:rPr>
              <w:t>Ohio</w:t>
            </w:r>
          </w:p>
        </w:tc>
        <w:tc>
          <w:tcPr>
            <w:tcW w:w="1860" w:type="dxa"/>
            <w:vAlign w:val="bottom"/>
          </w:tcPr>
          <w:p>
            <w:pPr>
              <w:jc w:val="center"/>
              <w:ind w:left="372"/>
              <w:spacing w:after="0"/>
              <w:rPr>
                <w:sz w:val="20"/>
                <w:szCs w:val="20"/>
                <w:color w:val="auto"/>
              </w:rPr>
            </w:pPr>
            <w:r>
              <w:rPr>
                <w:rFonts w:ascii="Arial" w:cs="Arial" w:eastAsia="Arial" w:hAnsi="Arial"/>
                <w:sz w:val="18"/>
                <w:szCs w:val="18"/>
                <w:color w:val="auto"/>
                <w:w w:val="91"/>
              </w:rPr>
              <w:t>31-1414921</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address, including zip code, of the principal executive offices for this additional obligor is 563 S. Crown Hill Road, Orville, Ohio 44667.</w:t>
      </w:r>
    </w:p>
    <w:p>
      <w:pPr>
        <w:spacing w:after="0" w:line="128"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spacing w:after="0" w:line="62"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800 Port Washington Blvd., Port Washington, New York 11050.</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sectPr>
          <w:pgSz w:w="11900" w:h="16838" w:orient="portrait"/>
          <w:cols w:equalWidth="0" w:num="1">
            <w:col w:w="11420"/>
          </w:cols>
          <w:pgMar w:left="240" w:top="580" w:right="239" w:bottom="5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564" w:gutter="0" w:footer="0" w:header="0"/>
          <w:type w:val="continuous"/>
        </w:sectPr>
      </w:pPr>
    </w:p>
    <w:bookmarkStart w:id="121" w:name="page122"/>
    <w:bookmarkEnd w:id="121"/>
    <w:p>
      <w:pPr>
        <w:jc w:val="center"/>
        <w:ind w:right="-99"/>
        <w:spacing w:after="0"/>
        <w:rPr>
          <w:sz w:val="20"/>
          <w:szCs w:val="20"/>
          <w:color w:val="auto"/>
        </w:rPr>
      </w:pPr>
      <w:r>
        <w:rPr>
          <w:rFonts w:ascii="Arial" w:cs="Arial" w:eastAsia="Arial" w:hAnsi="Arial"/>
          <w:sz w:val="22"/>
          <w:szCs w:val="22"/>
          <w:b w:val="1"/>
          <w:bCs w:val="1"/>
          <w:u w:val="single" w:color="auto"/>
          <w:color w:val="auto"/>
        </w:rPr>
        <w:t>FORM T-1</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Furnish the following information as to the trustee: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Name and address of each examining or supervising authority to which it is subject.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Washington, D.C. 20219</w:t>
      </w:r>
    </w:p>
    <w:p>
      <w:pPr>
        <w:spacing w:after="0" w:line="211" w:lineRule="exact"/>
        <w:rPr>
          <w:sz w:val="20"/>
          <w:szCs w:val="20"/>
          <w:color w:val="auto"/>
        </w:rPr>
      </w:pPr>
    </w:p>
    <w:p>
      <w:pPr>
        <w:ind w:left="2720" w:hanging="322"/>
        <w:spacing w:after="0"/>
        <w:tabs>
          <w:tab w:leader="none" w:pos="272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38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20"/>
        <w:spacing w:after="0"/>
        <w:tabs>
          <w:tab w:leader="none" w:pos="2240" w:val="left"/>
        </w:tabs>
        <w:rPr>
          <w:sz w:val="20"/>
          <w:szCs w:val="20"/>
          <w:color w:val="auto"/>
        </w:rPr>
      </w:pPr>
      <w:r>
        <w:rPr>
          <w:rFonts w:ascii="Arial" w:cs="Arial" w:eastAsia="Arial" w:hAnsi="Arial"/>
          <w:sz w:val="18"/>
          <w:szCs w:val="18"/>
          <w:b w:val="1"/>
          <w:bCs w:val="1"/>
          <w:u w:val="single" w:color="auto"/>
          <w:color w:val="auto"/>
        </w:rPr>
        <w:t>Number</w:t>
        <w:tab/>
        <w:t>Description</w:t>
      </w:r>
    </w:p>
    <w:p>
      <w:pPr>
        <w:spacing w:after="0" w:line="157" w:lineRule="exact"/>
        <w:rPr>
          <w:sz w:val="20"/>
          <w:szCs w:val="20"/>
          <w:color w:val="auto"/>
        </w:rPr>
      </w:pPr>
    </w:p>
    <w:p>
      <w:pPr>
        <w:ind w:left="2260" w:hanging="847"/>
        <w:spacing w:after="0"/>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 *</w:t>
      </w:r>
    </w:p>
    <w:p>
      <w:pPr>
        <w:spacing w:after="0" w:line="252" w:lineRule="exact"/>
        <w:rPr>
          <w:sz w:val="20"/>
          <w:szCs w:val="20"/>
          <w:color w:val="auto"/>
        </w:rPr>
      </w:pPr>
    </w:p>
    <w:p>
      <w:pPr>
        <w:ind w:left="2260" w:right="2860" w:hanging="847"/>
        <w:spacing w:after="0" w:line="277" w:lineRule="auto"/>
        <w:tabs>
          <w:tab w:leader="none" w:pos="2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97" w:lineRule="exact"/>
        <w:rPr>
          <w:sz w:val="20"/>
          <w:szCs w:val="20"/>
          <w:color w:val="auto"/>
        </w:rPr>
      </w:pPr>
    </w:p>
    <w:p>
      <w:pPr>
        <w:ind w:left="2260" w:right="2880" w:hanging="847"/>
        <w:spacing w:after="0" w:line="277" w:lineRule="auto"/>
        <w:tabs>
          <w:tab w:leader="none" w:pos="2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97" w:lineRule="exact"/>
        <w:rPr>
          <w:sz w:val="20"/>
          <w:szCs w:val="20"/>
          <w:color w:val="auto"/>
        </w:rPr>
      </w:pPr>
    </w:p>
    <w:p>
      <w:pPr>
        <w:ind w:left="2260" w:hanging="847"/>
        <w:spacing w:after="0"/>
        <w:tabs>
          <w:tab w:leader="none" w:pos="2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copy of the existing bylaws of the Trustee **</w:t>
      </w:r>
    </w:p>
    <w:p>
      <w:pPr>
        <w:spacing w:after="0" w:line="252" w:lineRule="exact"/>
        <w:rPr>
          <w:sz w:val="20"/>
          <w:szCs w:val="20"/>
          <w:color w:val="auto"/>
        </w:rPr>
      </w:pPr>
    </w:p>
    <w:p>
      <w:pPr>
        <w:ind w:left="2260" w:hanging="847"/>
        <w:spacing w:after="0"/>
        <w:tabs>
          <w:tab w:leader="none" w:pos="2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sz w:val="20"/>
          <w:szCs w:val="20"/>
          <w:color w:val="auto"/>
        </w:rPr>
      </w:pPr>
    </w:p>
    <w:p>
      <w:pPr>
        <w:ind w:left="2260" w:right="2620" w:hanging="847"/>
        <w:spacing w:after="0" w:line="277" w:lineRule="auto"/>
        <w:tabs>
          <w:tab w:leader="none" w:pos="2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97" w:lineRule="exact"/>
        <w:rPr>
          <w:sz w:val="20"/>
          <w:szCs w:val="20"/>
          <w:color w:val="auto"/>
        </w:rPr>
      </w:pPr>
    </w:p>
    <w:p>
      <w:pPr>
        <w:ind w:left="2260" w:right="2340" w:hanging="847"/>
        <w:spacing w:after="0" w:line="308" w:lineRule="auto"/>
        <w:tabs>
          <w:tab w:leader="none" w:pos="2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Report of Condition of the Trustee as of September 30, 2016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102235</wp:posOffset>
            </wp:positionV>
            <wp:extent cx="48793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79340" cy="8890"/>
                    </a:xfrm>
                    <a:prstGeom prst="rect">
                      <a:avLst/>
                    </a:prstGeom>
                    <a:noFill/>
                  </pic:spPr>
                </pic:pic>
              </a:graphicData>
            </a:graphic>
          </wp:anchor>
        </w:drawing>
      </w:r>
    </w:p>
    <w:p>
      <w:pPr>
        <w:spacing w:after="0" w:line="167" w:lineRule="exact"/>
        <w:rPr>
          <w:sz w:val="20"/>
          <w:szCs w:val="20"/>
          <w:color w:val="auto"/>
        </w:rPr>
      </w:pPr>
    </w:p>
    <w:p>
      <w:pPr>
        <w:ind w:left="1800" w:right="2640" w:hanging="387"/>
        <w:spacing w:after="0" w:line="277" w:lineRule="auto"/>
        <w:tabs>
          <w:tab w:leader="none" w:pos="1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97" w:lineRule="exact"/>
        <w:rPr>
          <w:sz w:val="20"/>
          <w:szCs w:val="20"/>
          <w:color w:val="auto"/>
        </w:rPr>
      </w:pPr>
    </w:p>
    <w:p>
      <w:pPr>
        <w:ind w:left="1800" w:right="2540" w:hanging="387"/>
        <w:spacing w:after="0" w:line="277" w:lineRule="auto"/>
        <w:tabs>
          <w:tab w:leader="none" w:pos="18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240" w:top="369" w:right="31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State of Ohio on the 28th day of February, 2017.</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1390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364" w:right="2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32385</wp:posOffset>
            </wp:positionV>
            <wp:extent cx="6114415" cy="7907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790702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364" w:right="1440"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6"/>
          <w:szCs w:val="16"/>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31750</wp:posOffset>
            </wp:positionV>
            <wp:extent cx="6114415" cy="7907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790702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64" w:right="1440" w:bottom="1440" w:gutter="0" w:footer="0" w:header="0"/>
          <w:type w:val="continuous"/>
        </w:sectPr>
      </w:pPr>
    </w:p>
    <w:bookmarkStart w:id="125" w:name="page126"/>
    <w:bookmarkEnd w:id="125"/>
    <w:p>
      <w:pPr>
        <w:jc w:val="center"/>
        <w:ind w:right="-159"/>
        <w:spacing w:after="0"/>
        <w:rPr>
          <w:sz w:val="20"/>
          <w:szCs w:val="20"/>
          <w:color w:val="auto"/>
        </w:rPr>
      </w:pPr>
      <w:r>
        <w:rPr>
          <w:rFonts w:ascii="Arial" w:cs="Arial" w:eastAsia="Arial" w:hAnsi="Arial"/>
          <w:sz w:val="18"/>
          <w:szCs w:val="18"/>
          <w:b w:val="1"/>
          <w:bCs w:val="1"/>
          <w:color w:val="auto"/>
        </w:rPr>
        <w:t>Exhibit 6</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2017</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1390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80"/>
          </w:cols>
          <w:pgMar w:left="240" w:top="364" w:right="379" w:bottom="1440" w:gutter="0" w:footer="0" w:header="0"/>
        </w:sectPr>
      </w:pPr>
    </w:p>
    <w:bookmarkStart w:id="126" w:name="page127"/>
    <w:bookmarkEnd w:id="126"/>
    <w:p>
      <w:pPr>
        <w:jc w:val="center"/>
        <w:ind w:right="-1220"/>
        <w:spacing w:after="0"/>
        <w:rPr>
          <w:sz w:val="20"/>
          <w:szCs w:val="20"/>
          <w:color w:val="auto"/>
        </w:rPr>
      </w:pPr>
      <w:r>
        <w:rPr>
          <w:rFonts w:ascii="Arial" w:cs="Arial" w:eastAsia="Arial" w:hAnsi="Arial"/>
          <w:sz w:val="22"/>
          <w:szCs w:val="22"/>
          <w:b w:val="1"/>
          <w:bCs w:val="1"/>
          <w:u w:val="single" w:color="auto"/>
          <w:color w:val="auto"/>
        </w:rPr>
        <w:t>Exhibit 7</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U.S. Bank National Association</w:t>
      </w:r>
    </w:p>
    <w:p>
      <w:pPr>
        <w:jc w:val="center"/>
        <w:ind w:right="-1220"/>
        <w:spacing w:after="0" w:line="236" w:lineRule="auto"/>
        <w:rPr>
          <w:sz w:val="20"/>
          <w:szCs w:val="20"/>
          <w:color w:val="auto"/>
        </w:rPr>
      </w:pPr>
      <w:r>
        <w:rPr>
          <w:rFonts w:ascii="Arial" w:cs="Arial" w:eastAsia="Arial" w:hAnsi="Arial"/>
          <w:sz w:val="22"/>
          <w:szCs w:val="22"/>
          <w:b w:val="1"/>
          <w:bCs w:val="1"/>
          <w:color w:val="auto"/>
        </w:rPr>
        <w:t>Statement of Financial Condition</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0"/>
          <w:szCs w:val="20"/>
          <w:b w:val="1"/>
          <w:bCs w:val="1"/>
          <w:color w:val="auto"/>
        </w:rPr>
        <w:t>As of 12/31/2016</w:t>
      </w:r>
    </w:p>
    <w:p>
      <w:pPr>
        <w:spacing w:after="0" w:line="243" w:lineRule="exact"/>
        <w:rPr>
          <w:sz w:val="20"/>
          <w:szCs w:val="20"/>
          <w:color w:val="auto"/>
        </w:rPr>
      </w:pPr>
    </w:p>
    <w:p>
      <w:pPr>
        <w:ind w:left="5360"/>
        <w:spacing w:after="0"/>
        <w:rPr>
          <w:sz w:val="20"/>
          <w:szCs w:val="20"/>
          <w:color w:val="auto"/>
        </w:rPr>
      </w:pPr>
      <w:r>
        <w:rPr>
          <w:rFonts w:ascii="Arial" w:cs="Arial" w:eastAsia="Arial" w:hAnsi="Arial"/>
          <w:sz w:val="22"/>
          <w:szCs w:val="22"/>
          <w:b w:val="1"/>
          <w:bCs w:val="1"/>
          <w:color w:val="auto"/>
        </w:rPr>
        <w:t>($000’s)</w:t>
      </w:r>
    </w:p>
    <w:p>
      <w:pPr>
        <w:spacing w:after="0" w:line="260" w:lineRule="exact"/>
        <w:rPr>
          <w:sz w:val="20"/>
          <w:szCs w:val="20"/>
          <w:color w:val="auto"/>
        </w:rPr>
      </w:pPr>
    </w:p>
    <w:p>
      <w:pPr>
        <w:ind w:left="6160"/>
        <w:spacing w:after="0"/>
        <w:rPr>
          <w:sz w:val="20"/>
          <w:szCs w:val="20"/>
          <w:color w:val="auto"/>
        </w:rPr>
      </w:pPr>
      <w:r>
        <w:rPr>
          <w:rFonts w:ascii="Arial" w:cs="Arial" w:eastAsia="Arial" w:hAnsi="Arial"/>
          <w:sz w:val="22"/>
          <w:szCs w:val="22"/>
          <w:b w:val="1"/>
          <w:bCs w:val="1"/>
          <w:color w:val="auto"/>
        </w:rPr>
        <w:t>12/31/2016</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7"/>
        </w:trPr>
        <w:tc>
          <w:tcPr>
            <w:tcW w:w="3340" w:type="dxa"/>
            <w:vAlign w:val="bottom"/>
            <w:gridSpan w:val="8"/>
          </w:tcPr>
          <w:p>
            <w:pPr>
              <w:ind w:left="340"/>
              <w:spacing w:after="0"/>
              <w:rPr>
                <w:sz w:val="20"/>
                <w:szCs w:val="20"/>
                <w:color w:val="auto"/>
              </w:rPr>
            </w:pPr>
            <w:r>
              <w:rPr>
                <w:rFonts w:ascii="Arial" w:cs="Arial" w:eastAsia="Arial" w:hAnsi="Arial"/>
                <w:sz w:val="22"/>
                <w:szCs w:val="22"/>
                <w:color w:val="auto"/>
              </w:rPr>
              <w:t>Cash and Balances Due From</w:t>
            </w:r>
          </w:p>
        </w:tc>
        <w:tc>
          <w:tcPr>
            <w:tcW w:w="1880" w:type="dxa"/>
            <w:vAlign w:val="bottom"/>
            <w:gridSpan w:val="4"/>
          </w:tcPr>
          <w:p>
            <w:pPr>
              <w:jc w:val="right"/>
              <w:ind w:right="700"/>
              <w:spacing w:after="0"/>
              <w:rPr>
                <w:sz w:val="20"/>
                <w:szCs w:val="20"/>
                <w:color w:val="auto"/>
              </w:rPr>
            </w:pPr>
            <w:r>
              <w:rPr>
                <w:rFonts w:ascii="Arial" w:cs="Arial" w:eastAsia="Arial" w:hAnsi="Arial"/>
                <w:sz w:val="22"/>
                <w:szCs w:val="22"/>
                <w:color w:val="auto"/>
                <w:w w:val="90"/>
              </w:rPr>
              <w:t>$ 15,670,179</w:t>
            </w:r>
          </w:p>
        </w:tc>
      </w:tr>
      <w:tr>
        <w:trPr>
          <w:trHeight w:val="257"/>
        </w:trPr>
        <w:tc>
          <w:tcPr>
            <w:tcW w:w="2000" w:type="dxa"/>
            <w:vAlign w:val="bottom"/>
            <w:gridSpan w:val="3"/>
          </w:tcPr>
          <w:p>
            <w:pPr>
              <w:spacing w:after="0"/>
              <w:rPr>
                <w:sz w:val="20"/>
                <w:szCs w:val="20"/>
                <w:color w:val="auto"/>
              </w:rPr>
            </w:pPr>
            <w:r>
              <w:rPr>
                <w:rFonts w:ascii="Arial" w:cs="Arial" w:eastAsia="Arial" w:hAnsi="Arial"/>
                <w:sz w:val="22"/>
                <w:szCs w:val="22"/>
                <w:color w:val="auto"/>
                <w:w w:val="91"/>
              </w:rPr>
              <w:t>Depository Institutions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Securities</w:t>
            </w:r>
          </w:p>
        </w:tc>
        <w:tc>
          <w:tcPr>
            <w:tcW w:w="1360" w:type="dxa"/>
            <w:vAlign w:val="bottom"/>
            <w:gridSpan w:val="4"/>
          </w:tcPr>
          <w:p>
            <w:pPr>
              <w:jc w:val="right"/>
              <w:ind w:right="12"/>
              <w:spacing w:after="0"/>
              <w:rPr>
                <w:sz w:val="20"/>
                <w:szCs w:val="20"/>
                <w:color w:val="auto"/>
              </w:rPr>
            </w:pPr>
            <w:r>
              <w:rPr>
                <w:rFonts w:ascii="Arial" w:cs="Arial" w:eastAsia="Arial" w:hAnsi="Arial"/>
                <w:sz w:val="22"/>
                <w:szCs w:val="22"/>
                <w:color w:val="auto"/>
                <w:w w:val="99"/>
              </w:rPr>
              <w:t>109,032,596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000" w:type="dxa"/>
            <w:vAlign w:val="bottom"/>
            <w:gridSpan w:val="3"/>
          </w:tcPr>
          <w:p>
            <w:pPr>
              <w:ind w:left="340"/>
              <w:spacing w:after="0"/>
              <w:rPr>
                <w:sz w:val="20"/>
                <w:szCs w:val="20"/>
                <w:color w:val="auto"/>
              </w:rPr>
            </w:pPr>
            <w:r>
              <w:rPr>
                <w:rFonts w:ascii="Arial" w:cs="Arial" w:eastAsia="Arial" w:hAnsi="Arial"/>
                <w:sz w:val="22"/>
                <w:szCs w:val="22"/>
                <w:color w:val="auto"/>
              </w:rPr>
              <w:t>Federal Funds</w:t>
            </w:r>
          </w:p>
        </w:tc>
        <w:tc>
          <w:tcPr>
            <w:tcW w:w="820" w:type="dxa"/>
            <w:vAlign w:val="bottom"/>
            <w:gridSpan w:val="2"/>
          </w:tcPr>
          <w:p>
            <w:pPr>
              <w:jc w:val="right"/>
              <w:ind w:right="132"/>
              <w:spacing w:after="0"/>
              <w:rPr>
                <w:sz w:val="20"/>
                <w:szCs w:val="20"/>
                <w:color w:val="auto"/>
              </w:rPr>
            </w:pPr>
            <w:r>
              <w:rPr>
                <w:rFonts w:ascii="Arial" w:cs="Arial" w:eastAsia="Arial" w:hAnsi="Arial"/>
                <w:sz w:val="22"/>
                <w:szCs w:val="22"/>
                <w:color w:val="auto"/>
                <w:w w:val="83"/>
              </w:rPr>
              <w:t>60,327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3680" w:type="dxa"/>
            <w:vAlign w:val="bottom"/>
            <w:gridSpan w:val="10"/>
          </w:tcPr>
          <w:p>
            <w:pPr>
              <w:ind w:left="340"/>
              <w:spacing w:after="0"/>
              <w:rPr>
                <w:sz w:val="20"/>
                <w:szCs w:val="20"/>
                <w:color w:val="auto"/>
              </w:rPr>
            </w:pPr>
            <w:r>
              <w:rPr>
                <w:rFonts w:ascii="Arial" w:cs="Arial" w:eastAsia="Arial" w:hAnsi="Arial"/>
                <w:sz w:val="22"/>
                <w:szCs w:val="22"/>
                <w:color w:val="auto"/>
                <w:w w:val="88"/>
              </w:rPr>
              <w:t>Loans &amp; Lease Financing Receivables</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273,415,762</w:t>
            </w: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w w:val="87"/>
              </w:rPr>
              <w:t>Fixed Assets</w:t>
            </w:r>
          </w:p>
        </w:tc>
        <w:tc>
          <w:tcPr>
            <w:tcW w:w="1360" w:type="dxa"/>
            <w:vAlign w:val="bottom"/>
            <w:gridSpan w:val="4"/>
          </w:tcPr>
          <w:p>
            <w:pPr>
              <w:ind w:left="460"/>
              <w:spacing w:after="0"/>
              <w:rPr>
                <w:sz w:val="20"/>
                <w:szCs w:val="20"/>
                <w:color w:val="auto"/>
              </w:rPr>
            </w:pPr>
            <w:r>
              <w:rPr>
                <w:rFonts w:ascii="Arial" w:cs="Arial" w:eastAsia="Arial" w:hAnsi="Arial"/>
                <w:sz w:val="22"/>
                <w:szCs w:val="22"/>
                <w:color w:val="auto"/>
                <w:w w:val="89"/>
              </w:rPr>
              <w:t>4,682,022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000" w:type="dxa"/>
            <w:vAlign w:val="bottom"/>
            <w:gridSpan w:val="3"/>
          </w:tcPr>
          <w:p>
            <w:pPr>
              <w:ind w:left="340"/>
              <w:spacing w:after="0"/>
              <w:rPr>
                <w:sz w:val="20"/>
                <w:szCs w:val="20"/>
                <w:color w:val="auto"/>
              </w:rPr>
            </w:pPr>
            <w:r>
              <w:rPr>
                <w:rFonts w:ascii="Arial" w:cs="Arial" w:eastAsia="Arial" w:hAnsi="Arial"/>
                <w:sz w:val="22"/>
                <w:szCs w:val="22"/>
                <w:color w:val="auto"/>
                <w:w w:val="97"/>
              </w:rPr>
              <w:t>Intangible Assets</w:t>
            </w:r>
          </w:p>
        </w:tc>
        <w:tc>
          <w:tcPr>
            <w:tcW w:w="1340" w:type="dxa"/>
            <w:vAlign w:val="bottom"/>
            <w:gridSpan w:val="5"/>
          </w:tcPr>
          <w:p>
            <w:pPr>
              <w:jc w:val="right"/>
              <w:ind w:right="100"/>
              <w:spacing w:after="0"/>
              <w:rPr>
                <w:sz w:val="20"/>
                <w:szCs w:val="20"/>
                <w:color w:val="auto"/>
              </w:rPr>
            </w:pPr>
            <w:r>
              <w:rPr>
                <w:rFonts w:ascii="Arial" w:cs="Arial" w:eastAsia="Arial" w:hAnsi="Arial"/>
                <w:sz w:val="22"/>
                <w:szCs w:val="22"/>
                <w:color w:val="auto"/>
              </w:rPr>
              <w:t>12,978,461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4"/>
        </w:trPr>
        <w:tc>
          <w:tcPr>
            <w:tcW w:w="1460" w:type="dxa"/>
            <w:vAlign w:val="bottom"/>
          </w:tcPr>
          <w:p>
            <w:pPr>
              <w:ind w:left="340"/>
              <w:spacing w:after="0" w:line="224" w:lineRule="exact"/>
              <w:rPr>
                <w:sz w:val="20"/>
                <w:szCs w:val="20"/>
                <w:color w:val="auto"/>
              </w:rPr>
            </w:pPr>
            <w:r>
              <w:rPr>
                <w:rFonts w:ascii="Arial" w:cs="Arial" w:eastAsia="Arial" w:hAnsi="Arial"/>
                <w:sz w:val="22"/>
                <w:szCs w:val="22"/>
                <w:color w:val="auto"/>
                <w:w w:val="86"/>
              </w:rPr>
              <w:t>Other Assets</w:t>
            </w:r>
          </w:p>
        </w:tc>
        <w:tc>
          <w:tcPr>
            <w:tcW w:w="460" w:type="dxa"/>
            <w:vAlign w:val="bottom"/>
          </w:tcPr>
          <w:p>
            <w:pPr>
              <w:spacing w:after="0"/>
              <w:rPr>
                <w:sz w:val="19"/>
                <w:szCs w:val="19"/>
                <w:color w:val="auto"/>
              </w:rPr>
            </w:pPr>
          </w:p>
        </w:tc>
        <w:tc>
          <w:tcPr>
            <w:tcW w:w="980" w:type="dxa"/>
            <w:vAlign w:val="bottom"/>
            <w:tcBorders>
              <w:bottom w:val="single" w:sz="8" w:color="auto"/>
            </w:tcBorders>
            <w:gridSpan w:val="4"/>
          </w:tcPr>
          <w:p>
            <w:pPr>
              <w:spacing w:after="0" w:line="224" w:lineRule="exact"/>
              <w:rPr>
                <w:sz w:val="20"/>
                <w:szCs w:val="20"/>
                <w:color w:val="auto"/>
              </w:rPr>
            </w:pPr>
            <w:r>
              <w:rPr>
                <w:rFonts w:ascii="Arial" w:cs="Arial" w:eastAsia="Arial" w:hAnsi="Arial"/>
                <w:sz w:val="22"/>
                <w:szCs w:val="22"/>
                <w:color w:val="auto"/>
                <w:w w:val="87"/>
              </w:rPr>
              <w:t>25,170,748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7"/>
        </w:trPr>
        <w:tc>
          <w:tcPr>
            <w:tcW w:w="1460" w:type="dxa"/>
            <w:vAlign w:val="bottom"/>
          </w:tcPr>
          <w:p>
            <w:pPr>
              <w:ind w:left="340"/>
              <w:spacing w:after="0"/>
              <w:rPr>
                <w:sz w:val="20"/>
                <w:szCs w:val="20"/>
                <w:color w:val="auto"/>
              </w:rPr>
            </w:pPr>
            <w:r>
              <w:rPr>
                <w:rFonts w:ascii="Arial" w:cs="Arial" w:eastAsia="Arial" w:hAnsi="Arial"/>
                <w:sz w:val="22"/>
                <w:szCs w:val="22"/>
                <w:b w:val="1"/>
                <w:bCs w:val="1"/>
                <w:color w:val="auto"/>
                <w:w w:val="84"/>
              </w:rPr>
              <w:t>Total Assets</w:t>
            </w:r>
          </w:p>
        </w:tc>
        <w:tc>
          <w:tcPr>
            <w:tcW w:w="1700" w:type="dxa"/>
            <w:vAlign w:val="bottom"/>
            <w:gridSpan w:val="6"/>
          </w:tcPr>
          <w:p>
            <w:pPr>
              <w:jc w:val="right"/>
              <w:ind w:right="60"/>
              <w:spacing w:after="0"/>
              <w:rPr>
                <w:sz w:val="20"/>
                <w:szCs w:val="20"/>
                <w:color w:val="auto"/>
              </w:rPr>
            </w:pPr>
            <w:r>
              <w:rPr>
                <w:rFonts w:ascii="Arial" w:cs="Arial" w:eastAsia="Arial" w:hAnsi="Arial"/>
                <w:sz w:val="22"/>
                <w:szCs w:val="22"/>
                <w:b w:val="1"/>
                <w:bCs w:val="1"/>
                <w:color w:val="auto"/>
              </w:rPr>
              <w:t>$441,010,095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5"/>
        </w:trPr>
        <w:tc>
          <w:tcPr>
            <w:tcW w:w="14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Deposits</w:t>
            </w:r>
          </w:p>
        </w:tc>
        <w:tc>
          <w:tcPr>
            <w:tcW w:w="1360" w:type="dxa"/>
            <w:vAlign w:val="bottom"/>
            <w:gridSpan w:val="4"/>
          </w:tcPr>
          <w:p>
            <w:pPr>
              <w:jc w:val="right"/>
              <w:ind w:right="12"/>
              <w:spacing w:after="0"/>
              <w:rPr>
                <w:sz w:val="20"/>
                <w:szCs w:val="20"/>
                <w:color w:val="auto"/>
              </w:rPr>
            </w:pPr>
            <w:r>
              <w:rPr>
                <w:rFonts w:ascii="Arial" w:cs="Arial" w:eastAsia="Arial" w:hAnsi="Arial"/>
                <w:sz w:val="22"/>
                <w:szCs w:val="22"/>
                <w:color w:val="auto"/>
                <w:w w:val="90"/>
              </w:rPr>
              <w:t>$343,142,193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Fed Funds</w:t>
            </w:r>
          </w:p>
        </w:tc>
        <w:tc>
          <w:tcPr>
            <w:tcW w:w="1360" w:type="dxa"/>
            <w:vAlign w:val="bottom"/>
            <w:gridSpan w:val="4"/>
          </w:tcPr>
          <w:p>
            <w:pPr>
              <w:jc w:val="right"/>
              <w:ind w:right="172"/>
              <w:spacing w:after="0"/>
              <w:rPr>
                <w:sz w:val="20"/>
                <w:szCs w:val="20"/>
                <w:color w:val="auto"/>
              </w:rPr>
            </w:pPr>
            <w:r>
              <w:rPr>
                <w:rFonts w:ascii="Arial" w:cs="Arial" w:eastAsia="Arial" w:hAnsi="Arial"/>
                <w:sz w:val="22"/>
                <w:szCs w:val="22"/>
                <w:color w:val="auto"/>
              </w:rPr>
              <w:t>1,157,970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820" w:type="dxa"/>
            <w:vAlign w:val="bottom"/>
            <w:gridSpan w:val="5"/>
          </w:tcPr>
          <w:p>
            <w:pPr>
              <w:ind w:left="340"/>
              <w:spacing w:after="0"/>
              <w:rPr>
                <w:sz w:val="20"/>
                <w:szCs w:val="20"/>
                <w:color w:val="auto"/>
              </w:rPr>
            </w:pPr>
            <w:r>
              <w:rPr>
                <w:rFonts w:ascii="Arial" w:cs="Arial" w:eastAsia="Arial" w:hAnsi="Arial"/>
                <w:sz w:val="22"/>
                <w:szCs w:val="22"/>
                <w:color w:val="auto"/>
              </w:rPr>
              <w:t>Treasury Demand Notes</w:t>
            </w:r>
          </w:p>
        </w:tc>
        <w:tc>
          <w:tcPr>
            <w:tcW w:w="340" w:type="dxa"/>
            <w:vAlign w:val="bottom"/>
            <w:gridSpan w:val="2"/>
          </w:tcPr>
          <w:p>
            <w:pPr>
              <w:jc w:val="right"/>
              <w:ind w:right="180"/>
              <w:spacing w:after="0"/>
              <w:rPr>
                <w:sz w:val="20"/>
                <w:szCs w:val="20"/>
                <w:color w:val="auto"/>
              </w:rPr>
            </w:pPr>
            <w:r>
              <w:rPr>
                <w:rFonts w:ascii="Arial" w:cs="Arial" w:eastAsia="Arial" w:hAnsi="Arial"/>
                <w:sz w:val="22"/>
                <w:szCs w:val="22"/>
                <w:color w:val="auto"/>
              </w:rPr>
              <w:t>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000" w:type="dxa"/>
            <w:vAlign w:val="bottom"/>
            <w:gridSpan w:val="3"/>
          </w:tcPr>
          <w:p>
            <w:pPr>
              <w:ind w:left="340"/>
              <w:spacing w:after="0"/>
              <w:rPr>
                <w:sz w:val="20"/>
                <w:szCs w:val="20"/>
                <w:color w:val="auto"/>
              </w:rPr>
            </w:pPr>
            <w:r>
              <w:rPr>
                <w:rFonts w:ascii="Arial" w:cs="Arial" w:eastAsia="Arial" w:hAnsi="Arial"/>
                <w:sz w:val="22"/>
                <w:szCs w:val="22"/>
                <w:color w:val="auto"/>
                <w:w w:val="95"/>
              </w:rPr>
              <w:t>Trading Liabilities</w:t>
            </w:r>
          </w:p>
        </w:tc>
        <w:tc>
          <w:tcPr>
            <w:tcW w:w="1340" w:type="dxa"/>
            <w:vAlign w:val="bottom"/>
            <w:gridSpan w:val="5"/>
          </w:tcPr>
          <w:p>
            <w:pPr>
              <w:jc w:val="right"/>
              <w:ind w:right="60"/>
              <w:spacing w:after="0"/>
              <w:rPr>
                <w:sz w:val="20"/>
                <w:szCs w:val="20"/>
                <w:color w:val="auto"/>
              </w:rPr>
            </w:pPr>
            <w:r>
              <w:rPr>
                <w:rFonts w:ascii="Arial" w:cs="Arial" w:eastAsia="Arial" w:hAnsi="Arial"/>
                <w:sz w:val="22"/>
                <w:szCs w:val="22"/>
                <w:color w:val="auto"/>
              </w:rPr>
              <w:t>1,536,287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820" w:type="dxa"/>
            <w:vAlign w:val="bottom"/>
            <w:gridSpan w:val="5"/>
          </w:tcPr>
          <w:p>
            <w:pPr>
              <w:ind w:left="340"/>
              <w:spacing w:after="0"/>
              <w:rPr>
                <w:sz w:val="20"/>
                <w:szCs w:val="20"/>
                <w:color w:val="auto"/>
              </w:rPr>
            </w:pPr>
            <w:r>
              <w:rPr>
                <w:rFonts w:ascii="Arial" w:cs="Arial" w:eastAsia="Arial" w:hAnsi="Arial"/>
                <w:sz w:val="22"/>
                <w:szCs w:val="22"/>
                <w:color w:val="auto"/>
              </w:rPr>
              <w:t>Other Borrowed Money</w:t>
            </w:r>
          </w:p>
        </w:tc>
        <w:tc>
          <w:tcPr>
            <w:tcW w:w="1440" w:type="dxa"/>
            <w:vAlign w:val="bottom"/>
            <w:gridSpan w:val="6"/>
          </w:tcPr>
          <w:p>
            <w:pPr>
              <w:jc w:val="right"/>
              <w:ind w:right="332"/>
              <w:spacing w:after="0"/>
              <w:rPr>
                <w:sz w:val="20"/>
                <w:szCs w:val="20"/>
                <w:color w:val="auto"/>
              </w:rPr>
            </w:pPr>
            <w:r>
              <w:rPr>
                <w:rFonts w:ascii="Arial" w:cs="Arial" w:eastAsia="Arial" w:hAnsi="Arial"/>
                <w:sz w:val="22"/>
                <w:szCs w:val="22"/>
                <w:color w:val="auto"/>
                <w:w w:val="88"/>
              </w:rPr>
              <w:t>31,668,666</w:t>
            </w: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w w:val="87"/>
              </w:rPr>
              <w:t>Acceptances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0</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3680" w:type="dxa"/>
            <w:vAlign w:val="bottom"/>
            <w:gridSpan w:val="10"/>
          </w:tcPr>
          <w:p>
            <w:pPr>
              <w:ind w:left="340"/>
              <w:spacing w:after="0"/>
              <w:rPr>
                <w:sz w:val="20"/>
                <w:szCs w:val="20"/>
                <w:color w:val="auto"/>
              </w:rPr>
            </w:pPr>
            <w:r>
              <w:rPr>
                <w:rFonts w:ascii="Arial" w:cs="Arial" w:eastAsia="Arial" w:hAnsi="Arial"/>
                <w:sz w:val="22"/>
                <w:szCs w:val="22"/>
                <w:color w:val="auto"/>
                <w:w w:val="92"/>
              </w:rPr>
              <w:t>Subordinated Notes and Debentures</w:t>
            </w:r>
          </w:p>
        </w:tc>
        <w:tc>
          <w:tcPr>
            <w:tcW w:w="1540" w:type="dxa"/>
            <w:vAlign w:val="bottom"/>
            <w:gridSpan w:val="2"/>
          </w:tcPr>
          <w:p>
            <w:pPr>
              <w:jc w:val="right"/>
              <w:ind w:right="480"/>
              <w:spacing w:after="0"/>
              <w:rPr>
                <w:sz w:val="20"/>
                <w:szCs w:val="20"/>
                <w:color w:val="auto"/>
              </w:rPr>
            </w:pPr>
            <w:r>
              <w:rPr>
                <w:rFonts w:ascii="Arial" w:cs="Arial" w:eastAsia="Arial" w:hAnsi="Arial"/>
                <w:sz w:val="22"/>
                <w:szCs w:val="22"/>
                <w:color w:val="auto"/>
              </w:rPr>
              <w:t>3,800,000</w:t>
            </w:r>
          </w:p>
        </w:tc>
      </w:tr>
      <w:tr>
        <w:trPr>
          <w:trHeight w:val="224"/>
        </w:trPr>
        <w:tc>
          <w:tcPr>
            <w:tcW w:w="2000" w:type="dxa"/>
            <w:vAlign w:val="bottom"/>
            <w:gridSpan w:val="3"/>
          </w:tcPr>
          <w:p>
            <w:pPr>
              <w:ind w:left="340"/>
              <w:spacing w:after="0" w:line="224" w:lineRule="exact"/>
              <w:rPr>
                <w:sz w:val="20"/>
                <w:szCs w:val="20"/>
                <w:color w:val="auto"/>
              </w:rPr>
            </w:pPr>
            <w:r>
              <w:rPr>
                <w:rFonts w:ascii="Arial" w:cs="Arial" w:eastAsia="Arial" w:hAnsi="Arial"/>
                <w:sz w:val="22"/>
                <w:szCs w:val="22"/>
                <w:color w:val="auto"/>
              </w:rPr>
              <w:t>Other Liabilities</w:t>
            </w:r>
          </w:p>
        </w:tc>
        <w:tc>
          <w:tcPr>
            <w:tcW w:w="180" w:type="dxa"/>
            <w:vAlign w:val="bottom"/>
          </w:tcPr>
          <w:p>
            <w:pPr>
              <w:spacing w:after="0"/>
              <w:rPr>
                <w:sz w:val="19"/>
                <w:szCs w:val="19"/>
                <w:color w:val="auto"/>
              </w:rPr>
            </w:pPr>
          </w:p>
        </w:tc>
        <w:tc>
          <w:tcPr>
            <w:tcW w:w="980" w:type="dxa"/>
            <w:vAlign w:val="bottom"/>
            <w:tcBorders>
              <w:bottom w:val="single" w:sz="8" w:color="auto"/>
            </w:tcBorders>
            <w:gridSpan w:val="3"/>
          </w:tcPr>
          <w:p>
            <w:pPr>
              <w:jc w:val="right"/>
              <w:spacing w:after="0" w:line="224" w:lineRule="exact"/>
              <w:rPr>
                <w:sz w:val="20"/>
                <w:szCs w:val="20"/>
                <w:color w:val="auto"/>
              </w:rPr>
            </w:pPr>
            <w:r>
              <w:rPr>
                <w:rFonts w:ascii="Arial" w:cs="Arial" w:eastAsia="Arial" w:hAnsi="Arial"/>
                <w:sz w:val="22"/>
                <w:szCs w:val="22"/>
                <w:color w:val="auto"/>
                <w:w w:val="87"/>
              </w:rPr>
              <w:t>13,559,469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7"/>
        </w:trPr>
        <w:tc>
          <w:tcPr>
            <w:tcW w:w="2000" w:type="dxa"/>
            <w:vAlign w:val="bottom"/>
            <w:gridSpan w:val="3"/>
          </w:tcPr>
          <w:p>
            <w:pPr>
              <w:ind w:left="340"/>
              <w:spacing w:after="0"/>
              <w:rPr>
                <w:sz w:val="20"/>
                <w:szCs w:val="20"/>
                <w:color w:val="auto"/>
              </w:rPr>
            </w:pPr>
            <w:r>
              <w:rPr>
                <w:rFonts w:ascii="Arial" w:cs="Arial" w:eastAsia="Arial" w:hAnsi="Arial"/>
                <w:sz w:val="22"/>
                <w:szCs w:val="22"/>
                <w:b w:val="1"/>
                <w:bCs w:val="1"/>
                <w:color w:val="auto"/>
              </w:rPr>
              <w:t>Total Liabilities</w:t>
            </w:r>
          </w:p>
        </w:tc>
        <w:tc>
          <w:tcPr>
            <w:tcW w:w="1560" w:type="dxa"/>
            <w:vAlign w:val="bottom"/>
            <w:gridSpan w:val="6"/>
          </w:tcPr>
          <w:p>
            <w:pPr>
              <w:jc w:val="right"/>
              <w:ind w:right="52"/>
              <w:spacing w:after="0"/>
              <w:rPr>
                <w:sz w:val="20"/>
                <w:szCs w:val="20"/>
                <w:color w:val="auto"/>
              </w:rPr>
            </w:pPr>
            <w:r>
              <w:rPr>
                <w:rFonts w:ascii="Arial" w:cs="Arial" w:eastAsia="Arial" w:hAnsi="Arial"/>
                <w:sz w:val="22"/>
                <w:szCs w:val="22"/>
                <w:b w:val="1"/>
                <w:bCs w:val="1"/>
                <w:color w:val="auto"/>
              </w:rPr>
              <w:t>$394,864,585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5"/>
        </w:trPr>
        <w:tc>
          <w:tcPr>
            <w:tcW w:w="1460" w:type="dxa"/>
            <w:vAlign w:val="bottom"/>
          </w:tcPr>
          <w:p>
            <w:pPr>
              <w:spacing w:after="0"/>
              <w:rPr>
                <w:sz w:val="20"/>
                <w:szCs w:val="20"/>
                <w:color w:val="auto"/>
              </w:rPr>
            </w:pPr>
            <w:r>
              <w:rPr>
                <w:rFonts w:ascii="Arial" w:cs="Arial" w:eastAsia="Arial" w:hAnsi="Arial"/>
                <w:sz w:val="22"/>
                <w:szCs w:val="22"/>
                <w:b w:val="1"/>
                <w:bCs w:val="1"/>
                <w:color w:val="auto"/>
              </w:rPr>
              <w:t>Equity</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2820" w:type="dxa"/>
            <w:vAlign w:val="bottom"/>
            <w:gridSpan w:val="5"/>
          </w:tcPr>
          <w:p>
            <w:pPr>
              <w:spacing w:after="0"/>
              <w:rPr>
                <w:sz w:val="20"/>
                <w:szCs w:val="20"/>
                <w:color w:val="auto"/>
              </w:rPr>
            </w:pPr>
            <w:r>
              <w:rPr>
                <w:rFonts w:ascii="Arial" w:cs="Arial" w:eastAsia="Arial" w:hAnsi="Arial"/>
                <w:sz w:val="22"/>
                <w:szCs w:val="22"/>
                <w:color w:val="auto"/>
                <w:w w:val="96"/>
              </w:rPr>
              <w:t>Common and Preferred Stock</w:t>
            </w:r>
          </w:p>
        </w:tc>
        <w:tc>
          <w:tcPr>
            <w:tcW w:w="860" w:type="dxa"/>
            <w:vAlign w:val="bottom"/>
            <w:gridSpan w:val="5"/>
          </w:tcPr>
          <w:p>
            <w:pPr>
              <w:jc w:val="right"/>
              <w:spacing w:after="0"/>
              <w:rPr>
                <w:sz w:val="20"/>
                <w:szCs w:val="20"/>
                <w:color w:val="auto"/>
              </w:rPr>
            </w:pPr>
            <w:r>
              <w:rPr>
                <w:rFonts w:ascii="Arial" w:cs="Arial" w:eastAsia="Arial" w:hAnsi="Arial"/>
                <w:sz w:val="22"/>
                <w:szCs w:val="22"/>
                <w:color w:val="auto"/>
              </w:rPr>
              <w:t>18,200</w:t>
            </w: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460" w:type="dxa"/>
            <w:vAlign w:val="bottom"/>
          </w:tcPr>
          <w:p>
            <w:pPr>
              <w:ind w:left="340"/>
              <w:spacing w:after="0"/>
              <w:rPr>
                <w:sz w:val="20"/>
                <w:szCs w:val="20"/>
                <w:color w:val="auto"/>
              </w:rPr>
            </w:pPr>
            <w:r>
              <w:rPr>
                <w:rFonts w:ascii="Arial" w:cs="Arial" w:eastAsia="Arial" w:hAnsi="Arial"/>
                <w:sz w:val="22"/>
                <w:szCs w:val="22"/>
                <w:color w:val="auto"/>
              </w:rPr>
              <w:t>Surplus</w:t>
            </w:r>
          </w:p>
        </w:tc>
        <w:tc>
          <w:tcPr>
            <w:tcW w:w="1360" w:type="dxa"/>
            <w:vAlign w:val="bottom"/>
            <w:gridSpan w:val="4"/>
          </w:tcPr>
          <w:p>
            <w:pPr>
              <w:jc w:val="right"/>
              <w:ind w:right="252"/>
              <w:spacing w:after="0"/>
              <w:rPr>
                <w:sz w:val="20"/>
                <w:szCs w:val="20"/>
                <w:color w:val="auto"/>
              </w:rPr>
            </w:pPr>
            <w:r>
              <w:rPr>
                <w:rFonts w:ascii="Arial" w:cs="Arial" w:eastAsia="Arial" w:hAnsi="Arial"/>
                <w:sz w:val="22"/>
                <w:szCs w:val="22"/>
                <w:color w:val="auto"/>
                <w:w w:val="88"/>
              </w:rPr>
              <w:t>14,266,915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2000" w:type="dxa"/>
            <w:vAlign w:val="bottom"/>
            <w:gridSpan w:val="3"/>
          </w:tcPr>
          <w:p>
            <w:pPr>
              <w:ind w:left="340"/>
              <w:spacing w:after="0"/>
              <w:rPr>
                <w:sz w:val="20"/>
                <w:szCs w:val="20"/>
                <w:color w:val="auto"/>
              </w:rPr>
            </w:pPr>
            <w:r>
              <w:rPr>
                <w:rFonts w:ascii="Arial" w:cs="Arial" w:eastAsia="Arial" w:hAnsi="Arial"/>
                <w:sz w:val="22"/>
                <w:szCs w:val="22"/>
                <w:color w:val="auto"/>
                <w:w w:val="98"/>
              </w:rPr>
              <w:t>Undivided Profits</w:t>
            </w:r>
          </w:p>
        </w:tc>
        <w:tc>
          <w:tcPr>
            <w:tcW w:w="1340" w:type="dxa"/>
            <w:vAlign w:val="bottom"/>
            <w:gridSpan w:val="5"/>
          </w:tcPr>
          <w:p>
            <w:pPr>
              <w:jc w:val="right"/>
              <w:ind w:right="60"/>
              <w:spacing w:after="0"/>
              <w:rPr>
                <w:sz w:val="20"/>
                <w:szCs w:val="20"/>
                <w:color w:val="auto"/>
              </w:rPr>
            </w:pPr>
            <w:r>
              <w:rPr>
                <w:rFonts w:ascii="Arial" w:cs="Arial" w:eastAsia="Arial" w:hAnsi="Arial"/>
                <w:sz w:val="22"/>
                <w:szCs w:val="22"/>
                <w:color w:val="auto"/>
              </w:rPr>
              <w:t>31,054,149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4"/>
        </w:trPr>
        <w:tc>
          <w:tcPr>
            <w:tcW w:w="3340" w:type="dxa"/>
            <w:vAlign w:val="bottom"/>
            <w:gridSpan w:val="8"/>
          </w:tcPr>
          <w:p>
            <w:pPr>
              <w:ind w:left="340"/>
              <w:spacing w:after="0" w:line="224" w:lineRule="exact"/>
              <w:rPr>
                <w:sz w:val="20"/>
                <w:szCs w:val="20"/>
                <w:color w:val="auto"/>
              </w:rPr>
            </w:pPr>
            <w:r>
              <w:rPr>
                <w:rFonts w:ascii="Arial" w:cs="Arial" w:eastAsia="Arial" w:hAnsi="Arial"/>
                <w:sz w:val="22"/>
                <w:szCs w:val="22"/>
                <w:color w:val="auto"/>
                <w:w w:val="97"/>
              </w:rPr>
              <w:t>Minority Interest in Subsidiaries</w:t>
            </w:r>
          </w:p>
        </w:tc>
        <w:tc>
          <w:tcPr>
            <w:tcW w:w="220" w:type="dxa"/>
            <w:vAlign w:val="bottom"/>
          </w:tcPr>
          <w:p>
            <w:pPr>
              <w:spacing w:after="0"/>
              <w:rPr>
                <w:sz w:val="19"/>
                <w:szCs w:val="19"/>
                <w:color w:val="auto"/>
              </w:rPr>
            </w:pPr>
          </w:p>
        </w:tc>
        <w:tc>
          <w:tcPr>
            <w:tcW w:w="1660" w:type="dxa"/>
            <w:vAlign w:val="bottom"/>
            <w:gridSpan w:val="3"/>
          </w:tcPr>
          <w:p>
            <w:pPr>
              <w:jc w:val="right"/>
              <w:ind w:right="960"/>
              <w:spacing w:after="0" w:line="224" w:lineRule="exact"/>
              <w:rPr>
                <w:sz w:val="20"/>
                <w:szCs w:val="20"/>
                <w:color w:val="auto"/>
              </w:rPr>
            </w:pPr>
            <w:r>
              <w:rPr>
                <w:rFonts w:ascii="Arial" w:cs="Arial" w:eastAsia="Arial" w:hAnsi="Arial"/>
                <w:sz w:val="22"/>
                <w:szCs w:val="22"/>
                <w:color w:val="auto"/>
                <w:w w:val="85"/>
              </w:rPr>
              <w:t>806,246</w:t>
            </w:r>
          </w:p>
        </w:tc>
      </w:tr>
      <w:tr>
        <w:trPr>
          <w:trHeight w:val="20"/>
        </w:trPr>
        <w:tc>
          <w:tcPr>
            <w:tcW w:w="282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87"/>
        </w:trPr>
        <w:tc>
          <w:tcPr>
            <w:tcW w:w="2820" w:type="dxa"/>
            <w:vAlign w:val="bottom"/>
            <w:gridSpan w:val="5"/>
          </w:tcPr>
          <w:p>
            <w:pPr>
              <w:ind w:left="660"/>
              <w:spacing w:after="0"/>
              <w:rPr>
                <w:sz w:val="20"/>
                <w:szCs w:val="20"/>
                <w:color w:val="auto"/>
              </w:rPr>
            </w:pPr>
            <w:r>
              <w:rPr>
                <w:rFonts w:ascii="Arial" w:cs="Arial" w:eastAsia="Arial" w:hAnsi="Arial"/>
                <w:sz w:val="22"/>
                <w:szCs w:val="22"/>
                <w:b w:val="1"/>
                <w:bCs w:val="1"/>
                <w:color w:val="auto"/>
              </w:rPr>
              <w:t>Total Equity Capital</w:t>
            </w:r>
          </w:p>
        </w:tc>
        <w:tc>
          <w:tcPr>
            <w:tcW w:w="1440" w:type="dxa"/>
            <w:vAlign w:val="bottom"/>
            <w:gridSpan w:val="6"/>
          </w:tcPr>
          <w:p>
            <w:pPr>
              <w:jc w:val="right"/>
              <w:ind w:right="92"/>
              <w:spacing w:after="0"/>
              <w:rPr>
                <w:sz w:val="20"/>
                <w:szCs w:val="20"/>
                <w:color w:val="auto"/>
              </w:rPr>
            </w:pPr>
            <w:r>
              <w:rPr>
                <w:rFonts w:ascii="Arial" w:cs="Arial" w:eastAsia="Arial" w:hAnsi="Arial"/>
                <w:sz w:val="22"/>
                <w:szCs w:val="22"/>
                <w:b w:val="1"/>
                <w:bCs w:val="1"/>
                <w:color w:val="auto"/>
                <w:w w:val="99"/>
              </w:rPr>
              <w:t>$46,145,510</w:t>
            </w:r>
          </w:p>
        </w:tc>
        <w:tc>
          <w:tcPr>
            <w:tcW w:w="960" w:type="dxa"/>
            <w:vAlign w:val="bottom"/>
          </w:tcPr>
          <w:p>
            <w:pPr>
              <w:spacing w:after="0"/>
              <w:rPr>
                <w:sz w:val="24"/>
                <w:szCs w:val="24"/>
                <w:color w:val="auto"/>
              </w:rPr>
            </w:pPr>
          </w:p>
        </w:tc>
      </w:tr>
      <w:tr>
        <w:trPr>
          <w:trHeight w:val="513"/>
        </w:trPr>
        <w:tc>
          <w:tcPr>
            <w:tcW w:w="3340" w:type="dxa"/>
            <w:vAlign w:val="bottom"/>
            <w:gridSpan w:val="8"/>
          </w:tcPr>
          <w:p>
            <w:pPr>
              <w:spacing w:after="0"/>
              <w:rPr>
                <w:sz w:val="20"/>
                <w:szCs w:val="20"/>
                <w:color w:val="auto"/>
              </w:rPr>
            </w:pPr>
            <w:r>
              <w:rPr>
                <w:rFonts w:ascii="Arial" w:cs="Arial" w:eastAsia="Arial" w:hAnsi="Arial"/>
                <w:sz w:val="22"/>
                <w:szCs w:val="22"/>
                <w:b w:val="1"/>
                <w:bCs w:val="1"/>
                <w:color w:val="auto"/>
                <w:w w:val="92"/>
              </w:rPr>
              <w:t>Total Liabilities and Equity Capital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22"/>
                <w:szCs w:val="22"/>
                <w:b w:val="1"/>
                <w:bCs w:val="1"/>
                <w:color w:val="auto"/>
                <w:w w:val="89"/>
              </w:rPr>
              <w:t>$441,010,095</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To the best of the undersigned’s determination, as of the date hereof, the above financial information is true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2763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Katherine Esber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President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369"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99.1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62865</wp:posOffset>
            </wp:positionV>
            <wp:extent cx="2778760" cy="523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220" w:type="dxa"/>
            <w:vAlign w:val="bottom"/>
          </w:tcPr>
          <w:p>
            <w:pPr>
              <w:ind w:left="3460"/>
              <w:spacing w:after="0"/>
              <w:rPr>
                <w:sz w:val="20"/>
                <w:szCs w:val="20"/>
                <w:color w:val="auto"/>
              </w:rPr>
            </w:pPr>
            <w:r>
              <w:rPr>
                <w:rFonts w:ascii="Arial" w:cs="Arial" w:eastAsia="Arial" w:hAnsi="Arial"/>
                <w:sz w:val="22"/>
                <w:szCs w:val="22"/>
                <w:b w:val="1"/>
                <w:bCs w:val="1"/>
                <w:color w:val="auto"/>
              </w:rPr>
              <w:t>Pursuant to the Prospectus dated</w:t>
            </w:r>
          </w:p>
        </w:tc>
        <w:tc>
          <w:tcPr>
            <w:tcW w:w="4200" w:type="dxa"/>
            <w:vAlign w:val="bottom"/>
          </w:tcPr>
          <w:p>
            <w:pPr>
              <w:jc w:val="right"/>
              <w:ind w:right="3341"/>
              <w:spacing w:after="0"/>
              <w:rPr>
                <w:sz w:val="20"/>
                <w:szCs w:val="20"/>
                <w:color w:val="auto"/>
              </w:rPr>
            </w:pPr>
            <w:r>
              <w:rPr>
                <w:rFonts w:ascii="Arial" w:cs="Arial" w:eastAsia="Arial" w:hAnsi="Arial"/>
                <w:sz w:val="22"/>
                <w:szCs w:val="22"/>
                <w:b w:val="1"/>
                <w:bCs w:val="1"/>
                <w:color w:val="auto"/>
              </w:rPr>
              <w:t>, 2017</w:t>
            </w:r>
          </w:p>
        </w:tc>
      </w:tr>
      <w:tr>
        <w:trPr>
          <w:trHeight w:val="321"/>
        </w:trPr>
        <w:tc>
          <w:tcPr>
            <w:tcW w:w="7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r>
        <w:trPr>
          <w:trHeight w:val="324"/>
        </w:trPr>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200" w:type="dxa"/>
            <w:vAlign w:val="bottom"/>
          </w:tcPr>
          <w:p>
            <w:pPr>
              <w:jc w:val="right"/>
              <w:ind w:right="301"/>
              <w:spacing w:after="0"/>
              <w:rPr>
                <w:sz w:val="20"/>
                <w:szCs w:val="20"/>
                <w:color w:val="auto"/>
              </w:rPr>
            </w:pPr>
            <w:r>
              <w:rPr>
                <w:rFonts w:ascii="Arial" w:cs="Arial" w:eastAsia="Arial" w:hAnsi="Arial"/>
                <w:sz w:val="18"/>
                <w:szCs w:val="18"/>
                <w:b w:val="1"/>
                <w:bCs w:val="1"/>
                <w:color w:val="auto"/>
              </w:rPr>
              <w:t>, 2017, UNLESS EXTENDED (SUCH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left="20" w:right="160"/>
        <w:spacing w:after="0" w:line="261" w:lineRule="auto"/>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U.S. Bank National Association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0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(800) 934-6802</w:t>
      </w:r>
    </w:p>
    <w:p>
      <w:pPr>
        <w:spacing w:after="0" w:line="193" w:lineRule="exact"/>
        <w:rPr>
          <w:sz w:val="20"/>
          <w:szCs w:val="20"/>
          <w:color w:val="auto"/>
        </w:rPr>
      </w:pPr>
    </w:p>
    <w:p>
      <w:pPr>
        <w:sectPr>
          <w:pgSz w:w="11900" w:h="16838" w:orient="portrait"/>
          <w:cols w:equalWidth="0" w:num="2">
            <w:col w:w="6340" w:space="720"/>
            <w:col w:w="4360"/>
          </w:cols>
          <w:pgMar w:left="240" w:top="364" w:right="239" w:bottom="1440" w:gutter="0" w:footer="0" w:header="0"/>
          <w:type w:val="continuous"/>
        </w:sectPr>
      </w:pPr>
    </w:p>
    <w:p>
      <w:pPr>
        <w:ind w:right="500"/>
        <w:spacing w:after="0" w:line="266" w:lineRule="auto"/>
        <w:rPr>
          <w:sz w:val="20"/>
          <w:szCs w:val="20"/>
          <w:color w:val="auto"/>
        </w:rPr>
      </w:pPr>
      <w:r>
        <w:rPr>
          <w:rFonts w:ascii="Arial" w:cs="Arial" w:eastAsia="Arial" w:hAnsi="Arial"/>
          <w:sz w:val="18"/>
          <w:szCs w:val="18"/>
          <w:b w:val="1"/>
          <w:bCs w:val="1"/>
          <w:color w:val="auto"/>
        </w:rPr>
        <w:t>TO TENDER ORIGINAL NOTES FOR EXCHANGE, THIS LETTER OF TRANSMITTAL (OR, IF TENDERING BY BOOK-ENTRY TRANSFER, AN AGENT’S MESSAGE) MUST BE DELIVERED TO THE EXCHANGE AGENT AT ITS ADDRESS SET FORTH ABOVE, TOGETHER WITH ALL REQUIRED DOCUMENTATION, AT OR PRIOR TO THE EXPIRATION TIME.</w:t>
      </w:r>
    </w:p>
    <w:p>
      <w:pPr>
        <w:spacing w:after="0" w:line="12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TO A NUMBER OTHER THAN THE ONE LISTED ABOVE WILL NOT CONSTITUTE A VALID DELIVERY.</w:t>
      </w:r>
    </w:p>
    <w:p>
      <w:pPr>
        <w:spacing w:after="0" w:line="12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INSTRUCTIONS CONTAINED IN THIS LETTER OF TRANSMITTAL SHOULD BE READ CAREFULLY BEFORE THIS LETTER OF TRANSMITTAL IS COMPLETED.</w:t>
      </w:r>
    </w:p>
    <w:p>
      <w:pPr>
        <w:spacing w:after="0" w:line="38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By execution of this Letter of Transmittal, the undersigned acknowledges that it has received the prospectus dated , 2017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of 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this Letter of Transmittal relating to the Company’s offer to exchange up to $250 million aggregate principal amount of its outstanding unregistered 5.250% Senior Notes due 2026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5.250% Senior Notes due 2026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subject to the terms and conditions set forth in the Prospectus and this Letter of Transmittal (which, together, as the same may be amended, supplemented or otherwise modified from time to time, constitute the “</w:t>
      </w:r>
      <w:r>
        <w:rPr>
          <w:rFonts w:ascii="Arial" w:cs="Arial" w:eastAsia="Arial" w:hAnsi="Arial"/>
          <w:sz w:val="16"/>
          <w:szCs w:val="16"/>
          <w:b w:val="1"/>
          <w:bCs w:val="1"/>
          <w:i w:val="1"/>
          <w:iCs w:val="1"/>
          <w:color w:val="auto"/>
        </w:rPr>
        <w:t>Exchange Offer</w:t>
      </w:r>
      <w:r>
        <w:rPr>
          <w:rFonts w:ascii="Arial" w:cs="Arial" w:eastAsia="Arial" w:hAnsi="Arial"/>
          <w:sz w:val="16"/>
          <w:szCs w:val="16"/>
          <w:color w:val="auto"/>
        </w:rPr>
        <w:t>”).</w:t>
      </w:r>
    </w:p>
    <w:p>
      <w:pPr>
        <w:sectPr>
          <w:pgSz w:w="11900" w:h="16838" w:orient="portrait"/>
          <w:cols w:equalWidth="0" w:num="1">
            <w:col w:w="11420"/>
          </w:cols>
          <w:pgMar w:left="240" w:top="364" w:right="239" w:bottom="1440" w:gutter="0" w:footer="0" w:header="0"/>
          <w:type w:val="continuous"/>
        </w:sectPr>
      </w:pPr>
    </w:p>
    <w:bookmarkStart w:id="128" w:name="page129"/>
    <w:bookmarkEnd w:id="128"/>
    <w:p>
      <w:pPr>
        <w:ind w:right="920"/>
        <w:spacing w:after="0" w:line="282" w:lineRule="auto"/>
        <w:rPr>
          <w:sz w:val="20"/>
          <w:szCs w:val="20"/>
          <w:color w:val="auto"/>
        </w:rPr>
      </w:pPr>
      <w:r>
        <w:rPr>
          <w:rFonts w:ascii="Arial" w:cs="Arial" w:eastAsia="Arial" w:hAnsi="Arial"/>
          <w:sz w:val="18"/>
          <w:szCs w:val="18"/>
          <w:b w:val="1"/>
          <w:bCs w:val="1"/>
          <w:color w:val="auto"/>
        </w:rPr>
        <w:t>PLEASE READ THIS LETTER OF TRANSMITTAL AND THE ACCOMPANYING PROSPECTUS IN THEIR ENTIRETY BEFORE CHECKING ANY BOX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Letter of Transmittal is to be used to tender Original Notes:</w:t>
      </w:r>
    </w:p>
    <w:p>
      <w:pPr>
        <w:spacing w:after="0" w:line="225"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certificates representing tendered Original Notes are to be physically forwarded herewith to the Exchange Agent;</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 tender is to be made by book-entry transfer to the Exchange Agent’s account at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through DTC’s Automated Tender Offer Program (“</w:t>
      </w:r>
      <w:r>
        <w:rPr>
          <w:rFonts w:ascii="Arial" w:cs="Arial" w:eastAsia="Arial" w:hAnsi="Arial"/>
          <w:sz w:val="18"/>
          <w:szCs w:val="18"/>
          <w:b w:val="1"/>
          <w:bCs w:val="1"/>
          <w:i w:val="1"/>
          <w:iCs w:val="1"/>
          <w:color w:val="auto"/>
        </w:rPr>
        <w:t>ATOP</w:t>
      </w:r>
      <w:r>
        <w:rPr>
          <w:rFonts w:ascii="Arial" w:cs="Arial" w:eastAsia="Arial" w:hAnsi="Arial"/>
          <w:sz w:val="18"/>
          <w:szCs w:val="18"/>
          <w:color w:val="auto"/>
        </w:rPr>
        <w:t xml:space="preserve">”) pursuant to the procedures set forth in the Prospectus under the caption “The Exchange Offer—Book-Entry Transfer,”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an Agent’s Message (as defined below) is transmitted in lieu thereof; or</w:t>
      </w:r>
    </w:p>
    <w:p>
      <w:pPr>
        <w:spacing w:after="0" w:line="181"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 tender is to be made pursuant to the guaranteed delivery procedures described in the Prospectus under the caption “The Exchange Offer— Guaranteed Delivery Procedures.”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Agent’s Message</w:t>
      </w:r>
      <w:r>
        <w:rPr>
          <w:rFonts w:ascii="Arial" w:cs="Arial" w:eastAsia="Arial" w:hAnsi="Arial"/>
          <w:sz w:val="18"/>
          <w:szCs w:val="18"/>
          <w:color w:val="auto"/>
        </w:rPr>
        <w:t>” means a message, electronically transmitted by DTC to the Exchange Agent, forming part of a book-entry transfer, which states that DTC has received an express acknowledgement from the tendering holder of the Original Notes that such holder has received and agrees to be bound by, and makes each of the representations contained in, this Letter of Transmittal and, further, that such holder agrees that the Company may enforce this Letter of Transmittal against such holder.</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Only registered holders are entitled to tender their Original Notes for exchange in the Exchange Offer. In order for a registered holder of Original Notes to tender all or any portion of such holder’s Original Notes, (i) the Exchange Agent must receive, at or prior to the Expiration Time, (a) this Letter of Transmittal or, if tendering by book-entry transfer, an Agent’s Message, (b)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holder must comply with the guaranteed delivery procedures set forth below.</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participant in DTC’s system whose name appears on a security position listing as the registered holder of Original Notes and who wishes to make book-entry transfer of the Original Notes to the Exchange Agent’s account at DTC may execute the tender through ATOP, for which the Exchange Offer will be eligible, by following the applicable book-entry procedures of DTC. Upon such tender of Original Notes:</w:t>
      </w:r>
    </w:p>
    <w:p>
      <w:pPr>
        <w:spacing w:after="0" w:line="181" w:lineRule="exact"/>
        <w:rPr>
          <w:sz w:val="20"/>
          <w:szCs w:val="20"/>
          <w:color w:val="auto"/>
        </w:rPr>
      </w:pPr>
    </w:p>
    <w:p>
      <w:pPr>
        <w:ind w:left="660" w:right="12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DTC will verify the acceptance of the tender and execute a book-entry transfer of the tendered Original Notes into the Exchange Agent’s account at DTC;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DTC will send to the Exchange Agent for its acceptance an Agent’s Message forming part of such book-entry transfer;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transmission of the Agent’s Message by DTC will satisfy the terms of the Exchange Offer as to execution and delivery of a Letter of Transmittal by the participant identified in the Agent’s Message.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DTC does not constitute a valid delivery to the 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order to validly complete this Letter of Transmittal, a holder of Original Notes must:</w:t>
      </w:r>
    </w:p>
    <w:p>
      <w:pPr>
        <w:spacing w:after="0" w:line="225"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complete the box entitled “Description of Original Notes Tendered;”</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appropriate, check and complete the boxes relating to delivery of certificates, book-entry transfer, notice of guaranteed delivery, broker-dealers, special issuance instructions and special delivery instructions;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complete the information under “Sign Here to Tender Your Original Notes in the Exchange Offer,” including, if appropriate, the information under “Guarantee of Signature;”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complete the Substitute Form W-9 included in this Letter of Transmittal or the applicable IRS Form W-8, which may be obtained from the Exchange Agent.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a registered holder of Original Notes desires to tender such holder’s Original Notes for exchange in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then such holder may effect a tender of Original Notes in accordance with the guaranteed delivery procedures set forth in the Prospectus under the caption “The Exchange Offer—Guaranteed Delivery Procedures.” See Instruction 2 below.</w:t>
      </w:r>
    </w:p>
    <w:p>
      <w:pPr>
        <w:sectPr>
          <w:pgSz w:w="11900" w:h="16838" w:orient="portrait"/>
          <w:cols w:equalWidth="0" w:num="1">
            <w:col w:w="11400"/>
          </w:cols>
          <w:pgMar w:left="240" w:top="364" w:right="259" w:bottom="1440" w:gutter="0" w:footer="0" w:header="0"/>
        </w:sectPr>
      </w:pPr>
    </w:p>
    <w:bookmarkStart w:id="129" w:name="page130"/>
    <w:bookmarkEnd w:id="129"/>
    <w:p>
      <w:pPr>
        <w:ind w:right="80"/>
        <w:spacing w:after="0" w:line="291" w:lineRule="auto"/>
        <w:rPr>
          <w:sz w:val="20"/>
          <w:szCs w:val="20"/>
          <w:color w:val="auto"/>
        </w:rPr>
      </w:pPr>
      <w:r>
        <w:rPr>
          <w:rFonts w:ascii="Arial" w:cs="Arial" w:eastAsia="Arial" w:hAnsi="Arial"/>
          <w:sz w:val="16"/>
          <w:szCs w:val="16"/>
          <w:color w:val="auto"/>
        </w:rPr>
        <w:t>The Exchange Offer may be extended, amended or terminated as described in the Prospectus. During any extension of the Exchange Offer, all Original Notes validly tendered and not validly withdrawn will remain subject to the terms of the Exchange Offer. The Exchange Offer will expire at 11:59 p.m., New York</w:t>
      </w:r>
    </w:p>
    <w:p>
      <w:pPr>
        <w:spacing w:after="0"/>
        <w:tabs>
          <w:tab w:leader="none" w:pos="1700" w:val="left"/>
        </w:tabs>
        <w:rPr>
          <w:sz w:val="20"/>
          <w:szCs w:val="20"/>
          <w:color w:val="auto"/>
        </w:rPr>
      </w:pPr>
      <w:r>
        <w:rPr>
          <w:rFonts w:ascii="Arial" w:cs="Arial" w:eastAsia="Arial" w:hAnsi="Arial"/>
          <w:sz w:val="18"/>
          <w:szCs w:val="18"/>
          <w:color w:val="auto"/>
        </w:rPr>
        <w:t>City time, on</w:t>
      </w:r>
      <w:r>
        <w:rPr>
          <w:sz w:val="20"/>
          <w:szCs w:val="20"/>
          <w:color w:val="auto"/>
        </w:rPr>
        <w:tab/>
      </w:r>
      <w:r>
        <w:rPr>
          <w:rFonts w:ascii="Arial" w:cs="Arial" w:eastAsia="Arial" w:hAnsi="Arial"/>
          <w:sz w:val="16"/>
          <w:szCs w:val="16"/>
          <w:color w:val="auto"/>
        </w:rPr>
        <w:t>, 2017, unless extended by the Company.</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Persons who are beneficial owners of Original Notes but are not registered holders and who wish to tender such Original Notes should contact the registered holder of such Original Notes and instruct such registered holder to tender such Original Notes on such beneficial owner’s behalf.</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MUST BE PROVIDED BELOW.</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undersigned hereby tenders for exchange the Original Notes described in the box entitled “Description of Original Notes Tendered” below pursuant to the terms and conditions described in the Prospectus and this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54875" cy="1844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ORIGINAL NOTES TENDERED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Borders>
              <w:top w:val="single" w:sz="8" w:color="auto"/>
            </w:tcBorders>
          </w:tcPr>
          <w:p>
            <w:pPr>
              <w:spacing w:after="0"/>
              <w:rPr>
                <w:sz w:val="20"/>
                <w:szCs w:val="20"/>
                <w:color w:val="auto"/>
              </w:rPr>
            </w:pPr>
          </w:p>
        </w:tc>
        <w:tc>
          <w:tcPr>
            <w:tcW w:w="412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(1)</w:t>
            </w:r>
          </w:p>
        </w:tc>
        <w:tc>
          <w:tcPr>
            <w:tcW w:w="3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1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Name and Address of</w:t>
            </w:r>
          </w:p>
        </w:tc>
        <w:tc>
          <w:tcPr>
            <w:tcW w:w="3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Certificate Number(s)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 of</w:t>
            </w:r>
          </w:p>
        </w:tc>
        <w:tc>
          <w:tcPr>
            <w:tcW w:w="0" w:type="dxa"/>
            <w:vAlign w:val="bottom"/>
          </w:tcPr>
          <w:p>
            <w:pPr>
              <w:spacing w:after="0"/>
              <w:rPr>
                <w:sz w:val="1"/>
                <w:szCs w:val="1"/>
                <w:color w:val="auto"/>
              </w:rPr>
            </w:pPr>
          </w:p>
        </w:tc>
      </w:tr>
      <w:tr>
        <w:trPr>
          <w:trHeight w:val="200"/>
        </w:trPr>
        <w:tc>
          <w:tcPr>
            <w:tcW w:w="380" w:type="dxa"/>
            <w:vAlign w:val="bottom"/>
          </w:tcPr>
          <w:p>
            <w:pPr>
              <w:spacing w:after="0"/>
              <w:rPr>
                <w:sz w:val="17"/>
                <w:szCs w:val="17"/>
                <w:color w:val="auto"/>
              </w:rPr>
            </w:pPr>
          </w:p>
        </w:tc>
        <w:tc>
          <w:tcPr>
            <w:tcW w:w="4120" w:type="dxa"/>
            <w:vAlign w:val="bottom"/>
            <w:tcBorders>
              <w:right w:val="single" w:sz="8" w:color="auto"/>
            </w:tcBorders>
          </w:tcPr>
          <w:p>
            <w:pPr>
              <w:jc w:val="center"/>
              <w:ind w:right="110"/>
              <w:spacing w:after="0" w:line="200" w:lineRule="exact"/>
              <w:rPr>
                <w:sz w:val="20"/>
                <w:szCs w:val="20"/>
                <w:color w:val="auto"/>
              </w:rPr>
            </w:pPr>
            <w:r>
              <w:rPr>
                <w:rFonts w:ascii="Arial" w:cs="Arial" w:eastAsia="Arial" w:hAnsi="Arial"/>
                <w:sz w:val="18"/>
                <w:szCs w:val="18"/>
                <w:b w:val="1"/>
                <w:bCs w:val="1"/>
                <w:color w:val="auto"/>
                <w:w w:val="90"/>
              </w:rPr>
              <w:t>Registered Holder(s)</w:t>
            </w:r>
          </w:p>
        </w:tc>
        <w:tc>
          <w:tcPr>
            <w:tcW w:w="3520" w:type="dxa"/>
            <w:vAlign w:val="bottom"/>
            <w:tcBorders>
              <w:right w:val="single" w:sz="8" w:color="auto"/>
            </w:tcBorders>
            <w:vMerge w:val="continue"/>
          </w:tcPr>
          <w:p>
            <w:pPr>
              <w:spacing w:after="0"/>
              <w:rPr>
                <w:sz w:val="17"/>
                <w:szCs w:val="17"/>
                <w:color w:val="auto"/>
              </w:rPr>
            </w:pPr>
          </w:p>
        </w:tc>
        <w:tc>
          <w:tcPr>
            <w:tcW w:w="342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2"/>
              </w:rPr>
              <w:t>Original Notes</w:t>
            </w:r>
          </w:p>
        </w:tc>
        <w:tc>
          <w:tcPr>
            <w:tcW w:w="0" w:type="dxa"/>
            <w:vAlign w:val="bottom"/>
          </w:tcPr>
          <w:p>
            <w:pPr>
              <w:spacing w:after="0"/>
              <w:rPr>
                <w:sz w:val="1"/>
                <w:szCs w:val="1"/>
                <w:color w:val="auto"/>
              </w:rPr>
            </w:pPr>
          </w:p>
        </w:tc>
      </w:tr>
      <w:tr>
        <w:trPr>
          <w:trHeight w:val="292"/>
        </w:trPr>
        <w:tc>
          <w:tcPr>
            <w:tcW w:w="3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(Please Fill in, If Blank)</w:t>
            </w:r>
          </w:p>
        </w:tc>
        <w:tc>
          <w:tcPr>
            <w:tcW w:w="3520" w:type="dxa"/>
            <w:vAlign w:val="bottom"/>
            <w:tcBorders>
              <w:bottom w:val="single" w:sz="8" w:color="auto"/>
              <w:right w:val="single" w:sz="8" w:color="auto"/>
            </w:tcBorders>
          </w:tcPr>
          <w:p>
            <w:pPr>
              <w:jc w:val="center"/>
              <w:spacing w:after="0" w:line="292" w:lineRule="exact"/>
              <w:rPr>
                <w:sz w:val="20"/>
                <w:szCs w:val="20"/>
                <w:color w:val="auto"/>
              </w:rPr>
            </w:pPr>
            <w:r>
              <w:rPr>
                <w:rFonts w:ascii="Arial" w:cs="Arial" w:eastAsia="Arial" w:hAnsi="Arial"/>
                <w:sz w:val="18"/>
                <w:szCs w:val="18"/>
                <w:b w:val="1"/>
                <w:bCs w:val="1"/>
                <w:color w:val="auto"/>
                <w:w w:val="91"/>
              </w:rPr>
              <w:t>of Original Notes</w:t>
            </w:r>
            <w:r>
              <w:rPr>
                <w:rFonts w:ascii="Arial" w:cs="Arial" w:eastAsia="Arial" w:hAnsi="Arial"/>
                <w:sz w:val="28"/>
                <w:szCs w:val="28"/>
                <w:b w:val="1"/>
                <w:bCs w:val="1"/>
                <w:color w:val="auto"/>
                <w:w w:val="91"/>
                <w:vertAlign w:val="superscript"/>
              </w:rPr>
              <w:t>*</w:t>
            </w:r>
          </w:p>
        </w:tc>
        <w:tc>
          <w:tcPr>
            <w:tcW w:w="3420" w:type="dxa"/>
            <w:vAlign w:val="bottom"/>
            <w:tcBorders>
              <w:bottom w:val="single" w:sz="8" w:color="auto"/>
            </w:tcBorders>
          </w:tcPr>
          <w:p>
            <w:pPr>
              <w:jc w:val="center"/>
              <w:spacing w:after="0" w:line="292" w:lineRule="exact"/>
              <w:rPr>
                <w:sz w:val="20"/>
                <w:szCs w:val="20"/>
                <w:color w:val="auto"/>
              </w:rPr>
            </w:pPr>
            <w:r>
              <w:rPr>
                <w:rFonts w:ascii="Arial" w:cs="Arial" w:eastAsia="Arial" w:hAnsi="Arial"/>
                <w:sz w:val="18"/>
                <w:szCs w:val="18"/>
                <w:b w:val="1"/>
                <w:bCs w:val="1"/>
                <w:color w:val="auto"/>
                <w:w w:val="90"/>
              </w:rPr>
              <w:t>Tendered for Exchange</w:t>
            </w:r>
            <w:r>
              <w:rPr>
                <w:rFonts w:ascii="Arial" w:cs="Arial" w:eastAsia="Arial" w:hAnsi="Arial"/>
                <w:sz w:val="28"/>
                <w:szCs w:val="28"/>
                <w:b w:val="1"/>
                <w:bCs w:val="1"/>
                <w:color w:val="auto"/>
                <w:w w:val="90"/>
                <w:vertAlign w:val="superscript"/>
              </w:rPr>
              <w:t>**</w:t>
            </w:r>
          </w:p>
        </w:tc>
        <w:tc>
          <w:tcPr>
            <w:tcW w:w="0" w:type="dxa"/>
            <w:vAlign w:val="bottom"/>
          </w:tcPr>
          <w:p>
            <w:pPr>
              <w:spacing w:after="0"/>
              <w:rPr>
                <w:sz w:val="1"/>
                <w:szCs w:val="1"/>
                <w:color w:val="auto"/>
              </w:rPr>
            </w:pPr>
          </w:p>
        </w:tc>
      </w:tr>
      <w:tr>
        <w:trPr>
          <w:trHeight w:val="588"/>
        </w:trPr>
        <w:tc>
          <w:tcPr>
            <w:tcW w:w="380" w:type="dxa"/>
            <w:vAlign w:val="bottom"/>
            <w:tcBorders>
              <w:bottom w:val="single" w:sz="8" w:color="auto"/>
            </w:tcBorders>
          </w:tcPr>
          <w:p>
            <w:pPr>
              <w:spacing w:after="0"/>
              <w:rPr>
                <w:sz w:val="24"/>
                <w:szCs w:val="24"/>
                <w:color w:val="auto"/>
              </w:rPr>
            </w:pPr>
          </w:p>
        </w:tc>
        <w:tc>
          <w:tcPr>
            <w:tcW w:w="4120" w:type="dxa"/>
            <w:vAlign w:val="bottom"/>
            <w:tcBorders>
              <w:bottom w:val="single" w:sz="8" w:color="auto"/>
              <w:right w:val="single" w:sz="8" w:color="auto"/>
            </w:tcBorders>
          </w:tcPr>
          <w:p>
            <w:pPr>
              <w:spacing w:after="0"/>
              <w:rPr>
                <w:sz w:val="24"/>
                <w:szCs w:val="24"/>
                <w:color w:val="auto"/>
              </w:rPr>
            </w:pPr>
          </w:p>
        </w:tc>
        <w:tc>
          <w:tcPr>
            <w:tcW w:w="35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Need not be completed if Original Notes are being delivered by book-entry transfer.</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right="340" w:hanging="431"/>
        <w:spacing w:after="0" w:line="264" w:lineRule="auto"/>
        <w:tabs>
          <w:tab w:leader="none" w:pos="520" w:val="left"/>
        </w:tabs>
        <w:rPr>
          <w:sz w:val="20"/>
          <w:szCs w:val="20"/>
          <w:color w:val="auto"/>
        </w:rPr>
      </w:pPr>
      <w:r>
        <w:rPr>
          <w:rFonts w:ascii="Arial" w:cs="Arial" w:eastAsia="Arial" w:hAnsi="Arial"/>
          <w:sz w:val="18"/>
          <w:szCs w:val="18"/>
          <w:color w:val="auto"/>
        </w:rPr>
        <w:t>**</w:t>
        <w:tab/>
        <w:t>Original Notes may be tendered in whole or in part. However, if a holder tenders less than all of its Original Notes, such holder may tender its Original Notes only in minimum denominations of $2,000 and integral multiples of $1,000 in excess thereof. If this column is left blank, it will be assumed that the holder is tendering ALL of such holder’s Original Notes.</w:t>
      </w:r>
    </w:p>
    <w:p>
      <w:pPr>
        <w:spacing w:after="0" w:line="343" w:lineRule="exact"/>
        <w:rPr>
          <w:sz w:val="20"/>
          <w:szCs w:val="20"/>
          <w:color w:val="auto"/>
        </w:rPr>
      </w:pPr>
    </w:p>
    <w:p>
      <w:pPr>
        <w:ind w:left="500" w:hanging="357"/>
        <w:spacing w:after="0"/>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CHECK HERE IF CERTIFICATES FOR TENDERED ORIGINAL NOTES ARE ENCLOSED HEREWITH.</w:t>
      </w:r>
    </w:p>
    <w:p>
      <w:pPr>
        <w:spacing w:after="0" w:line="360" w:lineRule="exact"/>
        <w:rPr>
          <w:rFonts w:ascii="Arial" w:cs="Arial" w:eastAsia="Arial" w:hAnsi="Arial"/>
          <w:sz w:val="18"/>
          <w:szCs w:val="18"/>
          <w:color w:val="auto"/>
        </w:rPr>
      </w:pPr>
    </w:p>
    <w:p>
      <w:pPr>
        <w:ind w:left="500" w:right="280" w:hanging="357"/>
        <w:spacing w:after="0" w:line="308" w:lineRule="auto"/>
        <w:tabs>
          <w:tab w:leader="none" w:pos="5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CHECK HERE IF TENDERED ORIGINAL NOTES ARE BEING DELIVERED BY BOOK-ENTRY TRANSFER MADE TO THE EXCHANGE AGENT’S ACCOUNT WITH DTC AND COMPLETE THE FOLLOWING (FOR USE BY ELIGIBLE INSTITUTIONS ONLY):</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220980</wp:posOffset>
            </wp:positionV>
            <wp:extent cx="4845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tabs>
          <w:tab w:leader="none" w:pos="5840" w:val="left"/>
        </w:tabs>
        <w:rPr>
          <w:sz w:val="20"/>
          <w:szCs w:val="20"/>
          <w:color w:val="auto"/>
        </w:rPr>
      </w:pPr>
      <w:r>
        <w:rPr>
          <w:rFonts w:ascii="Arial" w:cs="Arial" w:eastAsia="Arial" w:hAnsi="Arial"/>
          <w:sz w:val="18"/>
          <w:szCs w:val="18"/>
          <w:color w:val="auto"/>
        </w:rPr>
        <w:t>DTC Account Number:</w:t>
      </w:r>
      <w:r>
        <w:rPr>
          <w:sz w:val="20"/>
          <w:szCs w:val="20"/>
          <w:color w:val="auto"/>
        </w:rPr>
        <w:tab/>
      </w:r>
      <w:r>
        <w:rPr>
          <w:rFonts w:ascii="Arial" w:cs="Arial" w:eastAsia="Arial" w:hAnsi="Arial"/>
          <w:sz w:val="16"/>
          <w:szCs w:val="16"/>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5428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i w:val="1"/>
          <w:iCs w:val="1"/>
          <w:color w:val="auto"/>
        </w:rPr>
        <w:t>By crediting Original Notes to the Exchange Agent’s account at DTC in accordance with ATOP and by complying with applicable ATOP procedures with respect to the Exchange Offer, including transmitting an Agent’s Message to the Exchange Agent, the ATOP participant confirms on behalf of itself and the beneficial owner of such Original Notes all provisions of this Letter of Transmittal applicable to it and such beneficial owner as if it had completed the information required herein and executed and delivered this Letter of Transmittal to the Exchange Agent.</w:t>
      </w:r>
    </w:p>
    <w:p>
      <w:pPr>
        <w:sectPr>
          <w:pgSz w:w="11900" w:h="16838" w:orient="portrait"/>
          <w:cols w:equalWidth="0" w:num="1">
            <w:col w:w="11440"/>
          </w:cols>
          <w:pgMar w:left="240" w:top="368" w:right="219" w:bottom="1440" w:gutter="0" w:footer="0" w:header="0"/>
        </w:sectPr>
      </w:pPr>
    </w:p>
    <w:bookmarkStart w:id="130" w:name="page131"/>
    <w:bookmarkEnd w:id="130"/>
    <w:p>
      <w:pPr>
        <w:ind w:left="260" w:right="340" w:hanging="225"/>
        <w:spacing w:after="0" w:line="308" w:lineRule="auto"/>
        <w:tabs>
          <w:tab w:leader="none" w:pos="2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CHECK HERE IF TENDERED ORIGINAL NOTES ARE BEING DELIVERED PURSUANT TO A NOTICE OF GUARANTEED DELIVERY PREVIOUSLY SENT TO THE EXCHANGE AGENT AND COMPLETE THE FOLLOWING (FOR USE BY ELIGIBLE INSTITUTIONS ONLY):</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Name(s) of Registered Holder(s):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Window Ticket Number (if any):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Date of Execution of Notice of Guaranteed Delivery: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Name of Institution that Guaranteed Delivery: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Account Number (if delivered by book-entry transfer):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260" w:right="380" w:hanging="225"/>
        <w:spacing w:after="0" w:line="277" w:lineRule="auto"/>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CHECK HERE AND COMPLETE THE FOLLOWING IF YOU ARE A BROKER-DEALER AND WISH TO RECEIVE TEN (10) ADDITIONAL COPIES OF THE PROSPECTUS AND TEN (10) COPIES OF ANY AMENDMENTS OR SUPPLEMENTS THERETO.</w:t>
      </w:r>
    </w:p>
    <w:p>
      <w:pPr>
        <w:spacing w:after="0" w:line="30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803910</wp:posOffset>
            </wp:positionV>
            <wp:extent cx="6371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417830</wp:posOffset>
            </wp:positionV>
            <wp:extent cx="63715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31750</wp:posOffset>
            </wp:positionV>
            <wp:extent cx="6371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-335915</wp:posOffset>
            </wp:positionV>
            <wp:extent cx="6371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-721995</wp:posOffset>
            </wp:positionV>
            <wp:extent cx="6371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-1776730</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-2334260</wp:posOffset>
            </wp:positionV>
            <wp:extent cx="4124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-2891790</wp:posOffset>
            </wp:positionV>
            <wp:extent cx="3687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-3449320</wp:posOffset>
            </wp:positionV>
            <wp:extent cx="41249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-4006850</wp:posOffset>
            </wp:positionV>
            <wp:extent cx="4124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the terms and conditions of the Exchange Offer, the undersigned hereby tenders for exchange the principal amount of Original Notes indicated above. Subject to, and effective upon, the Company’s acceptance for exchange of the Original Notes tendered hereby, the undersigned hereby exchanges, assigns and transfers to or upon the order of the Company all right, title and interest in and to the principal amount of Original Notes indicated above. The undersigned hereby irrevocably constitutes and appoints the Exchange Agent as its true and lawful agent and attorney-in-fact (with full knowledge that the Exchange Agent is also acting as agent of the Company in connection with the Exchange Offer) with respect to the tendered Original Notes, with full power of substitution and resubstitution (such power of attorney being deemed to be an irrevocable power coupled with an interest), subject only to the right of withdrawal described in the Prospectus, to:</w:t>
      </w:r>
    </w:p>
    <w:p>
      <w:pPr>
        <w:spacing w:after="0" w:line="189" w:lineRule="exact"/>
        <w:rPr>
          <w:sz w:val="20"/>
          <w:szCs w:val="20"/>
          <w:color w:val="auto"/>
        </w:rPr>
      </w:pPr>
    </w:p>
    <w:p>
      <w:pPr>
        <w:ind w:left="660" w:right="220" w:hanging="328"/>
        <w:spacing w:after="0" w:line="286"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deliver certificates representing such Original Notes, or transfer ownership of such Original Notes on the account books maintained by DTC, together, in each such case, with all accompanying evidences of transfer and authenticity to or upon the order of the Company, upon receipt by the Exchange Agent, as the undersigned’s agent, of the Exchange Notes to be issued in exchange for such Original Notes;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present and deliver such Original Notes for transfer on the books of the Company;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receive for the account of the Company all benefits and otherwise exercise all rights and incidents of beneficial ownership of such Original Notes, all in accordance with the terms and conditions of the Exchange Offer.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undersigned represents and warrants that it has full power and authority to tender, exchange, assign and transfer the Original Notes tendered hereby and to acquire the Exchange Notes issuable upon the exchange of such tendered Original Notes, and that, if, as,</w:t>
      </w:r>
    </w:p>
    <w:p>
      <w:pPr>
        <w:sectPr>
          <w:pgSz w:w="11900" w:h="16838" w:orient="portrait"/>
          <w:cols w:equalWidth="0" w:num="1">
            <w:col w:w="11400"/>
          </w:cols>
          <w:pgMar w:left="240" w:top="530" w:right="259" w:bottom="1440" w:gutter="0" w:footer="0" w:header="0"/>
        </w:sectPr>
      </w:pPr>
    </w:p>
    <w:bookmarkStart w:id="131" w:name="page132"/>
    <w:bookmarkEnd w:id="131"/>
    <w:p>
      <w:pPr>
        <w:ind w:right="60"/>
        <w:spacing w:after="0" w:line="273" w:lineRule="auto"/>
        <w:rPr>
          <w:sz w:val="20"/>
          <w:szCs w:val="20"/>
          <w:color w:val="auto"/>
        </w:rPr>
      </w:pPr>
      <w:r>
        <w:rPr>
          <w:rFonts w:ascii="Arial" w:cs="Arial" w:eastAsia="Arial" w:hAnsi="Arial"/>
          <w:sz w:val="17"/>
          <w:szCs w:val="17"/>
          <w:color w:val="auto"/>
        </w:rPr>
        <w:t>and when the Original Notes are accepted for exchange, the Company will acquire good, marketable and unencumbered title to the tendered Original Notes, free and clear of all liens, restrictions, charges and encumbrances and not subject to any adverse claims or proxies. The undersigned will, upon request, execute and deliver any additional documents deemed by the Company or the Exchange Agent to be necessary or desirable to complete the tender, exchange, assignment and transfer of the tendered Original Notes or transfer ownership of such Original Notes on the account books maintained by DTC, and the undersigned will comply with its obligations under the registration rights agreement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dated as of December 15, 2016, among the Company, the guarantors named therein and the initial purchasers named therein.</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also acknowledges that the Exchange Offer is being made by the Company in reliance on interpretations by the staff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contained in several no-action letters issued to third parties. Based on such interpretations, the Company believes that the Exchange Notes may be offered for resale, resold or otherwise transferred by holders thereof without compliance with the registration and prospectus delivery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assuming the truth of the representations required to be made by the holders of the Original Notes to the Company pursuant to this Letter of Transmittal. However, the Company has not requested, and does not intend to request, that the SEC consider the Exchange Offer in the context of a no-action letter and, therefore, the Company cannot assure holders that the staff of the SEC would make a similar determination with respect to the Exchange Offer. The undersigned acknowledges that, if the interpretation of the Company of the above mentioned no-action letters is not accurate, the undersigned may be held liable for any offers, resales or transfers of the Exchange Notes that are in violation of the registration or prospectus delivery requirements of the Securities Act. The undersigned further acknowledges that neither the Company nor the Exchange Agent will assume or indemnify any holder for any such liability under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represents and agrees that:</w:t>
      </w:r>
    </w:p>
    <w:p>
      <w:pPr>
        <w:spacing w:after="0" w:line="225"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has no arrangement or understanding with any person to participate, the undersigned is not participating, and the undersigned does not intend to participate, in the distribution of the Exchange Notes (within the meaning of the Securities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170" w:lineRule="exact"/>
        <w:rPr>
          <w:rFonts w:ascii="Arial" w:cs="Arial" w:eastAsia="Arial" w:hAnsi="Arial"/>
          <w:sz w:val="18"/>
          <w:szCs w:val="18"/>
          <w:color w:val="auto"/>
        </w:rPr>
      </w:pPr>
    </w:p>
    <w:p>
      <w:pPr>
        <w:ind w:left="660" w:right="360" w:hanging="328"/>
        <w:spacing w:after="0" w:line="302"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representing and by delivering a prospectus, the undersigned will not be deemed to admit that it is an “underwriter” within the meaning of the Securities Act).</w:t>
      </w:r>
    </w:p>
    <w:p>
      <w:pPr>
        <w:spacing w:after="0" w:line="1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undersigned further represents and agrees that any holder of Original Notes who does not meet these requirements and is unable to make such representations:</w:t>
      </w:r>
    </w:p>
    <w:p>
      <w:pPr>
        <w:spacing w:after="0" w:line="170"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the no-action letters referred to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All authority herein conferred or agreed to be conferred pursuant to this Letter of Transmittal and every obligation of the undersigned hereunder shall be binding upon the successors, assigns, heirs, executors, administrators, trustees in bankruptcy and personal and legal representatives of the undersigned and shall not be affected by, and shall survive, the death or incapacity of the undersigned.</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Exchange Offer is subject to certain conditions, some of which may be waived by the Company, in whole or in part, at any time and from time to time at or prior to the Expiration Time, as described in the Prospectus under the caption “The Exchange Offer—Conditions to the Exchange Offer.” The undersigned recognizes that, as a result of such conditions, the Company may not be required to accept for exchange any Original Notes and the Company may amend, extend or terminate the Exchange Offer, by oral or written notice to the Exchange Agent and by notice to the registered holders of the Original Notes, if the conditions to the Exchange Offer have not been satisfied or waived at the then scheduled Expiration Time. All tendering holders, by execution of this Letter of Transmittal, waive any right to receive any notice of the acceptance or rejection of their Original Notes for exchange.</w:t>
      </w:r>
    </w:p>
    <w:p>
      <w:pPr>
        <w:sectPr>
          <w:pgSz w:w="11900" w:h="16838" w:orient="portrait"/>
          <w:cols w:equalWidth="0" w:num="1">
            <w:col w:w="11400"/>
          </w:cols>
          <w:pgMar w:left="240" w:top="368" w:right="259" w:bottom="1440" w:gutter="0" w:footer="0" w:header="0"/>
        </w:sectPr>
      </w:pPr>
    </w:p>
    <w:bookmarkStart w:id="132" w:name="page133"/>
    <w:bookmarkEnd w:id="132"/>
    <w:p>
      <w:pPr>
        <w:ind w:right="20"/>
        <w:spacing w:after="0" w:line="259" w:lineRule="auto"/>
        <w:rPr>
          <w:sz w:val="20"/>
          <w:szCs w:val="20"/>
          <w:color w:val="auto"/>
        </w:rPr>
      </w:pPr>
      <w:r>
        <w:rPr>
          <w:rFonts w:ascii="Arial" w:cs="Arial" w:eastAsia="Arial" w:hAnsi="Arial"/>
          <w:sz w:val="18"/>
          <w:szCs w:val="18"/>
          <w:color w:val="auto"/>
        </w:rPr>
        <w:t>The undersigned agrees that the acceptance of any tendered Original Notes by the Company and the issuance of Exchange Notes in exchange therefor shall constitute performance in full by the Company of its obligations under the Registration Rights Agreement and that, upon issuance of the Exchange Notes, the Company generally will have no further obligations or liabilities thereunder, subject only to limited exceptions applicable to persons to whom the Exchange Offer is not available or as otherwise provided in the Registration Rights Agreement.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Unless otherwise indicated under “Special Issuance Instructions” below, please issue any certificates representing Exchange Notes issued in exchange for Original Notes and return any certificates representing Original Notes not tendered or accepted for exchange in the name of the holder appearing under “Description of Original Notes Tendered” above. Similarly, unless otherwise indicated under “Special Delivery Instructions” below, please mail any certificates representing Exchange Notes issued in exchange for Original Notes and any certificates representing Original Notes not tendered or accepted for exchange to the address of such holder appearing under “Description of Original Notes Tendered” above. In the event that both the “Special Issuance Instructions” and the “Special Delivery Instructions” are completed, please issue any certificates representing the Exchange Notes issued in exchange for the Original Notes in the name of, and return any Original Notes not tendered or accepted for exchange to, the person as so indicated. Unless otherwise indicated under “Special Issuance Instructions” below, in the case of a book-entry transfer of Original Notes, please credit the account of the undersigned maintained at DTC appearing under “Description of Original Notes Tendered” above with any Exchange Notes issued in exchange for Original Notes or any Original Notes not accepted for exchange.</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undersigned recognizes that the Company has no obligation pursuant to the special issuance instructions below to transfer any Original Notes from the name of the registered holder thereof if the Company does not accept for exchange the Original Notes so tendered or if the Company determines that such transfer would not be in compliance with any transfer restrictions applicable to such Original Notes.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ISSUANCE INSTRUCTIONS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be completed ONLY if (i) certificates for Exchange Notes issued for Original Notes or certificates for Original Notes not tendered or accepted for exchange are to be issued in the name of someone other than the undersigned or (ii) Original Notes tendered by book-entry transfer that are not accepted for exchange are to be returned by crediting an account maintained at DTC other than the account indicated above under “Description of Original Notes Tendered.”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 to:</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31750</wp:posOffset>
            </wp:positionV>
            <wp:extent cx="5325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58"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(Please Print)</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803910</wp:posOffset>
            </wp:positionV>
            <wp:extent cx="5325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417830</wp:posOffset>
            </wp:positionV>
            <wp:extent cx="5325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2574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31750</wp:posOffset>
            </wp:positionV>
            <wp:extent cx="5325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240030</wp:posOffset>
            </wp:positionV>
            <wp:extent cx="5325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Credit Original Notes not exchanged by book-entry transfer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409575</wp:posOffset>
            </wp:positionV>
            <wp:extent cx="5325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(DTC Account Number)</w:t>
      </w:r>
    </w:p>
    <w:p>
      <w:pPr>
        <w:sectPr>
          <w:pgSz w:w="11900" w:h="16838" w:orient="portrait"/>
          <w:cols w:equalWidth="0" w:num="1">
            <w:col w:w="11380"/>
          </w:cols>
          <w:pgMar w:left="240" w:top="368" w:right="279" w:bottom="1440" w:gutter="0" w:footer="0" w:header="0"/>
        </w:sectPr>
      </w:pPr>
    </w:p>
    <w:bookmarkStart w:id="133" w:name="page134"/>
    <w:bookmarkEnd w:id="133"/>
    <w:p>
      <w:pPr>
        <w:jc w:val="center"/>
        <w:ind w:right="-59"/>
        <w:spacing w:after="0"/>
        <w:rPr>
          <w:sz w:val="20"/>
          <w:szCs w:val="20"/>
          <w:color w:val="auto"/>
        </w:rPr>
      </w:pPr>
      <w:r>
        <w:rPr>
          <w:rFonts w:ascii="Arial" w:cs="Arial" w:eastAsia="Arial" w:hAnsi="Arial"/>
          <w:sz w:val="18"/>
          <w:szCs w:val="18"/>
          <w:b w:val="1"/>
          <w:bCs w:val="1"/>
          <w:color w:val="auto"/>
        </w:rPr>
        <w:t>SPECIAL DELIVERY INSTRUCTIONS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INSTRUCTIONS 1, 6, 7 AND 8 BELOW)</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To be completed ONLY if certificates for Exchange Notes issued for Original Notes or certificates for Original Notes not tendered or accepted for exchange are to be sent (i) to someone other than the undersigned or (ii) to the undersigned at an address other than that shown above under “Description of Original Notes Tendered.”</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Mail to:</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462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58"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(Please Print)</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803910</wp:posOffset>
            </wp:positionV>
            <wp:extent cx="5462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417830</wp:posOffset>
            </wp:positionV>
            <wp:extent cx="5462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31750</wp:posOffset>
            </wp:positionV>
            <wp:extent cx="5462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240030</wp:posOffset>
            </wp:positionV>
            <wp:extent cx="5462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(See Substitute Form W-9 herein or IRS Form W-8)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 HERE TO TENDER YOUR ORIGINAL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506095</wp:posOffset>
            </wp:positionV>
            <wp:extent cx="5462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(Signature of each registered holder of Original Notes*)</w:t>
      </w:r>
    </w:p>
    <w:p>
      <w:pPr>
        <w:spacing w:after="0" w:line="360"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-10160</wp:posOffset>
            </wp:positionV>
            <wp:extent cx="10572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31750</wp:posOffset>
            </wp:positionV>
            <wp:extent cx="56597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31750</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6440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64401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31750</wp:posOffset>
            </wp:positionV>
            <wp:extent cx="5591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31750</wp:posOffset>
            </wp:positionV>
            <wp:extent cx="50171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32156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6" w:lineRule="exact"/>
        <w:rPr>
          <w:sz w:val="20"/>
          <w:szCs w:val="20"/>
          <w:color w:val="auto"/>
        </w:rPr>
      </w:pPr>
    </w:p>
    <w:p>
      <w:pPr>
        <w:ind w:left="340" w:hanging="332"/>
        <w:spacing w:after="0" w:line="291" w:lineRule="auto"/>
        <w:tabs>
          <w:tab w:leader="none" w:pos="34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Must be signed by each registered holder of Original Notes exactly as such holder’s name appears on certificate(s) representing the Original Notes or on a security position listing, or by each person authorized to become a registered holder by endorsements and documents transmitted herewith.</w:t>
      </w:r>
    </w:p>
    <w:p>
      <w:pPr>
        <w:ind w:left="340" w:right="660" w:hanging="332"/>
        <w:spacing w:after="0" w:line="261" w:lineRule="auto"/>
        <w:tabs>
          <w:tab w:leader="none" w:pos="340"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 See Instruction 6 below.</w:t>
      </w:r>
    </w:p>
    <w:p>
      <w:pPr>
        <w:sectPr>
          <w:pgSz w:w="11900" w:h="16838" w:orient="portrait"/>
          <w:cols w:equalWidth="0" w:num="1">
            <w:col w:w="11380"/>
          </w:cols>
          <w:pgMar w:left="240" w:top="364" w:right="279" w:bottom="1440" w:gutter="0" w:footer="0" w:header="0"/>
        </w:sectPr>
      </w:pPr>
    </w:p>
    <w:bookmarkStart w:id="134" w:name="page135"/>
    <w:bookmarkEnd w:id="134"/>
    <w:p>
      <w:pPr>
        <w:jc w:val="center"/>
        <w:ind w:right="-1160"/>
        <w:spacing w:after="0"/>
        <w:rPr>
          <w:sz w:val="20"/>
          <w:szCs w:val="20"/>
          <w:color w:val="auto"/>
        </w:rPr>
      </w:pPr>
      <w:r>
        <w:rPr>
          <w:rFonts w:ascii="Arial" w:cs="Arial" w:eastAsia="Arial" w:hAnsi="Arial"/>
          <w:sz w:val="18"/>
          <w:szCs w:val="18"/>
          <w:b w:val="1"/>
          <w:bCs w:val="1"/>
          <w:color w:val="auto"/>
        </w:rPr>
        <w:t>GUARANTEE OF SIGNATURE</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(If required—see Instructions 1 and 6 below)</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9136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58146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58146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31750</wp:posOffset>
            </wp:positionV>
            <wp:extent cx="5360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786765</wp:posOffset>
            </wp:positionV>
            <wp:extent cx="58832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832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409575</wp:posOffset>
            </wp:positionV>
            <wp:extent cx="58832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8327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31750</wp:posOffset>
            </wp:positionV>
            <wp:extent cx="58832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83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31750</wp:posOffset>
            </wp:positionV>
            <wp:extent cx="5171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0572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201" w:lineRule="exact"/>
        <w:rPr>
          <w:sz w:val="20"/>
          <w:szCs w:val="20"/>
          <w:color w:val="auto"/>
        </w:rPr>
      </w:pPr>
    </w:p>
    <w:p>
      <w:pPr>
        <w:jc w:val="right"/>
        <w:ind w:right="1299"/>
        <w:spacing w:after="0"/>
        <w:rPr>
          <w:sz w:val="20"/>
          <w:szCs w:val="20"/>
          <w:color w:val="auto"/>
        </w:rPr>
      </w:pPr>
      <w:r>
        <w:rPr>
          <w:rFonts w:ascii="Arial" w:cs="Arial" w:eastAsia="Arial" w:hAnsi="Arial"/>
          <w:sz w:val="18"/>
          <w:szCs w:val="18"/>
          <w:b w:val="1"/>
          <w:bCs w:val="1"/>
          <w:color w:val="auto"/>
        </w:rPr>
        <w:t>IMPORTANT: COMPLETE AND SIGN THE SUBSTITUTE FORM W-9 BELOW</w:t>
      </w:r>
    </w:p>
    <w:p>
      <w:pPr>
        <w:sectPr>
          <w:pgSz w:w="11900" w:h="16838" w:orient="portrait"/>
          <w:cols w:equalWidth="0" w:num="1">
            <w:col w:w="10179"/>
          </w:cols>
          <w:pgMar w:left="280" w:top="364"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11"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Guarantee of Signatures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Signatures on this Letter of Transmittal need not be guaranteed if the Original Notes tendered hereby are tendered:</w:t>
      </w:r>
    </w:p>
    <w:p>
      <w:pPr>
        <w:spacing w:after="0" w:line="236" w:lineRule="exact"/>
        <w:rPr>
          <w:rFonts w:ascii="Arial" w:cs="Arial" w:eastAsia="Arial" w:hAnsi="Arial"/>
          <w:sz w:val="17"/>
          <w:szCs w:val="17"/>
          <w:b w:val="1"/>
          <w:bCs w:val="1"/>
          <w:color w:val="auto"/>
        </w:rPr>
      </w:pPr>
    </w:p>
    <w:p>
      <w:pPr>
        <w:ind w:left="660" w:right="20" w:hanging="328"/>
        <w:spacing w:after="0" w:line="264" w:lineRule="auto"/>
        <w:tabs>
          <w:tab w:leader="none" w:pos="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by the registered holder of the Original Notes (which term shall include any participant in DTC’s system whose name appears on the relevant security position listing as the owner of the Original Notes), unless such holder has completed the box entitled “Special Issuance Instructions” and/or the box entitled “Special Delivery Instructions” above; or</w:t>
      </w:r>
    </w:p>
    <w:p>
      <w:pPr>
        <w:spacing w:after="0" w:line="181" w:lineRule="exact"/>
        <w:rPr>
          <w:rFonts w:ascii="Arial" w:cs="Arial" w:eastAsia="Arial" w:hAnsi="Arial"/>
          <w:sz w:val="18"/>
          <w:szCs w:val="18"/>
          <w:color w:val="auto"/>
        </w:rPr>
      </w:pPr>
    </w:p>
    <w:p>
      <w:pPr>
        <w:ind w:left="660" w:right="140" w:hanging="328"/>
        <w:spacing w:after="0" w:line="279" w:lineRule="auto"/>
        <w:tabs>
          <w:tab w:leader="none" w:pos="6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for the account of an Eligible Institution. The term “</w:t>
      </w:r>
      <w:r>
        <w:rPr>
          <w:rFonts w:ascii="Arial" w:cs="Arial" w:eastAsia="Arial" w:hAnsi="Arial"/>
          <w:sz w:val="17"/>
          <w:szCs w:val="17"/>
          <w:b w:val="1"/>
          <w:bCs w:val="1"/>
          <w:i w:val="1"/>
          <w:iCs w:val="1"/>
          <w:color w:val="auto"/>
        </w:rPr>
        <w:t>Eligible Institution</w:t>
      </w:r>
      <w:r>
        <w:rPr>
          <w:rFonts w:ascii="Arial" w:cs="Arial" w:eastAsia="Arial" w:hAnsi="Arial"/>
          <w:sz w:val="17"/>
          <w:szCs w:val="17"/>
          <w:color w:val="auto"/>
        </w:rPr>
        <w:t>” means an institution that is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all other cases, all signatures on this Letter of Transmittal must be guaranteed by an Eligible Institution.</w:t>
      </w:r>
    </w:p>
    <w:p>
      <w:pPr>
        <w:spacing w:after="0" w:line="225" w:lineRule="exact"/>
        <w:rPr>
          <w:sz w:val="20"/>
          <w:szCs w:val="20"/>
          <w:color w:val="auto"/>
        </w:rPr>
      </w:pPr>
    </w:p>
    <w:p>
      <w:pPr>
        <w:ind w:right="60" w:firstLine="8"/>
        <w:spacing w:after="0" w:line="288" w:lineRule="auto"/>
        <w:tabs>
          <w:tab w:leader="none" w:pos="315"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this Letter of Transmittal and Certificates for Original Notes or Book-Entry Confirmations; Guaranteed Delivery Procedures</w:t>
      </w:r>
      <w:r>
        <w:rPr>
          <w:rFonts w:ascii="Arial" w:cs="Arial" w:eastAsia="Arial" w:hAnsi="Arial"/>
          <w:sz w:val="16"/>
          <w:szCs w:val="16"/>
          <w:color w:val="auto"/>
        </w:rPr>
        <w:t>. In order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holder of Original Notes to tender all or any portion of such holder’s Original Notes, (i) the Exchange Agent must receive, at or prior to the Expiration Time, (a) a validly completed and duly executed Letter of Transmittal or, if tendering by book-entry transfer, an Agent’s Message with respect to such holder,</w:t>
      </w:r>
    </w:p>
    <w:p>
      <w:pPr>
        <w:ind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 the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tendering holder must comply with the guaranteed delivery procedures described below.</w:t>
      </w:r>
    </w:p>
    <w:p>
      <w:pPr>
        <w:spacing w:after="0" w:line="19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method of delivery to the Exchange Agent of this Letter of Transmittal, any Original Notes and all other required documents is at the election and sole risk of the tendering holder. It is recommended that holders use an overnight or hand delivery service. If such delivery is by mail, it is recommended that holders use properly insured registered mail, return receipt requested. In all cases, delivery should be made sufficiently in advance of the Expiration Time to permit receipt of such documents by the Exchange Agent at or prior to the Expiration Time. Except as otherwise provided in this Letter of Transmittal, delivery will be deemed made when actually received or confirmed by the Exchange Agent. This Letter of Transmittal and any Original Notes tendered for exchange should be sent only to the Exchange Agent, not to the Company or DTC.</w:t>
      </w:r>
    </w:p>
    <w:p>
      <w:pPr>
        <w:spacing w:after="0" w:line="17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If holders desire to tender Original Notes for exchange pursuant to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such holder may effect a tender of Original Notes in accordance with the guaranteed delivery procedures set forth in the Prospectus under the caption “The Exchange Offer—Guaranteed Delivery Procedures.” Pursuant to the guaranteed delivery procedures:</w:t>
      </w:r>
    </w:p>
    <w:p>
      <w:pPr>
        <w:spacing w:after="0" w:line="188"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such tender must be made by or through an Eligible Institution;</w:t>
      </w:r>
    </w:p>
    <w:p>
      <w:pPr>
        <w:spacing w:after="0" w:line="225"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must receive from an Eligible Institution a validly completed and duly executed Notice of Guaranteed Delivery, substantially in the form accompanying this Letter of Transmittal, setting forth the name and address of the holder of the Original Notes being tendered and the amount of the Original Notes being tendered. The Notice of Guaranteed Delivery must state that the tender is being made and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will be transmitted to the Exchange Agent; and</w:t>
      </w:r>
    </w:p>
    <w:p>
      <w:pPr>
        <w:spacing w:after="0" w:line="189"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Exchange Agent must receive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within three business days after the Expiration Time.</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Each tendering holder, by execution of this Letter of Transmittal, waives any right to receive any notice of the acceptance or rejection of such holder’s Original Notes for exchange.</w:t>
      </w:r>
    </w:p>
    <w:p>
      <w:pPr>
        <w:spacing w:after="0" w:line="170" w:lineRule="exact"/>
        <w:rPr>
          <w:sz w:val="20"/>
          <w:szCs w:val="20"/>
          <w:color w:val="auto"/>
        </w:rPr>
      </w:pPr>
    </w:p>
    <w:p>
      <w:pPr>
        <w:ind w:right="320" w:firstLine="8"/>
        <w:spacing w:after="0" w:line="277" w:lineRule="auto"/>
        <w:tabs>
          <w:tab w:leader="none" w:pos="315"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Inadequate Space</w:t>
      </w:r>
      <w:r>
        <w:rPr>
          <w:rFonts w:ascii="Arial" w:cs="Arial" w:eastAsia="Arial" w:hAnsi="Arial"/>
          <w:sz w:val="18"/>
          <w:szCs w:val="18"/>
          <w:color w:val="auto"/>
        </w:rPr>
        <w:t>. If the space provided in the box entitled “Description of Original Notes Tendered” is not adequate, the names and addresses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the certificate numbers of the Original Notes and/or the principal amounts of the Original</w:t>
      </w:r>
    </w:p>
    <w:p>
      <w:pPr>
        <w:sectPr>
          <w:pgSz w:w="11900" w:h="16838" w:orient="portrait"/>
          <w:cols w:equalWidth="0" w:num="1">
            <w:col w:w="11420"/>
          </w:cols>
          <w:pgMar w:left="240" w:top="364" w:right="2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auto"/>
        </w:rPr>
        <w:t>Notes tendered for exchange and any other required information should be listed on a separate signed schedule attached to this Letter of Transmittal.</w:t>
      </w:r>
    </w:p>
    <w:p>
      <w:pPr>
        <w:spacing w:after="0" w:line="237" w:lineRule="exact"/>
        <w:rPr>
          <w:sz w:val="20"/>
          <w:szCs w:val="20"/>
          <w:color w:val="auto"/>
        </w:rPr>
      </w:pPr>
    </w:p>
    <w:p>
      <w:pPr>
        <w:ind w:right="660" w:firstLine="8"/>
        <w:spacing w:after="0" w:line="342" w:lineRule="auto"/>
        <w:tabs>
          <w:tab w:leader="none" w:pos="315"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Withdrawal of Tenders</w:t>
      </w:r>
      <w:r>
        <w:rPr>
          <w:rFonts w:ascii="Arial" w:cs="Arial" w:eastAsia="Arial" w:hAnsi="Arial"/>
          <w:sz w:val="16"/>
          <w:szCs w:val="16"/>
          <w:color w:val="auto"/>
        </w:rPr>
        <w:t>. A tender of Original Notes may be withdrawn at any time prior to the Expiration Time by delivery of a written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withdrawal to the Exchange Agent at the address set forth on the front of this Letter of Transmittal. To be effective, a notice of withdrawal must:</w:t>
      </w:r>
    </w:p>
    <w:p>
      <w:pPr>
        <w:spacing w:after="0" w:line="123" w:lineRule="exact"/>
        <w:rPr>
          <w:rFonts w:ascii="Arial" w:cs="Arial" w:eastAsia="Arial" w:hAnsi="Arial"/>
          <w:sz w:val="16"/>
          <w:szCs w:val="16"/>
          <w:b w:val="1"/>
          <w:bCs w:val="1"/>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 received by the Exchange Agent prior to the Expiration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the book-entry transfer procedures of DTC; and</w:t>
      </w:r>
    </w:p>
    <w:p>
      <w:pPr>
        <w:spacing w:after="0" w:line="146" w:lineRule="exact"/>
        <w:rPr>
          <w:rFonts w:ascii="Arial" w:cs="Arial" w:eastAsia="Arial" w:hAnsi="Arial"/>
          <w:sz w:val="17"/>
          <w:szCs w:val="17"/>
          <w:color w:val="auto"/>
        </w:rPr>
      </w:pPr>
    </w:p>
    <w:p>
      <w:pPr>
        <w:ind w:left="660" w:right="120" w:hanging="328"/>
        <w:spacing w:after="0" w:line="308" w:lineRule="auto"/>
        <w:tabs>
          <w:tab w:leader="none" w:pos="66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withdrawing holder is an Eligible Institution.</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Agent will promptly return any validly withdrawn Original Notes following receipt of an effective notice of withdrawal. All questions as to the validity, form and eligibility (including time of receipt) of notices of withdrawal will be determined by the Company in its sole discretion, and such determination will be final and binding on all parties.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Original Notes validly withdrawn will be deemed not to have been validly tendered for exchange for purposes of the Exchange Offer, and the Company will not issue Exchange Notes with respect to such Original Notes. Any Original Notes that have been validly withdrawn will be promptly returned to the holder thereof without cost to such holder (or, in the case of Original Notes tendered by book-entry transfer into the Exchange Agent’s account at DTC, such Original Notes will be credited to an account with DTC specified by the holder). Validly withdrawn Original Notes may be re-tendered at any time at or prior to the Expiration Time by following one of the procedures described in the Prospectus under the caption “The Exchange Offer—Procedures for Tendering Original Notes.”</w:t>
      </w:r>
    </w:p>
    <w:p>
      <w:pPr>
        <w:spacing w:after="0" w:line="193" w:lineRule="exact"/>
        <w:rPr>
          <w:sz w:val="20"/>
          <w:szCs w:val="20"/>
          <w:color w:val="auto"/>
        </w:rPr>
      </w:pPr>
    </w:p>
    <w:p>
      <w:pPr>
        <w:ind w:firstLine="8"/>
        <w:spacing w:after="0" w:line="291" w:lineRule="auto"/>
        <w:tabs>
          <w:tab w:leader="none" w:pos="315"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Partial Tenders. </w:t>
      </w:r>
      <w:r>
        <w:rPr>
          <w:rFonts w:ascii="Arial" w:cs="Arial" w:eastAsia="Arial" w:hAnsi="Arial"/>
          <w:sz w:val="16"/>
          <w:szCs w:val="16"/>
          <w:color w:val="auto"/>
        </w:rPr>
        <w:t>Original Notes may be tendered in whole or in part. However, partial tenders of Original Notes will be accepted only in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denominations of $2,000 and integral multiples of $1,000 in excess thereof. If a tender for exchange is to be made with respect to less than the entire principal amount of any certificated Original Notes, a holder must fill in the principal amount of the Original Notes that is tendered for exchange in column (3) of the box entitled “Description of Original Notes Tendered.” A blank in column (3) of the box will indicate that the holder is tendering the entire principal amount of such holder’s Original Notes represented by the certificate(s) delivered. In the case of a partial tender of certificated Original Notes, a new certificate, in fully registered form, for the remainder of the principal amount of the Original Notes will be sent, promptly following the Expiration Time, to the holder of the Original Notes unless otherwise indicated in the boxes entitled “Special Issuance Instructions” and/or “Special Delivery Instructions.”</w:t>
      </w:r>
    </w:p>
    <w:p>
      <w:pPr>
        <w:spacing w:after="0" w:line="167" w:lineRule="exact"/>
        <w:rPr>
          <w:rFonts w:ascii="Arial" w:cs="Arial" w:eastAsia="Arial" w:hAnsi="Arial"/>
          <w:sz w:val="16"/>
          <w:szCs w:val="16"/>
          <w:b w:val="1"/>
          <w:bCs w:val="1"/>
          <w:color w:val="auto"/>
        </w:rPr>
      </w:pPr>
    </w:p>
    <w:p>
      <w:pPr>
        <w:ind w:left="320" w:hanging="312"/>
        <w:spacing w:after="0"/>
        <w:tabs>
          <w:tab w:leader="none" w:pos="3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Signatures on this Letter of Transmittal; Bond Powers and Endorsements</w:t>
      </w:r>
      <w:r>
        <w:rPr>
          <w:rFonts w:ascii="Arial" w:cs="Arial" w:eastAsia="Arial" w:hAnsi="Arial"/>
          <w:sz w:val="18"/>
          <w:szCs w:val="18"/>
          <w:i w:val="1"/>
          <w:iCs w:val="1"/>
          <w:color w:val="auto"/>
        </w:rPr>
        <w: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this Letter of Transmittal is signed by the registered holder(s) of the Original Notes tendered for exchange hereby, each signature must correspond exactly with each name as written on the face of the certificate representing such Original Notes or, in the case of Original Notes held in book-entry form, on the relevant security position listing, in each case without alteration, enlargement or any change whatsoever.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If any of the Original Notes tendered hereby are owned of record by two or more joint owners, each record owner must sign this Letter of Transmittal.</w:t>
      </w:r>
    </w:p>
    <w:p>
      <w:pPr>
        <w:spacing w:after="0" w:line="23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If any tendered Original Notes are registered in different names on several certificates, it will be necessary to complete, sign and submit as many separate copies of this Letter of Transmittal and any other required documents as there are names in which the Original Notes are held.</w:t>
      </w:r>
    </w:p>
    <w:p>
      <w:pPr>
        <w:sectPr>
          <w:pgSz w:w="11900" w:h="16838" w:orient="portrait"/>
          <w:cols w:equalWidth="0" w:num="1">
            <w:col w:w="11400"/>
          </w:cols>
          <w:pgMar w:left="240" w:top="368" w:right="259" w:bottom="1440" w:gutter="0" w:footer="0" w:header="0"/>
        </w:sectPr>
      </w:pPr>
    </w:p>
    <w:bookmarkStart w:id="137" w:name="page138"/>
    <w:bookmarkEnd w:id="137"/>
    <w:p>
      <w:pPr>
        <w:ind w:right="420"/>
        <w:spacing w:after="0" w:line="264" w:lineRule="auto"/>
        <w:rPr>
          <w:sz w:val="20"/>
          <w:szCs w:val="20"/>
          <w:color w:val="auto"/>
        </w:rPr>
      </w:pPr>
      <w:r>
        <w:rPr>
          <w:rFonts w:ascii="Arial" w:cs="Arial" w:eastAsia="Arial" w:hAnsi="Arial"/>
          <w:sz w:val="18"/>
          <w:szCs w:val="18"/>
          <w:color w:val="auto"/>
        </w:rPr>
        <w:t>If this Letter of Transmittal or any certificates or other required documents are signed by trustees, executors, administrators, guardians, attorneys-in-fact, officers of corporations, or others acting in a fiduciary or representative capacity, such persons must so indicate when signing and must submit proper evidence, satisfactory to the Company in its sole discretion, of such person’s authority to so act.</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this Letter of Transmittal is signed by the registered holder(s) of the Original Notes listed and transmitted hereby, no endorsements of certificates or separate bond powers are required, unless certificates for the Exchange Notes issued for the Original Notes or certificates for Original Notes not tendered or accepted for exchange are to be issued or returned in the name of a person other than the registered holder(s) thereof. In such event, signatures on this Letter of Transmittal or such certificates must be guaranteed by an Eligible Institution, unless signed by an Eligible Institution.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this Letter of Transmittal is signed by a person other than the registered holder of the Original Notes, the certificates representing such Original Notes must be properly endorsed for transfer by the registered holder or accompanied by a properly completed bond power from the registered holder, in either case signed by the registered holder exactly as such registered holder’s name appears on the Company’s records. Signatures on the endorsement or bond power must be guaranteed by an Eligible Institution, unless signed by an Eligible Institution.</w:t>
      </w:r>
    </w:p>
    <w:p>
      <w:pPr>
        <w:spacing w:after="0" w:line="187" w:lineRule="exact"/>
        <w:rPr>
          <w:sz w:val="20"/>
          <w:szCs w:val="20"/>
          <w:color w:val="auto"/>
        </w:rPr>
      </w:pPr>
    </w:p>
    <w:p>
      <w:pPr>
        <w:ind w:right="80" w:firstLine="8"/>
        <w:spacing w:after="0" w:line="273" w:lineRule="auto"/>
        <w:tabs>
          <w:tab w:leader="none" w:pos="31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or cause to be paid all transfer taxes, if any, applicable to the exchange of Original Notes in the Exchange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however, Exchange Notes are to be registered in the name of, or Original Notes not tendered or accepted for exchange are to be returned to, any person other than the tendering registered holder, or if a transfer tax is imposed for any other reason, other than by reason of the exchange by the Company of the Original Notes in the Exchange Offer, then the amount of such transfer taxes (whether imposed on the registered holder or any other persons) will be payable by the tendering holder. If satisfactory evidence of the payment of such transfer taxes or exemption from payment is not submitted with this Letter of Transmittal, the amount of such transfer taxes will be billed directly to such tendering holder.</w:t>
      </w:r>
    </w:p>
    <w:p>
      <w:pPr>
        <w:spacing w:after="0" w:line="178" w:lineRule="exact"/>
        <w:rPr>
          <w:rFonts w:ascii="Arial" w:cs="Arial" w:eastAsia="Arial" w:hAnsi="Arial"/>
          <w:sz w:val="17"/>
          <w:szCs w:val="17"/>
          <w:b w:val="1"/>
          <w:bCs w:val="1"/>
          <w:color w:val="auto"/>
        </w:rPr>
      </w:pPr>
    </w:p>
    <w:p>
      <w:pPr>
        <w:ind w:firstLine="8"/>
        <w:spacing w:after="0" w:line="276" w:lineRule="auto"/>
        <w:tabs>
          <w:tab w:leader="none" w:pos="31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Special Issuance and Delivery Instructions</w:t>
      </w:r>
      <w:r>
        <w:rPr>
          <w:rFonts w:ascii="Arial" w:cs="Arial" w:eastAsia="Arial" w:hAnsi="Arial"/>
          <w:sz w:val="17"/>
          <w:szCs w:val="17"/>
          <w:color w:val="auto"/>
        </w:rPr>
        <w:t>. If the Exchange Notes, or if any Original Notes not tendered or accepted for exchange, are to be issued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sent to a person other than the person signing this Letter of Transmittal or to an address other than that shown herein, the appropriate boxes on this Letter of Transmittal should be completed. Holders of Original Notes tendering Original Notes by book-entry transfer may request that any Original Notes not accepted for exchange be credited to such other account maintained at DTC as such holder may designate. In such event, all signatures on this Letter of Transmittal must be guaranteed by an Eligible Institution, unless signed by an Eligible Institution.</w:t>
      </w:r>
    </w:p>
    <w:p>
      <w:pPr>
        <w:spacing w:after="0" w:line="172" w:lineRule="exact"/>
        <w:rPr>
          <w:rFonts w:ascii="Arial" w:cs="Arial" w:eastAsia="Arial" w:hAnsi="Arial"/>
          <w:sz w:val="17"/>
          <w:szCs w:val="17"/>
          <w:b w:val="1"/>
          <w:bCs w:val="1"/>
          <w:color w:val="auto"/>
        </w:rPr>
      </w:pPr>
    </w:p>
    <w:p>
      <w:pPr>
        <w:ind w:left="320" w:hanging="312"/>
        <w:spacing w:after="0"/>
        <w:tabs>
          <w:tab w:leader="none" w:pos="32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Irregularities</w:t>
      </w:r>
      <w:r>
        <w:rPr>
          <w:rFonts w:ascii="Arial" w:cs="Arial" w:eastAsia="Arial" w:hAnsi="Arial"/>
          <w:sz w:val="17"/>
          <w:szCs w:val="17"/>
          <w:color w:val="auto"/>
        </w:rPr>
        <w:t>. All questions as to the forms of all documents and the validity, eligibility (including time of receipt), acceptance and withdrawals of</w:t>
      </w:r>
    </w:p>
    <w:p>
      <w:pPr>
        <w:spacing w:after="0" w:line="34" w:lineRule="exact"/>
        <w:rPr>
          <w:rFonts w:ascii="Arial" w:cs="Arial" w:eastAsia="Arial" w:hAnsi="Arial"/>
          <w:sz w:val="17"/>
          <w:szCs w:val="17"/>
          <w:b w:val="1"/>
          <w:bCs w:val="1"/>
          <w:color w:val="auto"/>
        </w:rPr>
      </w:pPr>
    </w:p>
    <w:p>
      <w:pPr>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tendered Original Notes will be determined by the Company, in its sole discretion, which determination will be final and binding on all parties. Alternative, conditional or contingent tenders will not be considered valid. The Company reserves the absolute right to reject any or all tenders of Original Notes that are not in valid form or the acceptance of which would, in the Company’s opinion, be deemed unlawful. The Company also reserves the right to waive any defects or irregularities as to the tender of any particular Original Notes. The Company’s interpretation of the terms and conditions of the Exchange Offer (including this Letter of Transmittal and the instructions contained herein) will be final and binding on all parties. Any defect or irregularity in connection with tenders of Original Notes must be cured within such reasonable period of time as the Company determines, unless waived by the Company. Valid tenders of Original Notes will not be deemed to have been made until all defects or irregularities have been cured or waived by the Company. Neither the Company nor the Exchange Agent will be under any duty to give notice of any defects or irregularities with respect to any tender of Original Notes for exchange, or to waive any such defects or irregularities, nor will the Company or the Exchange Agent incur any liability to registered holders or beneficial owners of Original Notes or any other persons for failure to give such notice or waiver.</w:t>
      </w:r>
    </w:p>
    <w:p>
      <w:pPr>
        <w:spacing w:after="0" w:line="179" w:lineRule="exact"/>
        <w:rPr>
          <w:rFonts w:ascii="Arial" w:cs="Arial" w:eastAsia="Arial" w:hAnsi="Arial"/>
          <w:sz w:val="17"/>
          <w:szCs w:val="17"/>
          <w:b w:val="1"/>
          <w:bCs w:val="1"/>
          <w:color w:val="auto"/>
        </w:rPr>
      </w:pPr>
    </w:p>
    <w:p>
      <w:pPr>
        <w:ind w:right="120" w:firstLine="8"/>
        <w:spacing w:after="0" w:line="259" w:lineRule="auto"/>
        <w:tabs>
          <w:tab w:leader="none" w:pos="40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Conditions</w:t>
      </w:r>
      <w:r>
        <w:rPr>
          <w:rFonts w:ascii="Arial" w:cs="Arial" w:eastAsia="Arial" w:hAnsi="Arial"/>
          <w:sz w:val="18"/>
          <w:szCs w:val="18"/>
          <w:color w:val="auto"/>
        </w:rPr>
        <w:t>. To the extent permitted by applicable law, the Company reserves the right to waive any and all conditions to the Exchange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Expiration Time as described in the Prospectus under the caption “The Exchange Offer—Conditions to the Exchange Offer” and accept for exchange any Original Notes tendered. To the extent that the Company waives any condition to the Exchange Offer, it will waive such condition as to all Original Notes.</w:t>
      </w:r>
    </w:p>
    <w:p>
      <w:pPr>
        <w:spacing w:after="0" w:line="186" w:lineRule="exact"/>
        <w:rPr>
          <w:rFonts w:ascii="Arial" w:cs="Arial" w:eastAsia="Arial" w:hAnsi="Arial"/>
          <w:sz w:val="18"/>
          <w:szCs w:val="18"/>
          <w:b w:val="1"/>
          <w:bCs w:val="1"/>
          <w:color w:val="auto"/>
        </w:rPr>
      </w:pPr>
    </w:p>
    <w:p>
      <w:pPr>
        <w:ind w:right="40" w:firstLine="8"/>
        <w:spacing w:after="0" w:line="271" w:lineRule="auto"/>
        <w:tabs>
          <w:tab w:leader="none" w:pos="39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Identification Number and Backup Withholding</w:t>
      </w:r>
      <w:r>
        <w:rPr>
          <w:rFonts w:ascii="Arial" w:cs="Arial" w:eastAsia="Arial" w:hAnsi="Arial"/>
          <w:sz w:val="17"/>
          <w:szCs w:val="17"/>
          <w:color w:val="auto"/>
        </w:rPr>
        <w:t>. U.S. federal income tax law generally requires that a holder of Original Notes whose tendered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Original Notes are accepted for exchange or such holder’s assignee (in either case, the “</w:t>
      </w:r>
      <w:r>
        <w:rPr>
          <w:rFonts w:ascii="Arial" w:cs="Arial" w:eastAsia="Arial" w:hAnsi="Arial"/>
          <w:sz w:val="17"/>
          <w:szCs w:val="17"/>
          <w:b w:val="1"/>
          <w:bCs w:val="1"/>
          <w:i w:val="1"/>
          <w:iCs w:val="1"/>
          <w:color w:val="auto"/>
        </w:rPr>
        <w:t>Payee</w:t>
      </w:r>
      <w:r>
        <w:rPr>
          <w:rFonts w:ascii="Arial" w:cs="Arial" w:eastAsia="Arial" w:hAnsi="Arial"/>
          <w:sz w:val="17"/>
          <w:szCs w:val="17"/>
          <w:color w:val="auto"/>
        </w:rPr>
        <w:t>”) must provide the Exchange Agent with such Payee’s correct Taxpayer Identification Number (“</w:t>
      </w:r>
      <w:r>
        <w:rPr>
          <w:rFonts w:ascii="Arial" w:cs="Arial" w:eastAsia="Arial" w:hAnsi="Arial"/>
          <w:sz w:val="17"/>
          <w:szCs w:val="17"/>
          <w:b w:val="1"/>
          <w:bCs w:val="1"/>
          <w:i w:val="1"/>
          <w:iCs w:val="1"/>
          <w:color w:val="auto"/>
        </w:rPr>
        <w:t>TIN</w:t>
      </w:r>
      <w:r>
        <w:rPr>
          <w:rFonts w:ascii="Arial" w:cs="Arial" w:eastAsia="Arial" w:hAnsi="Arial"/>
          <w:sz w:val="17"/>
          <w:szCs w:val="17"/>
          <w:color w:val="auto"/>
        </w:rPr>
        <w:t>”) which, in the case of a Payee who is an individual, is such Payee’s social security number. If the Exchange Agent is not provided with the correct TIN or an adequate basis for an exemption from backup withholding, such Payee may be subject to a $50 penalty imposed by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and backup withholding at the applicable rate, which is currently 28%, on all reportable payments (such as interest) that are made to the Payee with respect to the Exchange Notes. Backup withholding is not an additional tax. Rather, the U.S. federal income tax liability of a Payee subject to backup withholding will be reduced by the amount of tax withheld. If withholding results in an overpayment of taxes, a refund may be obtained provided that the required information is furnished to the IRS.</w:t>
      </w:r>
    </w:p>
    <w:p>
      <w:pPr>
        <w:sectPr>
          <w:pgSz w:w="11900" w:h="16838" w:orient="portrait"/>
          <w:cols w:equalWidth="0" w:num="1">
            <w:col w:w="11420"/>
          </w:cols>
          <w:pgMar w:left="240" w:top="368" w:right="239" w:bottom="1440" w:gutter="0" w:footer="0" w:header="0"/>
        </w:sectPr>
      </w:pPr>
    </w:p>
    <w:bookmarkStart w:id="138" w:name="page139"/>
    <w:bookmarkEnd w:id="138"/>
    <w:p>
      <w:pPr>
        <w:ind w:right="460"/>
        <w:spacing w:after="0" w:line="308" w:lineRule="auto"/>
        <w:rPr>
          <w:sz w:val="20"/>
          <w:szCs w:val="20"/>
          <w:color w:val="auto"/>
        </w:rPr>
      </w:pPr>
      <w:r>
        <w:rPr>
          <w:rFonts w:ascii="Arial" w:cs="Arial" w:eastAsia="Arial" w:hAnsi="Arial"/>
          <w:sz w:val="17"/>
          <w:szCs w:val="17"/>
          <w:color w:val="auto"/>
        </w:rPr>
        <w:t>To prevent backup withholding, each Payee must provide the Exchange Agent with such Payee’s correct TIN by completing the “Substitute Form W-9” included with this Letter of Transmittal, certifying that the TIN provided is correct (or that such Payee is awaiting a TIN) and that:</w:t>
      </w:r>
    </w:p>
    <w:p>
      <w:pPr>
        <w:spacing w:after="0" w:line="147"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Payee is exempt from backup withholding;</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Payee has not been notified by the IRS that such Payee is subject to backup withholding as a result of a failure to report all interest or dividends;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IRS has notified the Payee that such Payee is no longer subject to backup withholding.</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If the Payee does not have a TIN, such Payee should consult the Guidelines for Certification of Taxpayer Identification Number on Substitute Form W-9 (the “</w:t>
      </w:r>
      <w:r>
        <w:rPr>
          <w:rFonts w:ascii="Arial" w:cs="Arial" w:eastAsia="Arial" w:hAnsi="Arial"/>
          <w:sz w:val="16"/>
          <w:szCs w:val="16"/>
          <w:b w:val="1"/>
          <w:bCs w:val="1"/>
          <w:i w:val="1"/>
          <w:iCs w:val="1"/>
          <w:color w:val="auto"/>
        </w:rPr>
        <w:t>W-9 Guidelines</w:t>
      </w:r>
      <w:r>
        <w:rPr>
          <w:rFonts w:ascii="Arial" w:cs="Arial" w:eastAsia="Arial" w:hAnsi="Arial"/>
          <w:sz w:val="16"/>
          <w:szCs w:val="16"/>
          <w:color w:val="auto"/>
        </w:rPr>
        <w:t>”) included in this Letter of Transmittal for instructions on applying for a TIN. A Payee who has not been issued a TIN and has applied for a TIN or intends to apply for a TIN in the near future should write “Applied For” in Part 1 of the Substitute Form W-9 and sign and date both the Substitute Form W-9 and the Certificate of Awaiting Taxpayer Identification Number set forth therein. If such a Payee does not provide its TIN to the Exchange Agent within 60 days, backup withholding on all reportable payments will begin and continue until such Payee furnishes such Payee’s TIN to the Exchange Agent.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Original Notes are held in more than one name or are not in the name of the actual owner, holders should consult the W-9 Guidelines for information on which TIN to report.</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Exempt Payees (including, among others, all corporations and certain foreign individuals) are not subject to these backup withholding and reporting requirements. To prevent possible erroneous backup withholding, an exempt Payee must enter its correct TIN in Part 1 of the Substitute Form W-9, check the “Exempt” box in Part 2 of such form and sign and date the form. See the W-9 Guidelines for additional instructions. In order for a nonresident alien or foreign entity to qualify as exempt from these backup withholding and information reporting requirements, such person must complete and submit an appropriate IRS Form W-8, signed under penalties of perjury, attesting to such exempt status. Such form may be obtained from the Exchange Agent.</w:t>
      </w:r>
    </w:p>
    <w:p>
      <w:pPr>
        <w:spacing w:after="0" w:line="158" w:lineRule="exact"/>
        <w:rPr>
          <w:sz w:val="20"/>
          <w:szCs w:val="20"/>
          <w:color w:val="auto"/>
        </w:rPr>
      </w:pPr>
    </w:p>
    <w:p>
      <w:pPr>
        <w:ind w:right="100" w:firstLine="8"/>
        <w:spacing w:after="0" w:line="259" w:lineRule="auto"/>
        <w:tabs>
          <w:tab w:leader="none" w:pos="405"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Lost, Stolen or Destroyed Certificates</w:t>
      </w:r>
      <w:r>
        <w:rPr>
          <w:rFonts w:ascii="Arial" w:cs="Arial" w:eastAsia="Arial" w:hAnsi="Arial"/>
          <w:sz w:val="18"/>
          <w:szCs w:val="18"/>
          <w:color w:val="auto"/>
        </w:rPr>
        <w:t>. Any holder of Original Notes whose certificates representing Original Notes have been lost, stolen or destroyed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promptly contact the Exchange Agent at the address or telephone number set forth on the front of this Letter of Transmittal for further instructions. This Letter of Transmittal and all related documents cannot be processed until the procedures for replacing lost, stolen or destroyed certificates have been followed.</w:t>
      </w:r>
    </w:p>
    <w:p>
      <w:pPr>
        <w:spacing w:after="0" w:line="186" w:lineRule="exact"/>
        <w:rPr>
          <w:rFonts w:ascii="Arial" w:cs="Arial" w:eastAsia="Arial" w:hAnsi="Arial"/>
          <w:sz w:val="18"/>
          <w:szCs w:val="18"/>
          <w:b w:val="1"/>
          <w:bCs w:val="1"/>
          <w:color w:val="auto"/>
        </w:rPr>
      </w:pPr>
    </w:p>
    <w:p>
      <w:pPr>
        <w:ind w:right="120" w:firstLine="8"/>
        <w:spacing w:after="0" w:line="264" w:lineRule="auto"/>
        <w:tabs>
          <w:tab w:leader="none" w:pos="405"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Questions or Requests for Assistance or Additional Copies</w:t>
      </w:r>
      <w:r>
        <w:rPr>
          <w:rFonts w:ascii="Arial" w:cs="Arial" w:eastAsia="Arial" w:hAnsi="Arial"/>
          <w:sz w:val="18"/>
          <w:szCs w:val="18"/>
          <w:color w:val="auto"/>
        </w:rPr>
        <w:t>. Questions and requests for assistance with respect to the Exchange Offer, and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copies of the Prospectus, this Letter of Transmittal or the Notice of Guaranteed Delivery, should be directed to the Exchange Agent at its address and telephone number set forth on the front of this Letter of Transmittal.</w:t>
      </w:r>
    </w:p>
    <w:p>
      <w:pPr>
        <w:spacing w:after="0" w:line="181" w:lineRule="exact"/>
        <w:rPr>
          <w:rFonts w:ascii="Arial" w:cs="Arial" w:eastAsia="Arial" w:hAnsi="Arial"/>
          <w:sz w:val="18"/>
          <w:szCs w:val="18"/>
          <w:b w:val="1"/>
          <w:bCs w:val="1"/>
          <w:color w:val="auto"/>
        </w:rPr>
      </w:pPr>
    </w:p>
    <w:p>
      <w:pPr>
        <w:ind w:left="420" w:hanging="412"/>
        <w:spacing w:after="0"/>
        <w:tabs>
          <w:tab w:leader="none" w:pos="42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of this Letter of Transmittal</w:t>
      </w:r>
      <w:r>
        <w:rPr>
          <w:rFonts w:ascii="Arial" w:cs="Arial" w:eastAsia="Arial" w:hAnsi="Arial"/>
          <w:sz w:val="16"/>
          <w:szCs w:val="16"/>
          <w:color w:val="auto"/>
        </w:rPr>
        <w:t>. This Letter of Transmittal will be deemed to be incorporated in, and acknowledged and accepted by, a</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tender through DTC’s ATOP procedures by any participant on behalf of itself and the beneficial owners of any Original Notes so tendered by such participant.</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IMPORTANT—This Letter of Transmittal and certificates for tendered Original Notes, or, if tendering by book-entry transfer, an Agent’s Message and confirmation of the book-entry transfer of tendered Original Notes into the Exchange Agent’s account at DTC, together with any other required documents, or a Notice of Guaranteed Delivery, must be received by the Exchange Agent at or prior to the Expiration Time.</w:t>
      </w:r>
    </w:p>
    <w:p>
      <w:pPr>
        <w:sectPr>
          <w:pgSz w:w="11900" w:h="16838" w:orient="portrait"/>
          <w:cols w:equalWidth="0" w:num="1">
            <w:col w:w="11400"/>
          </w:cols>
          <w:pgMar w:left="240" w:top="368" w:right="259" w:bottom="1440" w:gutter="0" w:footer="0" w:header="0"/>
        </w:sectPr>
      </w:pPr>
    </w:p>
    <w:bookmarkStart w:id="139" w:name="page140"/>
    <w:bookmarkEnd w:id="139"/>
    <w:p>
      <w:pPr>
        <w:ind w:left="3740"/>
        <w:spacing w:after="0"/>
        <w:rPr>
          <w:sz w:val="20"/>
          <w:szCs w:val="20"/>
          <w:color w:val="auto"/>
        </w:rPr>
      </w:pPr>
      <w:r>
        <w:rPr>
          <w:rFonts w:ascii="Arial" w:cs="Arial" w:eastAsia="Arial" w:hAnsi="Arial"/>
          <w:sz w:val="18"/>
          <w:szCs w:val="18"/>
          <w:b w:val="1"/>
          <w:bCs w:val="1"/>
          <w:color w:val="auto"/>
        </w:rPr>
        <w:t>PAYER’S NAME: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377825</wp:posOffset>
            </wp:positionV>
            <wp:extent cx="6414770" cy="8198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4770" cy="819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900" w:type="dxa"/>
            <w:vAlign w:val="bottom"/>
            <w:gridSpan w:val="2"/>
          </w:tcPr>
          <w:p>
            <w:pPr>
              <w:spacing w:after="0"/>
              <w:rPr>
                <w:sz w:val="20"/>
                <w:szCs w:val="20"/>
                <w:color w:val="auto"/>
              </w:rPr>
            </w:pPr>
            <w:r>
              <w:rPr>
                <w:rFonts w:ascii="Arial" w:cs="Arial" w:eastAsia="Arial" w:hAnsi="Arial"/>
                <w:sz w:val="17"/>
                <w:szCs w:val="17"/>
                <w:b w:val="1"/>
                <w:bCs w:val="1"/>
                <w:color w:val="auto"/>
                <w:w w:val="96"/>
              </w:rPr>
              <w:t>SUBSTITUTE Form W-9  Name (as shown on your income tax return). Name is required on this line; do not leave this line blank.</w:t>
            </w:r>
          </w:p>
        </w:tc>
        <w:tc>
          <w:tcPr>
            <w:tcW w:w="0" w:type="dxa"/>
            <w:vAlign w:val="bottom"/>
          </w:tcPr>
          <w:p>
            <w:pPr>
              <w:spacing w:after="0"/>
              <w:rPr>
                <w:sz w:val="1"/>
                <w:szCs w:val="1"/>
                <w:color w:val="auto"/>
              </w:rPr>
            </w:pPr>
          </w:p>
        </w:tc>
      </w:tr>
      <w:tr>
        <w:trPr>
          <w:trHeight w:val="216"/>
        </w:trPr>
        <w:tc>
          <w:tcPr>
            <w:tcW w:w="1880" w:type="dxa"/>
            <w:vAlign w:val="bottom"/>
            <w:vMerge w:val="restart"/>
          </w:tcPr>
          <w:p>
            <w:pPr>
              <w:spacing w:after="0"/>
              <w:rPr>
                <w:sz w:val="20"/>
                <w:szCs w:val="20"/>
                <w:color w:val="auto"/>
              </w:rPr>
            </w:pPr>
            <w:r>
              <w:rPr>
                <w:rFonts w:ascii="Arial" w:cs="Arial" w:eastAsia="Arial" w:hAnsi="Arial"/>
                <w:sz w:val="17"/>
                <w:szCs w:val="17"/>
                <w:b w:val="1"/>
                <w:bCs w:val="1"/>
                <w:color w:val="auto"/>
              </w:rPr>
              <w:t>Department of the</w:t>
            </w:r>
          </w:p>
        </w:tc>
        <w:tc>
          <w:tcPr>
            <w:tcW w:w="8020" w:type="dxa"/>
            <w:vAlign w:val="bottom"/>
          </w:tcPr>
          <w:p>
            <w:pPr>
              <w:ind w:left="16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88"/>
        </w:trPr>
        <w:tc>
          <w:tcPr>
            <w:tcW w:w="1880" w:type="dxa"/>
            <w:vAlign w:val="bottom"/>
            <w:vMerge w:val="continue"/>
          </w:tcPr>
          <w:p>
            <w:pPr>
              <w:spacing w:after="0"/>
              <w:rPr>
                <w:sz w:val="7"/>
                <w:szCs w:val="7"/>
                <w:color w:val="auto"/>
              </w:rPr>
            </w:pPr>
          </w:p>
        </w:tc>
        <w:tc>
          <w:tcPr>
            <w:tcW w:w="8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7"/>
                <w:szCs w:val="17"/>
                <w:b w:val="1"/>
                <w:bCs w:val="1"/>
                <w:color w:val="auto"/>
              </w:rPr>
              <w:t>Treasury Internal</w:t>
            </w:r>
          </w:p>
        </w:tc>
        <w:tc>
          <w:tcPr>
            <w:tcW w:w="8020" w:type="dxa"/>
            <w:vAlign w:val="bottom"/>
          </w:tcPr>
          <w:p>
            <w:pPr>
              <w:ind w:left="160"/>
              <w:spacing w:after="0"/>
              <w:rPr>
                <w:sz w:val="20"/>
                <w:szCs w:val="20"/>
                <w:color w:val="auto"/>
              </w:rPr>
            </w:pPr>
            <w:r>
              <w:rPr>
                <w:rFonts w:ascii="Arial" w:cs="Arial" w:eastAsia="Arial" w:hAnsi="Arial"/>
                <w:sz w:val="17"/>
                <w:szCs w:val="17"/>
                <w:b w:val="1"/>
                <w:bCs w:val="1"/>
                <w:color w:val="auto"/>
              </w:rPr>
              <w:t>Business Name/Disregarded Entity Name, if different from above</w:t>
            </w: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7"/>
                <w:szCs w:val="17"/>
                <w:b w:val="1"/>
                <w:bCs w:val="1"/>
                <w:color w:val="auto"/>
              </w:rPr>
              <w:t>Revenue Service</w:t>
            </w:r>
          </w:p>
        </w:tc>
        <w:tc>
          <w:tcPr>
            <w:tcW w:w="8020" w:type="dxa"/>
            <w:vAlign w:val="bottom"/>
          </w:tcPr>
          <w:p>
            <w:pPr>
              <w:ind w:left="160"/>
              <w:spacing w:after="0"/>
              <w:rPr>
                <w:sz w:val="20"/>
                <w:szCs w:val="20"/>
                <w:color w:val="auto"/>
              </w:rPr>
            </w:pPr>
            <w:r>
              <w:rPr>
                <w:rFonts w:ascii="Arial" w:cs="Arial" w:eastAsia="Arial" w:hAnsi="Arial"/>
                <w:sz w:val="17"/>
                <w:szCs w:val="17"/>
                <w:color w:val="auto"/>
              </w:rPr>
              <w:t>_________________________________________________________________</w:t>
            </w:r>
          </w:p>
        </w:tc>
        <w:tc>
          <w:tcPr>
            <w:tcW w:w="0" w:type="dxa"/>
            <w:vAlign w:val="bottom"/>
          </w:tcPr>
          <w:p>
            <w:pPr>
              <w:spacing w:after="0"/>
              <w:rPr>
                <w:sz w:val="1"/>
                <w:szCs w:val="1"/>
                <w:color w:val="auto"/>
              </w:rPr>
            </w:pPr>
          </w:p>
        </w:tc>
      </w:tr>
      <w:tr>
        <w:trPr>
          <w:trHeight w:val="291"/>
        </w:trPr>
        <w:tc>
          <w:tcPr>
            <w:tcW w:w="1880" w:type="dxa"/>
            <w:vAlign w:val="bottom"/>
          </w:tcPr>
          <w:p>
            <w:pPr>
              <w:spacing w:after="0"/>
              <w:rPr>
                <w:sz w:val="20"/>
                <w:szCs w:val="20"/>
                <w:color w:val="auto"/>
              </w:rPr>
            </w:pPr>
            <w:r>
              <w:rPr>
                <w:rFonts w:ascii="Arial" w:cs="Arial" w:eastAsia="Arial" w:hAnsi="Arial"/>
                <w:sz w:val="17"/>
                <w:szCs w:val="17"/>
                <w:b w:val="1"/>
                <w:bCs w:val="1"/>
                <w:color w:val="auto"/>
              </w:rPr>
              <w:t>Payer’s Request for</w:t>
            </w:r>
          </w:p>
        </w:tc>
        <w:tc>
          <w:tcPr>
            <w:tcW w:w="8020" w:type="dxa"/>
            <w:vAlign w:val="bottom"/>
          </w:tcPr>
          <w:p>
            <w:pPr>
              <w:ind w:left="160"/>
              <w:spacing w:after="0"/>
              <w:rPr>
                <w:sz w:val="20"/>
                <w:szCs w:val="20"/>
                <w:color w:val="auto"/>
              </w:rPr>
            </w:pPr>
            <w:r>
              <w:rPr>
                <w:rFonts w:ascii="Arial" w:cs="Arial" w:eastAsia="Arial" w:hAnsi="Arial"/>
                <w:sz w:val="17"/>
                <w:szCs w:val="17"/>
                <w:b w:val="1"/>
                <w:bCs w:val="1"/>
                <w:color w:val="auto"/>
                <w:w w:val="99"/>
              </w:rPr>
              <w:t>Check appropriate box for federal tax classification; check only one of the following seven boxes: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7"/>
                <w:szCs w:val="17"/>
                <w:b w:val="1"/>
                <w:bCs w:val="1"/>
                <w:color w:val="auto"/>
              </w:rPr>
              <w:t>Taxpayer Identification</w:t>
            </w:r>
          </w:p>
        </w:tc>
        <w:tc>
          <w:tcPr>
            <w:tcW w:w="8020" w:type="dxa"/>
            <w:vAlign w:val="bottom"/>
            <w:vMerge w:val="restart"/>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Individual/sole proprietor or single-member LLC</w:t>
            </w:r>
            <w:r>
              <w:rPr>
                <w:rFonts w:ascii="Arial" w:cs="Arial" w:eastAsia="Arial" w:hAnsi="Arial"/>
                <w:sz w:val="18"/>
                <w:szCs w:val="18"/>
                <w:color w:val="auto"/>
              </w:rPr>
              <w:t xml:space="preserve"> £ </w:t>
            </w:r>
            <w:r>
              <w:rPr>
                <w:rFonts w:ascii="Arial" w:cs="Arial" w:eastAsia="Arial" w:hAnsi="Arial"/>
                <w:sz w:val="17"/>
                <w:szCs w:val="17"/>
                <w:color w:val="auto"/>
              </w:rPr>
              <w:t>C Corporation</w:t>
            </w:r>
            <w:r>
              <w:rPr>
                <w:rFonts w:ascii="Arial" w:cs="Arial" w:eastAsia="Arial" w:hAnsi="Arial"/>
                <w:sz w:val="18"/>
                <w:szCs w:val="18"/>
                <w:color w:val="auto"/>
              </w:rPr>
              <w:t xml:space="preserve"> £ </w:t>
            </w:r>
            <w:r>
              <w:rPr>
                <w:rFonts w:ascii="Arial" w:cs="Arial" w:eastAsia="Arial" w:hAnsi="Arial"/>
                <w:sz w:val="17"/>
                <w:szCs w:val="17"/>
                <w:color w:val="auto"/>
              </w:rPr>
              <w:t>S Corporation</w:t>
            </w:r>
          </w:p>
        </w:tc>
        <w:tc>
          <w:tcPr>
            <w:tcW w:w="0" w:type="dxa"/>
            <w:vAlign w:val="bottom"/>
          </w:tcPr>
          <w:p>
            <w:pPr>
              <w:spacing w:after="0"/>
              <w:rPr>
                <w:sz w:val="1"/>
                <w:szCs w:val="1"/>
                <w:color w:val="auto"/>
              </w:rPr>
            </w:pPr>
          </w:p>
        </w:tc>
      </w:tr>
      <w:tr>
        <w:trPr>
          <w:trHeight w:val="145"/>
        </w:trPr>
        <w:tc>
          <w:tcPr>
            <w:tcW w:w="1880" w:type="dxa"/>
            <w:vAlign w:val="bottom"/>
            <w:vMerge w:val="restart"/>
          </w:tcPr>
          <w:p>
            <w:pPr>
              <w:spacing w:after="0"/>
              <w:rPr>
                <w:sz w:val="20"/>
                <w:szCs w:val="20"/>
                <w:color w:val="auto"/>
              </w:rPr>
            </w:pPr>
            <w:r>
              <w:rPr>
                <w:rFonts w:ascii="Arial" w:cs="Arial" w:eastAsia="Arial" w:hAnsi="Arial"/>
                <w:sz w:val="17"/>
                <w:szCs w:val="17"/>
                <w:b w:val="1"/>
                <w:bCs w:val="1"/>
                <w:color w:val="auto"/>
              </w:rPr>
              <w:t>Number (“TIN”) and</w:t>
            </w: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880" w:type="dxa"/>
            <w:vAlign w:val="bottom"/>
            <w:vMerge w:val="continue"/>
          </w:tcPr>
          <w:p>
            <w:pPr>
              <w:spacing w:after="0"/>
              <w:rPr>
                <w:sz w:val="4"/>
                <w:szCs w:val="4"/>
                <w:color w:val="auto"/>
              </w:rPr>
            </w:pPr>
          </w:p>
        </w:tc>
        <w:tc>
          <w:tcPr>
            <w:tcW w:w="8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880" w:type="dxa"/>
            <w:vAlign w:val="bottom"/>
          </w:tcPr>
          <w:p>
            <w:pPr>
              <w:spacing w:after="0"/>
              <w:rPr>
                <w:sz w:val="20"/>
                <w:szCs w:val="20"/>
                <w:color w:val="auto"/>
              </w:rPr>
            </w:pPr>
            <w:r>
              <w:rPr>
                <w:rFonts w:ascii="Arial" w:cs="Arial" w:eastAsia="Arial" w:hAnsi="Arial"/>
                <w:sz w:val="17"/>
                <w:szCs w:val="17"/>
                <w:b w:val="1"/>
                <w:bCs w:val="1"/>
                <w:color w:val="auto"/>
              </w:rPr>
              <w:t>Certification</w:t>
            </w:r>
          </w:p>
        </w:tc>
        <w:tc>
          <w:tcPr>
            <w:tcW w:w="8020" w:type="dxa"/>
            <w:vAlign w:val="bottom"/>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Partnership</w:t>
            </w:r>
            <w:r>
              <w:rPr>
                <w:rFonts w:ascii="Arial" w:cs="Arial" w:eastAsia="Arial" w:hAnsi="Arial"/>
                <w:sz w:val="18"/>
                <w:szCs w:val="18"/>
                <w:color w:val="auto"/>
              </w:rPr>
              <w:t xml:space="preserve"> £ </w:t>
            </w:r>
            <w:r>
              <w:rPr>
                <w:rFonts w:ascii="Arial" w:cs="Arial" w:eastAsia="Arial" w:hAnsi="Arial"/>
                <w:sz w:val="17"/>
                <w:szCs w:val="17"/>
                <w:color w:val="auto"/>
              </w:rPr>
              <w:t>Trust/Estate</w:t>
            </w:r>
          </w:p>
        </w:tc>
        <w:tc>
          <w:tcPr>
            <w:tcW w:w="0" w:type="dxa"/>
            <w:vAlign w:val="bottom"/>
          </w:tcPr>
          <w:p>
            <w:pPr>
              <w:spacing w:after="0"/>
              <w:rPr>
                <w:sz w:val="1"/>
                <w:szCs w:val="1"/>
                <w:color w:val="auto"/>
              </w:rPr>
            </w:pPr>
          </w:p>
        </w:tc>
      </w:tr>
      <w:tr>
        <w:trPr>
          <w:trHeight w:val="306"/>
        </w:trPr>
        <w:tc>
          <w:tcPr>
            <w:tcW w:w="1880" w:type="dxa"/>
            <w:vAlign w:val="bottom"/>
          </w:tcPr>
          <w:p>
            <w:pPr>
              <w:spacing w:after="0"/>
              <w:rPr>
                <w:sz w:val="24"/>
                <w:szCs w:val="24"/>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Limited liability company. Enter the tax</w:t>
            </w:r>
            <w:r>
              <w:rPr>
                <w:rFonts w:ascii="Arial" w:cs="Arial" w:eastAsia="Arial" w:hAnsi="Arial"/>
                <w:sz w:val="18"/>
                <w:szCs w:val="18"/>
                <w:color w:val="auto"/>
              </w:rPr>
              <w:t xml:space="preserve"> £ </w:t>
            </w:r>
            <w:r>
              <w:rPr>
                <w:rFonts w:ascii="Arial" w:cs="Arial" w:eastAsia="Arial" w:hAnsi="Arial"/>
                <w:sz w:val="17"/>
                <w:szCs w:val="17"/>
                <w:color w:val="auto"/>
              </w:rPr>
              <w:t>Other ________</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8020" w:type="dxa"/>
            <w:vAlign w:val="bottom"/>
          </w:tcPr>
          <w:p>
            <w:pPr>
              <w:ind w:left="420"/>
              <w:spacing w:after="0"/>
              <w:rPr>
                <w:sz w:val="20"/>
                <w:szCs w:val="20"/>
                <w:color w:val="auto"/>
              </w:rPr>
            </w:pPr>
            <w:r>
              <w:rPr>
                <w:rFonts w:ascii="Arial" w:cs="Arial" w:eastAsia="Arial" w:hAnsi="Arial"/>
                <w:sz w:val="17"/>
                <w:szCs w:val="17"/>
                <w:color w:val="auto"/>
              </w:rPr>
              <w:t>classification (C = C corporation,</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7"/>
                <w:szCs w:val="17"/>
                <w:color w:val="auto"/>
              </w:rPr>
              <w:t>S = S corporation, P = partnership) __________</w:t>
            </w: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8020" w:type="dxa"/>
            <w:vAlign w:val="bottom"/>
          </w:tcPr>
          <w:p>
            <w:pPr>
              <w:ind w:left="160"/>
              <w:spacing w:after="0"/>
              <w:rPr>
                <w:sz w:val="20"/>
                <w:szCs w:val="20"/>
                <w:color w:val="auto"/>
              </w:rPr>
            </w:pPr>
            <w:r>
              <w:rPr>
                <w:rFonts w:ascii="Arial" w:cs="Arial" w:eastAsia="Arial" w:hAnsi="Arial"/>
                <w:sz w:val="17"/>
                <w:szCs w:val="17"/>
                <w:b w:val="1"/>
                <w:bCs w:val="1"/>
                <w:color w:val="auto"/>
                <w:w w:val="92"/>
              </w:rPr>
              <w:t xml:space="preserve">Note. </w:t>
            </w:r>
            <w:r>
              <w:rPr>
                <w:rFonts w:ascii="Arial" w:cs="Arial" w:eastAsia="Arial" w:hAnsi="Arial"/>
                <w:sz w:val="17"/>
                <w:szCs w:val="17"/>
                <w:color w:val="auto"/>
                <w:w w:val="92"/>
              </w:rPr>
              <w:t>For a single-member LLC that is disregarded, do not check LLC; instead check the first box “Individual/sole</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7"/>
                <w:szCs w:val="17"/>
                <w:color w:val="auto"/>
              </w:rPr>
              <w:t>proprietor or single-member LLC.”</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Address</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_________________________________________________________________</w:t>
      </w:r>
    </w:p>
    <w:p>
      <w:pPr>
        <w:spacing w:after="0" w:line="9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City, state and ZIP code</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_________________________________________________________________</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Exemptions (codes apply only to certain entities, not individuals: see W-9 Guidelines)</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Exempt payee code (if any) _____</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Exemption from FATCA reporting code (if any) _____</w:t>
      </w:r>
    </w:p>
    <w:p>
      <w:pPr>
        <w:spacing w:after="0" w:line="55"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 xml:space="preserve">Part 1 </w:t>
      </w:r>
      <w:r>
        <w:rPr>
          <w:rFonts w:ascii="Arial" w:cs="Arial" w:eastAsia="Arial" w:hAnsi="Arial"/>
          <w:sz w:val="16"/>
          <w:szCs w:val="16"/>
          <w:color w:val="auto"/>
        </w:rPr>
        <w:t>— Taxpayer Identification Number — Please provide your TIN</w:t>
      </w:r>
    </w:p>
    <w:p>
      <w:pPr>
        <w:spacing w:after="0" w:line="38" w:lineRule="exact"/>
        <w:rPr>
          <w:sz w:val="20"/>
          <w:szCs w:val="20"/>
          <w:color w:val="auto"/>
        </w:rPr>
      </w:pPr>
    </w:p>
    <w:tbl>
      <w:tblPr>
        <w:tblLayout w:type="fixed"/>
        <w:tblInd w:w="2040" w:type="dxa"/>
        <w:tblCellMar>
          <w:top w:w="0" w:type="dxa"/>
          <w:left w:w="0" w:type="dxa"/>
          <w:bottom w:w="0" w:type="dxa"/>
          <w:right w:w="0" w:type="dxa"/>
        </w:tblCellMar>
      </w:tblPr>
      <w:tr>
        <w:trPr>
          <w:trHeight w:val="261"/>
        </w:trPr>
        <w:tc>
          <w:tcPr>
            <w:tcW w:w="4860" w:type="dxa"/>
            <w:vAlign w:val="bottom"/>
          </w:tcPr>
          <w:p>
            <w:pPr>
              <w:spacing w:after="0"/>
              <w:rPr>
                <w:sz w:val="20"/>
                <w:szCs w:val="20"/>
                <w:color w:val="auto"/>
              </w:rPr>
            </w:pPr>
            <w:r>
              <w:rPr>
                <w:rFonts w:ascii="Arial" w:cs="Arial" w:eastAsia="Arial" w:hAnsi="Arial"/>
                <w:sz w:val="17"/>
                <w:szCs w:val="17"/>
                <w:color w:val="auto"/>
                <w:w w:val="94"/>
              </w:rPr>
              <w:t>in the box at right and certify by signing and dating below. If awaiting</w:t>
            </w:r>
          </w:p>
        </w:tc>
        <w:tc>
          <w:tcPr>
            <w:tcW w:w="2380" w:type="dxa"/>
            <w:vAlign w:val="bottom"/>
          </w:tcPr>
          <w:p>
            <w:pPr>
              <w:ind w:left="80"/>
              <w:spacing w:after="0"/>
              <w:rPr>
                <w:sz w:val="20"/>
                <w:szCs w:val="20"/>
                <w:color w:val="auto"/>
              </w:rPr>
            </w:pPr>
            <w:r>
              <w:rPr>
                <w:rFonts w:ascii="Arial" w:cs="Arial" w:eastAsia="Arial" w:hAnsi="Arial"/>
                <w:sz w:val="17"/>
                <w:szCs w:val="17"/>
                <w:color w:val="auto"/>
                <w:w w:val="89"/>
              </w:rPr>
              <w:t>___________________________</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7"/>
                <w:szCs w:val="17"/>
                <w:color w:val="auto"/>
              </w:rPr>
              <w:t>TIN, write “Applied For.”</w:t>
            </w:r>
          </w:p>
        </w:tc>
        <w:tc>
          <w:tcPr>
            <w:tcW w:w="2380" w:type="dxa"/>
            <w:vAlign w:val="bottom"/>
            <w:vMerge w:val="restart"/>
          </w:tcPr>
          <w:p>
            <w:pPr>
              <w:ind w:left="80"/>
              <w:spacing w:after="0"/>
              <w:rPr>
                <w:sz w:val="20"/>
                <w:szCs w:val="20"/>
                <w:color w:val="auto"/>
              </w:rPr>
            </w:pPr>
            <w:r>
              <w:rPr>
                <w:rFonts w:ascii="Arial" w:cs="Arial" w:eastAsia="Arial" w:hAnsi="Arial"/>
                <w:sz w:val="17"/>
                <w:szCs w:val="17"/>
                <w:color w:val="auto"/>
              </w:rPr>
              <w:t>Social Security Number</w:t>
            </w:r>
          </w:p>
        </w:tc>
        <w:tc>
          <w:tcPr>
            <w:tcW w:w="0" w:type="dxa"/>
            <w:vAlign w:val="bottom"/>
          </w:tcPr>
          <w:p>
            <w:pPr>
              <w:spacing w:after="0"/>
              <w:rPr>
                <w:sz w:val="1"/>
                <w:szCs w:val="1"/>
                <w:color w:val="auto"/>
              </w:rPr>
            </w:pPr>
          </w:p>
        </w:tc>
      </w:tr>
      <w:tr>
        <w:trPr>
          <w:trHeight w:val="50"/>
        </w:trPr>
        <w:tc>
          <w:tcPr>
            <w:tcW w:w="486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w w:val="89"/>
              </w:rPr>
              <w:t>___________________________</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Arial" w:cs="Arial" w:eastAsia="Arial" w:hAnsi="Arial"/>
                <w:sz w:val="17"/>
                <w:szCs w:val="17"/>
                <w:color w:val="auto"/>
                <w:w w:val="96"/>
              </w:rPr>
              <w:t>Employer Identification 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PART 2 — Certification — Under penalties of perjury, I certify that:</w:t>
      </w:r>
    </w:p>
    <w:p>
      <w:pPr>
        <w:spacing w:after="0" w:line="121" w:lineRule="exact"/>
        <w:rPr>
          <w:sz w:val="20"/>
          <w:szCs w:val="20"/>
          <w:color w:val="auto"/>
        </w:rPr>
      </w:pPr>
    </w:p>
    <w:p>
      <w:pPr>
        <w:ind w:left="2260" w:right="179" w:hanging="239"/>
        <w:spacing w:after="0" w:line="274" w:lineRule="auto"/>
        <w:tabs>
          <w:tab w:leader="none" w:pos="225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number shown on this form is my correct taxpayer identification number (or I am waiting for a number to be issued to me),</w:t>
      </w:r>
    </w:p>
    <w:p>
      <w:pPr>
        <w:spacing w:after="0" w:line="66" w:lineRule="exact"/>
        <w:rPr>
          <w:rFonts w:ascii="Arial" w:cs="Arial" w:eastAsia="Arial" w:hAnsi="Arial"/>
          <w:sz w:val="17"/>
          <w:szCs w:val="17"/>
          <w:color w:val="auto"/>
        </w:rPr>
      </w:pPr>
    </w:p>
    <w:p>
      <w:pPr>
        <w:jc w:val="both"/>
        <w:ind w:left="2260" w:right="279" w:hanging="239"/>
        <w:spacing w:after="0" w:line="312" w:lineRule="auto"/>
        <w:tabs>
          <w:tab w:leader="none" w:pos="2259" w:val="left"/>
        </w:tabs>
        <w:numPr>
          <w:ilvl w:val="0"/>
          <w:numId w:val="163"/>
        </w:numPr>
        <w:rPr>
          <w:rFonts w:ascii="Arial" w:cs="Arial" w:eastAsia="Arial" w:hAnsi="Arial"/>
          <w:sz w:val="15"/>
          <w:szCs w:val="15"/>
          <w:color w:val="auto"/>
        </w:rPr>
      </w:pPr>
      <w:r>
        <w:rPr>
          <w:rFonts w:ascii="Arial" w:cs="Arial" w:eastAsia="Arial" w:hAnsi="Arial"/>
          <w:sz w:val="15"/>
          <w:szCs w:val="15"/>
          <w:color w:val="auto"/>
        </w:rPr>
        <w:t>I am not subject to backup withholding because: (a) I am exempt from backup withholding,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43" w:lineRule="exact"/>
        <w:rPr>
          <w:rFonts w:ascii="Arial" w:cs="Arial" w:eastAsia="Arial" w:hAnsi="Arial"/>
          <w:sz w:val="15"/>
          <w:szCs w:val="15"/>
          <w:color w:val="auto"/>
        </w:rPr>
      </w:pPr>
    </w:p>
    <w:p>
      <w:pPr>
        <w:ind w:left="2280" w:hanging="246"/>
        <w:spacing w:after="0"/>
        <w:tabs>
          <w:tab w:leader="none" w:pos="22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 am a U.S. citizen or other U.S. person (including a U.S. resident alien) and</w:t>
      </w:r>
    </w:p>
    <w:p>
      <w:pPr>
        <w:spacing w:after="0" w:line="115" w:lineRule="exact"/>
        <w:rPr>
          <w:rFonts w:ascii="Arial" w:cs="Arial" w:eastAsia="Arial" w:hAnsi="Arial"/>
          <w:sz w:val="17"/>
          <w:szCs w:val="17"/>
          <w:color w:val="auto"/>
        </w:rPr>
      </w:pPr>
    </w:p>
    <w:p>
      <w:pPr>
        <w:ind w:left="2280" w:hanging="246"/>
        <w:spacing w:after="0"/>
        <w:tabs>
          <w:tab w:leader="none" w:pos="228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FATCA code(s) entered on this form (if any) indicating that I am exempt from FATCA reporting is correct.</w:t>
      </w:r>
    </w:p>
    <w:p>
      <w:pPr>
        <w:spacing w:after="0" w:line="127" w:lineRule="exact"/>
        <w:rPr>
          <w:sz w:val="20"/>
          <w:szCs w:val="20"/>
          <w:color w:val="auto"/>
        </w:rPr>
      </w:pPr>
    </w:p>
    <w:p>
      <w:pPr>
        <w:ind w:left="2040" w:right="159"/>
        <w:spacing w:after="0" w:line="302" w:lineRule="auto"/>
        <w:rPr>
          <w:sz w:val="20"/>
          <w:szCs w:val="20"/>
          <w:color w:val="auto"/>
        </w:rPr>
      </w:pPr>
      <w:r>
        <w:rPr>
          <w:rFonts w:ascii="Arial" w:cs="Arial" w:eastAsia="Arial" w:hAnsi="Arial"/>
          <w:sz w:val="15"/>
          <w:szCs w:val="15"/>
          <w:u w:val="single" w:color="auto"/>
          <w:color w:val="auto"/>
        </w:rPr>
        <w:t>Certification Instructions.</w:t>
      </w:r>
      <w:r>
        <w:rPr>
          <w:rFonts w:ascii="Arial" w:cs="Arial" w:eastAsia="Arial" w:hAnsi="Arial"/>
          <w:sz w:val="15"/>
          <w:szCs w:val="15"/>
          <w:color w:val="auto"/>
        </w:rPr>
        <w:t xml:space="preserve"> — You must cross out item 2 above if you have been notified by the IRS that you are currently subject to backup withholding because you have failed to report all interest and dividends on your tax return. However, if after being notified by the IRS that you were subject to backup withholding you received another notification from the IRS stating that you are no longer subject to backup withholding, do not cross out item 2.</w:t>
      </w:r>
    </w:p>
    <w:p>
      <w:pPr>
        <w:spacing w:after="0" w:line="226" w:lineRule="exact"/>
        <w:rPr>
          <w:sz w:val="20"/>
          <w:szCs w:val="20"/>
          <w:color w:val="auto"/>
        </w:rPr>
      </w:pPr>
    </w:p>
    <w:p>
      <w:pPr>
        <w:ind w:left="2040" w:right="719"/>
        <w:spacing w:after="0" w:line="274" w:lineRule="auto"/>
        <w:rPr>
          <w:sz w:val="20"/>
          <w:szCs w:val="20"/>
          <w:color w:val="auto"/>
        </w:rPr>
      </w:pPr>
      <w:r>
        <w:rPr>
          <w:rFonts w:ascii="Arial" w:cs="Arial" w:eastAsia="Arial" w:hAnsi="Arial"/>
          <w:sz w:val="17"/>
          <w:szCs w:val="17"/>
          <w:color w:val="auto"/>
        </w:rPr>
        <w:t>The Internal Revenue Service does not require your consent to any provision of this document other than the certifications required to avoid backup withholding.</w:t>
      </w:r>
    </w:p>
    <w:p>
      <w:pPr>
        <w:spacing w:after="0" w:line="169"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SIGNATURE_____________________________________________ DATE_____________________________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121" w:lineRule="exact"/>
        <w:rPr>
          <w:sz w:val="20"/>
          <w:szCs w:val="20"/>
          <w:color w:val="auto"/>
        </w:rPr>
      </w:pPr>
    </w:p>
    <w:p>
      <w:pPr>
        <w:ind w:right="159"/>
        <w:spacing w:after="0" w:line="279" w:lineRule="auto"/>
        <w:rPr>
          <w:sz w:val="20"/>
          <w:szCs w:val="20"/>
          <w:color w:val="auto"/>
        </w:rPr>
      </w:pPr>
      <w:r>
        <w:rPr>
          <w:rFonts w:ascii="Arial" w:cs="Arial" w:eastAsia="Arial" w:hAnsi="Arial"/>
          <w:sz w:val="17"/>
          <w:szCs w:val="17"/>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28% of all reportable payments made to me will be withheld.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Signature_________________________________ Date_______________________________________</w:t>
      </w:r>
    </w:p>
    <w:p>
      <w:pPr>
        <w:sectPr>
          <w:pgSz w:w="11900" w:h="16838" w:orient="portrait"/>
          <w:cols w:equalWidth="0" w:num="1">
            <w:col w:w="10179"/>
          </w:cols>
          <w:pgMar w:left="280" w:top="364" w:right="1440"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NUMBER ON SUBSTITUTE FORM W-9</w:t>
      </w:r>
    </w:p>
    <w:p>
      <w:pPr>
        <w:spacing w:after="0" w:line="99"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Guidelines For Determining the Proper Identification Number to Give the Payer </w:t>
      </w:r>
      <w:r>
        <w:rPr>
          <w:rFonts w:ascii="Arial" w:cs="Arial" w:eastAsia="Arial" w:hAnsi="Arial"/>
          <w:sz w:val="18"/>
          <w:szCs w:val="18"/>
          <w:color w:val="auto"/>
        </w:rPr>
        <w:t>– Social Security Numbers (“SSNs”) have nine digits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separated by two hyphens: i.e., 000-00-0000. Employer Identification Numbers (“EINs”)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65480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54800" cy="2603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 this type of account: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hanging="178"/>
        <w:spacing w:after="0"/>
        <w:tabs>
          <w:tab w:leader="none" w:pos="2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Individual</w:t>
      </w:r>
    </w:p>
    <w:p>
      <w:pPr>
        <w:spacing w:after="0" w:line="279" w:lineRule="exact"/>
        <w:rPr>
          <w:rFonts w:ascii="Arial" w:cs="Arial" w:eastAsia="Arial" w:hAnsi="Arial"/>
          <w:sz w:val="18"/>
          <w:szCs w:val="18"/>
          <w:color w:val="auto"/>
        </w:rPr>
      </w:pPr>
    </w:p>
    <w:p>
      <w:pPr>
        <w:ind w:left="220" w:right="500" w:hanging="198"/>
        <w:spacing w:after="0" w:line="342" w:lineRule="auto"/>
        <w:tabs>
          <w:tab w:leader="none" w:pos="19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Two or more individuals (joint account)</w:t>
      </w:r>
    </w:p>
    <w:p>
      <w:pPr>
        <w:spacing w:after="0" w:line="393" w:lineRule="exact"/>
        <w:rPr>
          <w:rFonts w:ascii="Arial" w:cs="Arial" w:eastAsia="Arial" w:hAnsi="Arial"/>
          <w:sz w:val="16"/>
          <w:szCs w:val="16"/>
          <w:color w:val="auto"/>
        </w:rPr>
      </w:pPr>
    </w:p>
    <w:p>
      <w:pPr>
        <w:jc w:val="both"/>
        <w:ind w:left="220" w:right="580" w:hanging="198"/>
        <w:spacing w:after="0" w:line="264" w:lineRule="auto"/>
        <w:tabs>
          <w:tab w:leader="none" w:pos="19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Custodian account of a minor (Uniform Gift to Minors Act)</w:t>
      </w:r>
    </w:p>
    <w:p>
      <w:pPr>
        <w:spacing w:after="0" w:line="19" w:lineRule="exact"/>
        <w:rPr>
          <w:rFonts w:ascii="Arial" w:cs="Arial" w:eastAsia="Arial" w:hAnsi="Arial"/>
          <w:sz w:val="18"/>
          <w:szCs w:val="18"/>
          <w:color w:val="auto"/>
        </w:rPr>
      </w:pPr>
    </w:p>
    <w:p>
      <w:pPr>
        <w:ind w:left="220" w:right="560" w:hanging="198"/>
        <w:spacing w:after="0" w:line="271" w:lineRule="auto"/>
        <w:tabs>
          <w:tab w:leader="none" w:pos="19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 The usual revocable savings trust (grantor is also trustee)</w:t>
      </w:r>
    </w:p>
    <w:p>
      <w:pPr>
        <w:ind w:left="220" w:right="420" w:hanging="23"/>
        <w:spacing w:after="0" w:line="254" w:lineRule="auto"/>
        <w:rPr>
          <w:rFonts w:ascii="Arial" w:cs="Arial" w:eastAsia="Arial" w:hAnsi="Arial"/>
          <w:sz w:val="17"/>
          <w:szCs w:val="17"/>
          <w:color w:val="auto"/>
        </w:rPr>
      </w:pPr>
      <w:r>
        <w:rPr>
          <w:rFonts w:ascii="Arial" w:cs="Arial" w:eastAsia="Arial" w:hAnsi="Arial"/>
          <w:sz w:val="18"/>
          <w:szCs w:val="18"/>
          <w:color w:val="auto"/>
        </w:rPr>
        <w:t>b. The so-called trust account that is not a legal or valid trust under state law</w:t>
      </w:r>
    </w:p>
    <w:p>
      <w:pPr>
        <w:spacing w:after="0" w:line="27" w:lineRule="exact"/>
        <w:rPr>
          <w:rFonts w:ascii="Arial" w:cs="Arial" w:eastAsia="Arial" w:hAnsi="Arial"/>
          <w:sz w:val="17"/>
          <w:szCs w:val="17"/>
          <w:color w:val="auto"/>
        </w:rPr>
      </w:pPr>
    </w:p>
    <w:p>
      <w:pPr>
        <w:ind w:left="220" w:hanging="198"/>
        <w:spacing w:after="0" w:line="256" w:lineRule="auto"/>
        <w:tabs>
          <w:tab w:leader="none" w:pos="19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Sole proprietorship or disregarded entity owned by an individual</w:t>
      </w:r>
    </w:p>
    <w:p>
      <w:pPr>
        <w:ind w:left="220" w:right="100" w:hanging="198"/>
        <w:spacing w:after="0" w:line="281" w:lineRule="auto"/>
        <w:tabs>
          <w:tab w:leader="none" w:pos="19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Grantor trust filing under Optional Form 1099 Filing Method 1 (see Treasury Regulation section 1.671-4(b)</w:t>
      </w:r>
    </w:p>
    <w:p>
      <w:pPr>
        <w:spacing w:after="0" w:line="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1703705</wp:posOffset>
            </wp:positionV>
            <wp:extent cx="320738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738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680"/>
        <w:spacing w:after="0" w:line="255" w:lineRule="auto"/>
        <w:rPr>
          <w:sz w:val="20"/>
          <w:szCs w:val="20"/>
          <w:color w:val="auto"/>
        </w:rPr>
      </w:pPr>
      <w:r>
        <w:rPr>
          <w:rFonts w:ascii="Arial" w:cs="Arial" w:eastAsia="Arial" w:hAnsi="Arial"/>
          <w:sz w:val="18"/>
          <w:szCs w:val="18"/>
          <w:b w:val="1"/>
          <w:bCs w:val="1"/>
          <w:color w:val="auto"/>
        </w:rPr>
        <w:t>GIVE THE NAME AND SOCIAL SECURITY NUMBER or EMPLOYER IDENTIFICATION NUMBER of —</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individual</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actual owner of the account or, if combined funds, the first individual on the account (1)</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minor (2)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grantor-trustee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actual owner (1)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owner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grantor*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GIVE THE NAME</w:t>
            </w:r>
          </w:p>
        </w:tc>
      </w:tr>
      <w:tr>
        <w:trPr>
          <w:trHeight w:val="216"/>
        </w:trPr>
        <w:tc>
          <w:tcPr>
            <w:tcW w:w="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AND EMPLOYER</w:t>
            </w:r>
          </w:p>
        </w:tc>
      </w:tr>
      <w:tr>
        <w:trPr>
          <w:trHeight w:val="216"/>
        </w:trPr>
        <w:tc>
          <w:tcPr>
            <w:tcW w:w="160" w:type="dxa"/>
            <w:vAlign w:val="bottom"/>
          </w:tcPr>
          <w:p>
            <w:pPr>
              <w:spacing w:after="0"/>
              <w:rPr>
                <w:sz w:val="18"/>
                <w:szCs w:val="18"/>
                <w:color w:val="auto"/>
              </w:rPr>
            </w:pPr>
          </w:p>
        </w:tc>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For this type of account:</w:t>
            </w: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IDENTIFICATION</w:t>
            </w:r>
          </w:p>
        </w:tc>
      </w:tr>
      <w:tr>
        <w:trPr>
          <w:trHeight w:val="234"/>
        </w:trPr>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NUMBER of —</w:t>
            </w:r>
          </w:p>
        </w:tc>
      </w:tr>
      <w:tr>
        <w:trPr>
          <w:trHeight w:val="688"/>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2760" w:type="dxa"/>
            <w:vAlign w:val="bottom"/>
          </w:tcPr>
          <w:p>
            <w:pPr>
              <w:ind w:left="20"/>
              <w:spacing w:after="0"/>
              <w:rPr>
                <w:sz w:val="20"/>
                <w:szCs w:val="20"/>
                <w:color w:val="auto"/>
              </w:rPr>
            </w:pPr>
            <w:r>
              <w:rPr>
                <w:rFonts w:ascii="Arial" w:cs="Arial" w:eastAsia="Arial" w:hAnsi="Arial"/>
                <w:sz w:val="18"/>
                <w:szCs w:val="18"/>
                <w:color w:val="auto"/>
                <w:w w:val="96"/>
              </w:rPr>
              <w:t>Disregarded entity not owned by an</w:t>
            </w:r>
          </w:p>
        </w:tc>
        <w:tc>
          <w:tcPr>
            <w:tcW w:w="1660" w:type="dxa"/>
            <w:vAlign w:val="bottom"/>
          </w:tcPr>
          <w:p>
            <w:pPr>
              <w:ind w:left="140"/>
              <w:spacing w:after="0"/>
              <w:rPr>
                <w:sz w:val="20"/>
                <w:szCs w:val="20"/>
                <w:color w:val="auto"/>
              </w:rPr>
            </w:pPr>
            <w:r>
              <w:rPr>
                <w:rFonts w:ascii="Arial" w:cs="Arial" w:eastAsia="Arial" w:hAnsi="Arial"/>
                <w:sz w:val="18"/>
                <w:szCs w:val="18"/>
                <w:color w:val="auto"/>
              </w:rPr>
              <w:t>The owner</w:t>
            </w: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individual</w:t>
            </w:r>
          </w:p>
        </w:tc>
        <w:tc>
          <w:tcPr>
            <w:tcW w:w="1660" w:type="dxa"/>
            <w:vAlign w:val="bottom"/>
          </w:tcPr>
          <w:p>
            <w:pPr>
              <w:spacing w:after="0"/>
              <w:rPr>
                <w:sz w:val="20"/>
                <w:szCs w:val="20"/>
                <w:color w:val="auto"/>
              </w:rPr>
            </w:pPr>
          </w:p>
        </w:tc>
      </w:tr>
      <w:tr>
        <w:trPr>
          <w:trHeight w:val="256"/>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2760" w:type="dxa"/>
            <w:vAlign w:val="bottom"/>
          </w:tcPr>
          <w:p>
            <w:pPr>
              <w:ind w:left="20"/>
              <w:spacing w:after="0"/>
              <w:rPr>
                <w:sz w:val="20"/>
                <w:szCs w:val="20"/>
                <w:color w:val="auto"/>
              </w:rPr>
            </w:pPr>
            <w:r>
              <w:rPr>
                <w:rFonts w:ascii="Arial" w:cs="Arial" w:eastAsia="Arial" w:hAnsi="Arial"/>
                <w:sz w:val="18"/>
                <w:szCs w:val="18"/>
                <w:color w:val="auto"/>
              </w:rPr>
              <w:t>A valid trust, estate or</w:t>
            </w:r>
          </w:p>
        </w:tc>
        <w:tc>
          <w:tcPr>
            <w:tcW w:w="1660" w:type="dxa"/>
            <w:vAlign w:val="bottom"/>
          </w:tcPr>
          <w:p>
            <w:pPr>
              <w:ind w:left="140"/>
              <w:spacing w:after="0"/>
              <w:rPr>
                <w:sz w:val="20"/>
                <w:szCs w:val="20"/>
                <w:color w:val="auto"/>
              </w:rPr>
            </w:pPr>
            <w:r>
              <w:rPr>
                <w:rFonts w:ascii="Arial" w:cs="Arial" w:eastAsia="Arial" w:hAnsi="Arial"/>
                <w:sz w:val="18"/>
                <w:szCs w:val="18"/>
                <w:color w:val="auto"/>
              </w:rPr>
              <w:t>Legal entity (4)</w:t>
            </w: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pension trust</w:t>
            </w:r>
          </w:p>
        </w:tc>
        <w:tc>
          <w:tcPr>
            <w:tcW w:w="1660" w:type="dxa"/>
            <w:vAlign w:val="bottom"/>
          </w:tcPr>
          <w:p>
            <w:pPr>
              <w:spacing w:after="0"/>
              <w:rPr>
                <w:sz w:val="20"/>
                <w:szCs w:val="20"/>
                <w:color w:val="auto"/>
              </w:rPr>
            </w:pPr>
          </w:p>
        </w:tc>
      </w:tr>
      <w:tr>
        <w:trPr>
          <w:trHeight w:val="688"/>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2760" w:type="dxa"/>
            <w:vAlign w:val="bottom"/>
          </w:tcPr>
          <w:p>
            <w:pPr>
              <w:ind w:left="20"/>
              <w:spacing w:after="0"/>
              <w:rPr>
                <w:sz w:val="20"/>
                <w:szCs w:val="20"/>
                <w:color w:val="auto"/>
              </w:rPr>
            </w:pPr>
            <w:r>
              <w:rPr>
                <w:rFonts w:ascii="Arial" w:cs="Arial" w:eastAsia="Arial" w:hAnsi="Arial"/>
                <w:sz w:val="18"/>
                <w:szCs w:val="18"/>
                <w:color w:val="auto"/>
              </w:rPr>
              <w:t>Corporation or LLC electing</w:t>
            </w:r>
          </w:p>
        </w:tc>
        <w:tc>
          <w:tcPr>
            <w:tcW w:w="1660" w:type="dxa"/>
            <w:vAlign w:val="bottom"/>
          </w:tcPr>
          <w:p>
            <w:pPr>
              <w:ind w:left="140"/>
              <w:spacing w:after="0"/>
              <w:rPr>
                <w:sz w:val="20"/>
                <w:szCs w:val="20"/>
                <w:color w:val="auto"/>
              </w:rPr>
            </w:pPr>
            <w:r>
              <w:rPr>
                <w:rFonts w:ascii="Arial" w:cs="Arial" w:eastAsia="Arial" w:hAnsi="Arial"/>
                <w:sz w:val="18"/>
                <w:szCs w:val="18"/>
                <w:color w:val="auto"/>
              </w:rPr>
              <w:t>The corporation</w:t>
            </w:r>
          </w:p>
        </w:tc>
      </w:tr>
      <w:tr>
        <w:trPr>
          <w:trHeight w:val="216"/>
        </w:trPr>
        <w:tc>
          <w:tcPr>
            <w:tcW w:w="160" w:type="dxa"/>
            <w:vAlign w:val="bottom"/>
          </w:tcPr>
          <w:p>
            <w:pPr>
              <w:spacing w:after="0"/>
              <w:rPr>
                <w:sz w:val="18"/>
                <w:szCs w:val="18"/>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6"/>
              </w:rPr>
              <w:t>corporate status on IRS Form 8832</w:t>
            </w:r>
          </w:p>
        </w:tc>
        <w:tc>
          <w:tcPr>
            <w:tcW w:w="166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or IRS Form 2553</w:t>
            </w:r>
          </w:p>
        </w:tc>
        <w:tc>
          <w:tcPr>
            <w:tcW w:w="1660" w:type="dxa"/>
            <w:vAlign w:val="bottom"/>
          </w:tcPr>
          <w:p>
            <w:pPr>
              <w:spacing w:after="0"/>
              <w:rPr>
                <w:sz w:val="20"/>
                <w:szCs w:val="20"/>
                <w:color w:val="auto"/>
              </w:rPr>
            </w:pPr>
          </w:p>
        </w:tc>
      </w:tr>
      <w:tr>
        <w:trPr>
          <w:trHeight w:val="256"/>
        </w:trPr>
        <w:tc>
          <w:tcPr>
            <w:tcW w:w="2920" w:type="dxa"/>
            <w:vAlign w:val="bottom"/>
            <w:gridSpan w:val="2"/>
          </w:tcPr>
          <w:p>
            <w:pPr>
              <w:spacing w:after="0"/>
              <w:rPr>
                <w:sz w:val="20"/>
                <w:szCs w:val="20"/>
                <w:color w:val="auto"/>
              </w:rPr>
            </w:pPr>
            <w:r>
              <w:rPr>
                <w:rFonts w:ascii="Arial" w:cs="Arial" w:eastAsia="Arial" w:hAnsi="Arial"/>
                <w:sz w:val="18"/>
                <w:szCs w:val="18"/>
                <w:color w:val="auto"/>
              </w:rPr>
              <w:t>10. Association, club, religious,</w:t>
            </w:r>
          </w:p>
        </w:tc>
        <w:tc>
          <w:tcPr>
            <w:tcW w:w="1660" w:type="dxa"/>
            <w:vAlign w:val="bottom"/>
          </w:tcPr>
          <w:p>
            <w:pPr>
              <w:ind w:left="140"/>
              <w:spacing w:after="0"/>
              <w:rPr>
                <w:sz w:val="20"/>
                <w:szCs w:val="20"/>
                <w:color w:val="auto"/>
              </w:rPr>
            </w:pPr>
            <w:r>
              <w:rPr>
                <w:rFonts w:ascii="Arial" w:cs="Arial" w:eastAsia="Arial" w:hAnsi="Arial"/>
                <w:sz w:val="18"/>
                <w:szCs w:val="18"/>
                <w:color w:val="auto"/>
              </w:rPr>
              <w:t>The organization</w:t>
            </w:r>
          </w:p>
        </w:tc>
      </w:tr>
      <w:tr>
        <w:trPr>
          <w:trHeight w:val="216"/>
        </w:trPr>
        <w:tc>
          <w:tcPr>
            <w:tcW w:w="160" w:type="dxa"/>
            <w:vAlign w:val="bottom"/>
          </w:tcPr>
          <w:p>
            <w:pPr>
              <w:spacing w:after="0"/>
              <w:rPr>
                <w:sz w:val="18"/>
                <w:szCs w:val="18"/>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5"/>
              </w:rPr>
              <w:t>charitable, educational or other tax-</w:t>
            </w:r>
          </w:p>
        </w:tc>
        <w:tc>
          <w:tcPr>
            <w:tcW w:w="166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exempt organization</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3060" w:val="left"/>
        </w:tabs>
        <w:rPr>
          <w:sz w:val="20"/>
          <w:szCs w:val="20"/>
          <w:color w:val="auto"/>
        </w:rPr>
      </w:pPr>
      <w:r>
        <w:rPr>
          <w:rFonts w:ascii="Arial" w:cs="Arial" w:eastAsia="Arial" w:hAnsi="Arial"/>
          <w:sz w:val="18"/>
          <w:szCs w:val="18"/>
          <w:color w:val="auto"/>
        </w:rPr>
        <w:t>11. Partnership or multi-member</w:t>
      </w:r>
      <w:r>
        <w:rPr>
          <w:sz w:val="20"/>
          <w:szCs w:val="20"/>
          <w:color w:val="auto"/>
        </w:rPr>
        <w:tab/>
      </w:r>
      <w:r>
        <w:rPr>
          <w:rFonts w:ascii="Arial" w:cs="Arial" w:eastAsia="Arial" w:hAnsi="Arial"/>
          <w:sz w:val="16"/>
          <w:szCs w:val="16"/>
          <w:color w:val="auto"/>
        </w:rPr>
        <w:t>The partnership</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ind w:left="20"/>
        <w:spacing w:after="0"/>
        <w:tabs>
          <w:tab w:leader="none" w:pos="3060" w:val="left"/>
        </w:tabs>
        <w:rPr>
          <w:sz w:val="20"/>
          <w:szCs w:val="20"/>
          <w:color w:val="auto"/>
        </w:rPr>
      </w:pPr>
      <w:r>
        <w:rPr>
          <w:rFonts w:ascii="Arial" w:cs="Arial" w:eastAsia="Arial" w:hAnsi="Arial"/>
          <w:sz w:val="18"/>
          <w:szCs w:val="18"/>
          <w:color w:val="auto"/>
        </w:rPr>
        <w:t>12. A broker or registered</w:t>
      </w:r>
      <w:r>
        <w:rPr>
          <w:sz w:val="20"/>
          <w:szCs w:val="20"/>
          <w:color w:val="auto"/>
        </w:rPr>
        <w:tab/>
      </w:r>
      <w:r>
        <w:rPr>
          <w:rFonts w:ascii="Arial" w:cs="Arial" w:eastAsia="Arial" w:hAnsi="Arial"/>
          <w:sz w:val="16"/>
          <w:szCs w:val="16"/>
          <w:color w:val="auto"/>
        </w:rPr>
        <w:t>The broker or</w:t>
      </w:r>
    </w:p>
    <w:p>
      <w:pPr>
        <w:spacing w:after="0" w:line="9" w:lineRule="exact"/>
        <w:rPr>
          <w:sz w:val="20"/>
          <w:szCs w:val="20"/>
          <w:color w:val="auto"/>
        </w:rPr>
      </w:pPr>
    </w:p>
    <w:p>
      <w:pPr>
        <w:ind w:left="220"/>
        <w:spacing w:after="0"/>
        <w:tabs>
          <w:tab w:leader="none" w:pos="3060" w:val="left"/>
        </w:tabs>
        <w:rPr>
          <w:sz w:val="20"/>
          <w:szCs w:val="20"/>
          <w:color w:val="auto"/>
        </w:rPr>
      </w:pPr>
      <w:r>
        <w:rPr>
          <w:rFonts w:ascii="Arial" w:cs="Arial" w:eastAsia="Arial" w:hAnsi="Arial"/>
          <w:sz w:val="18"/>
          <w:szCs w:val="18"/>
          <w:color w:val="auto"/>
        </w:rPr>
        <w:t>nominee</w:t>
      </w:r>
      <w:r>
        <w:rPr>
          <w:sz w:val="20"/>
          <w:szCs w:val="20"/>
          <w:color w:val="auto"/>
        </w:rPr>
        <w:tab/>
      </w: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13. Account with the</w:t>
            </w:r>
          </w:p>
        </w:tc>
        <w:tc>
          <w:tcPr>
            <w:tcW w:w="2260" w:type="dxa"/>
            <w:vAlign w:val="bottom"/>
          </w:tcPr>
          <w:p>
            <w:pPr>
              <w:ind w:left="120"/>
              <w:spacing w:after="0"/>
              <w:rPr>
                <w:sz w:val="20"/>
                <w:szCs w:val="20"/>
                <w:color w:val="auto"/>
              </w:rPr>
            </w:pPr>
            <w:r>
              <w:rPr>
                <w:rFonts w:ascii="Arial" w:cs="Arial" w:eastAsia="Arial" w:hAnsi="Arial"/>
                <w:sz w:val="18"/>
                <w:szCs w:val="18"/>
                <w:color w:val="auto"/>
              </w:rPr>
              <w:t>The public entity</w:t>
            </w: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Department of Agriculture in</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the name of a public entity</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2"/>
              </w:rPr>
              <w:t>(such as a state or local government,</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school district or prison) that</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receives</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agricultural program payments</w:t>
            </w:r>
          </w:p>
        </w:tc>
        <w:tc>
          <w:tcPr>
            <w:tcW w:w="2260" w:type="dxa"/>
            <w:vAlign w:val="bottom"/>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w w:val="96"/>
              </w:rPr>
              <w:t>14. Grantor trust filing under the Form</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8"/>
              </w:rPr>
              <w:t>1041 Filing Method or the Optional</w:t>
            </w:r>
          </w:p>
        </w:tc>
        <w:tc>
          <w:tcPr>
            <w:tcW w:w="2260" w:type="dxa"/>
            <w:vAlign w:val="bottom"/>
          </w:tcPr>
          <w:p>
            <w:pPr>
              <w:ind w:left="120"/>
              <w:spacing w:after="0"/>
              <w:rPr>
                <w:sz w:val="20"/>
                <w:szCs w:val="20"/>
                <w:color w:val="auto"/>
              </w:rPr>
            </w:pPr>
            <w:r>
              <w:rPr>
                <w:rFonts w:ascii="Arial" w:cs="Arial" w:eastAsia="Arial" w:hAnsi="Arial"/>
                <w:sz w:val="18"/>
                <w:szCs w:val="18"/>
                <w:color w:val="auto"/>
              </w:rPr>
              <w:t>The trust</w:t>
            </w: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Form 1099 Filing Method 2 (see</w:t>
            </w:r>
          </w:p>
        </w:tc>
        <w:tc>
          <w:tcPr>
            <w:tcW w:w="2260" w:type="dxa"/>
            <w:vAlign w:val="bottom"/>
          </w:tcPr>
          <w:p>
            <w:pPr>
              <w:spacing w:after="0"/>
              <w:rPr>
                <w:sz w:val="18"/>
                <w:szCs w:val="18"/>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w w:val="97"/>
              </w:rPr>
              <w:t>Treasury Regulation section 1.671-</w:t>
            </w:r>
          </w:p>
        </w:tc>
        <w:tc>
          <w:tcPr>
            <w:tcW w:w="2260" w:type="dxa"/>
            <w:vAlign w:val="bottom"/>
          </w:tcPr>
          <w:p>
            <w:pPr>
              <w:spacing w:after="0"/>
              <w:rPr>
                <w:sz w:val="18"/>
                <w:szCs w:val="18"/>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4(b)(2)(i)(B))</w:t>
            </w:r>
          </w:p>
        </w:tc>
        <w:tc>
          <w:tcPr>
            <w:tcW w:w="2260" w:type="dxa"/>
            <w:vAlign w:val="bottom"/>
          </w:tcPr>
          <w:p>
            <w:pPr>
              <w:spacing w:after="0"/>
              <w:rPr>
                <w:sz w:val="20"/>
                <w:szCs w:val="20"/>
                <w:color w:val="auto"/>
              </w:rPr>
            </w:pPr>
          </w:p>
        </w:tc>
      </w:tr>
      <w:tr>
        <w:trPr>
          <w:trHeight w:val="48"/>
        </w:trPr>
        <w:tc>
          <w:tcPr>
            <w:tcW w:w="29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pacing w:after="0" w:line="94" w:lineRule="exact"/>
        <w:rPr>
          <w:sz w:val="20"/>
          <w:szCs w:val="20"/>
          <w:color w:val="auto"/>
        </w:rPr>
      </w:pPr>
    </w:p>
    <w:p>
      <w:pPr>
        <w:sectPr>
          <w:pgSz w:w="11900" w:h="16838" w:orient="portrait"/>
          <w:cols w:equalWidth="0" w:num="3">
            <w:col w:w="2480" w:space="200"/>
            <w:col w:w="2200" w:space="380"/>
            <w:col w:w="6080"/>
          </w:cols>
          <w:pgMar w:left="240" w:top="364" w:right="319" w:bottom="1440" w:gutter="0" w:footer="0" w:header="0"/>
          <w:type w:val="continuous"/>
        </w:sectPr>
      </w:pPr>
    </w:p>
    <w:p>
      <w:pPr>
        <w:ind w:left="400" w:right="320" w:hanging="392"/>
        <w:spacing w:after="0" w:line="277" w:lineRule="auto"/>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SSN you furnish. If only one person on a joint account has an SSN, that person’s number must be furnished.</w:t>
      </w:r>
    </w:p>
    <w:p>
      <w:pPr>
        <w:spacing w:after="0" w:line="8" w:lineRule="exact"/>
        <w:rPr>
          <w:rFonts w:ascii="Arial" w:cs="Arial" w:eastAsia="Arial" w:hAnsi="Arial"/>
          <w:sz w:val="18"/>
          <w:szCs w:val="18"/>
          <w:color w:val="auto"/>
        </w:rPr>
      </w:pPr>
    </w:p>
    <w:p>
      <w:pPr>
        <w:ind w:left="400" w:hanging="392"/>
        <w:spacing w:after="0"/>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Circle the minor’s name and furnish the minor’s SSN.</w:t>
      </w:r>
    </w:p>
    <w:p>
      <w:pPr>
        <w:spacing w:after="0" w:line="63" w:lineRule="exact"/>
        <w:rPr>
          <w:rFonts w:ascii="Arial" w:cs="Arial" w:eastAsia="Arial" w:hAnsi="Arial"/>
          <w:sz w:val="18"/>
          <w:szCs w:val="18"/>
          <w:color w:val="auto"/>
        </w:rPr>
      </w:pPr>
    </w:p>
    <w:p>
      <w:pPr>
        <w:ind w:left="400" w:right="300" w:hanging="392"/>
        <w:spacing w:after="0" w:line="298" w:lineRule="auto"/>
        <w:tabs>
          <w:tab w:leader="none" w:pos="4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You must show your individual name and you may also enter your business or “doing business as” name on the “Business name/disregarded entity” name line. You may use either your SSN or EIN (if you have one), but the IRS encourages you to use your SSN.</w:t>
      </w:r>
    </w:p>
    <w:p>
      <w:pPr>
        <w:ind w:left="400" w:hanging="392"/>
        <w:spacing w:after="0" w:line="277" w:lineRule="auto"/>
        <w:tabs>
          <w:tab w:leader="none" w:pos="4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8"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*NOTE: Grantor also must provide a Form W-9 to trustee of trust.</w:t>
      </w:r>
    </w:p>
    <w:p>
      <w:pPr>
        <w:sectPr>
          <w:pgSz w:w="11900" w:h="16838" w:orient="portrait"/>
          <w:cols w:equalWidth="0" w:num="1">
            <w:col w:w="11340"/>
          </w:cols>
          <w:pgMar w:left="240" w:top="364" w:right="319" w:bottom="1440" w:gutter="0" w:footer="0" w:header="0"/>
          <w:type w:val="continuous"/>
        </w:sectPr>
      </w:pPr>
    </w:p>
    <w:bookmarkStart w:id="141" w:name="page142"/>
    <w:bookmarkEnd w:id="141"/>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of Form</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A person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spacing w:after="0" w:line="2"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1099-INT (interest earned or paid)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1099-DIV (dividends, including those from stocks or mutual funds)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1099-MISC (various types of income, prizes, awards, or gross proceeds)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1099-B (stock or mutual fund sales and certain other transactions by brokers)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1099-S (proceeds from real estate transactions)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1099-K (merchant card and third party network transactions)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1098 (home mortgage interest), 1098-E (student loan interest), 1098-T (tuition)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1099-C (canceled debt)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Form 1099-A (acquisition or abandonment of secured property)</w:t>
      </w:r>
    </w:p>
    <w:p>
      <w:pPr>
        <w:spacing w:after="0" w:line="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If you are a U.S. person (including a resident alien), use Substitute Form W-9 to give your correct TIN to the requester (the person requesting your TIN). If you do not return Form W-9 to the requester with a TIN, you might be subject to backup withholding. By signing the filled-out form, you: (1) to certify the TIN you are giving is correct (or you are waiting for a number to be issued), (2) to certify you are not subject to backup withholding or (3) to claim exemption from backup withholding if you are an exempt payee and (4) to certify that the FATCA (Foreign Account Tax Compliance Act) code(s) entered on the Substitute Form W-9 (if any) indicating that you are exempt from the FATCA reporting, is correct. The TIN provided must match the name given on the Substitute Form W-9.</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i w:val="1"/>
          <w:iCs w:val="1"/>
          <w:color w:val="auto"/>
        </w:rPr>
        <w:t xml:space="preserve">Definition of a U.S. Person: </w:t>
      </w:r>
      <w:r>
        <w:rPr>
          <w:rFonts w:ascii="Arial" w:cs="Arial" w:eastAsia="Arial" w:hAnsi="Arial"/>
          <w:sz w:val="16"/>
          <w:szCs w:val="16"/>
          <w:color w:val="auto"/>
        </w:rPr>
        <w:t>For federal tax purposes, you are considered a U.S. person if you are: (1) an individual who is a U.S. citizen or U.S. resident alien; (2)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corporation, company or association created or organized in the United States or under the laws of the United States; (3) an estate (other than a foreign estate); or (4) a domestic trust (as defined under Treasury Regulations section 301.7701-7).</w:t>
      </w:r>
    </w:p>
    <w:p>
      <w:pPr>
        <w:spacing w:after="0" w:line="156"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i w:val="1"/>
          <w:iCs w:val="1"/>
          <w:color w:val="auto"/>
        </w:rPr>
        <w:t xml:space="preserve">Special Rules for Partnerships: </w:t>
      </w:r>
      <w:r>
        <w:rPr>
          <w:rFonts w:ascii="Arial" w:cs="Arial" w:eastAsia="Arial" w:hAnsi="Arial"/>
          <w:sz w:val="16"/>
          <w:szCs w:val="16"/>
          <w:color w:val="auto"/>
        </w:rPr>
        <w:t>Partnerships that conduct a trade or business in the United States are generally required to pay a withholding tax under section 1446 on any</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partner’s share of effectively connected taxable income from such business. Further, in certain cases where a Substitute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a Substitute Form W-9 to the partnership to establish your U.S. status and avoid section 1446 withholding on your share of partnership income.</w:t>
      </w:r>
    </w:p>
    <w:p>
      <w:pPr>
        <w:spacing w:after="0" w:line="165"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In the cases below, the following person must give Substitute Form W-9 to the partnership for purposes of establishing its U.S. status and avoiding withholding on its allocable share of net income from the partnership conducting a trade or business in the United States: (1) in the case of a disregarded entity with a U.S. owner, the U.S. owner of the disregarded entity and not the entity; (2) in the case of a grantor trust with a U.S. grantor or other U.S. owner, generally, the U.S. grantor or other U.S. owner of the grantor trust and not the trust; and (3) in the case of a U.S. trust (other than a grantor trust), the U.S. trust (other than a grantor trust) and not the beneficiaries of the trust.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Get a TIN</w:t>
      </w:r>
    </w:p>
    <w:p>
      <w:pPr>
        <w:spacing w:after="0" w:line="19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 xml:space="preserve">If you do not have a TIN, apply for one immediately. To apply for an SSN, obtain Form SS-5, Application for a Social Security Card, at the local office of the Social Security Administration or get this form on-line at </w:t>
      </w:r>
      <w:r>
        <w:rPr>
          <w:rFonts w:ascii="Arial" w:cs="Arial" w:eastAsia="Arial" w:hAnsi="Arial"/>
          <w:sz w:val="15"/>
          <w:szCs w:val="15"/>
          <w:i w:val="1"/>
          <w:iCs w:val="1"/>
          <w:u w:val="single" w:color="auto"/>
          <w:color w:val="auto"/>
        </w:rPr>
        <w:t>www.ssa.gov/online/ss-5.pdf</w:t>
      </w:r>
      <w:r>
        <w:rPr>
          <w:rFonts w:ascii="Arial" w:cs="Arial" w:eastAsia="Arial" w:hAnsi="Arial"/>
          <w:sz w:val="15"/>
          <w:szCs w:val="15"/>
          <w:color w:val="auto"/>
        </w:rPr>
        <w:t xml:space="preserve">. You may also get this form by calling 1-800-772-1213. You can apply for an EIN online by accessing the IRS website at </w:t>
      </w:r>
      <w:r>
        <w:rPr>
          <w:rFonts w:ascii="Arial" w:cs="Arial" w:eastAsia="Arial" w:hAnsi="Arial"/>
          <w:sz w:val="15"/>
          <w:szCs w:val="15"/>
          <w:i w:val="1"/>
          <w:iCs w:val="1"/>
          <w:u w:val="single" w:color="auto"/>
          <w:color w:val="auto"/>
        </w:rPr>
        <w:t>www.irs.gov/businesses</w:t>
      </w:r>
      <w:r>
        <w:rPr>
          <w:rFonts w:ascii="Arial" w:cs="Arial" w:eastAsia="Arial" w:hAnsi="Arial"/>
          <w:sz w:val="15"/>
          <w:szCs w:val="15"/>
          <w:color w:val="auto"/>
        </w:rPr>
        <w:t xml:space="preserve"> and clicking on Employer Identification Number (EIN) under Starting a Business. Use IRS Form W-7, Application for IRS Individual Taxpayer Identification Number, to apply for an ITIN, or IRS Form SS-4, Application for Employer Identification Number, to apply for an EIN. You can get IRS Forms W-7 and SS-4 from the IRS by calling 1-800-TAX-FORM (1-800-829-3676) or from the IRS website at </w:t>
      </w:r>
      <w:r>
        <w:rPr>
          <w:rFonts w:ascii="Arial" w:cs="Arial" w:eastAsia="Arial" w:hAnsi="Arial"/>
          <w:sz w:val="15"/>
          <w:szCs w:val="15"/>
          <w:i w:val="1"/>
          <w:iCs w:val="1"/>
          <w:u w:val="single" w:color="auto"/>
          <w:color w:val="auto"/>
        </w:rPr>
        <w:t>www.irs.gov</w:t>
      </w:r>
      <w:r>
        <w:rPr>
          <w:rFonts w:ascii="Arial" w:cs="Arial" w:eastAsia="Arial" w:hAnsi="Arial"/>
          <w:sz w:val="15"/>
          <w:szCs w:val="15"/>
          <w:color w:val="auto"/>
        </w:rPr>
        <w:t>.</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you do not have a TIN, apply for a TIN and write “Applied For” in Part 1 of Substitute Form W-9, sign and date both the form and the Certificate of Awaiting Taxpayer Identification Number set forth therein, and give it to the requester. For interest and dividend payments and certain payments made with respect to readily tradable instruments, you will generally have 60 days to get a TIN and give it to the requester. If the requester does not receive your TIN within 60 days, backup withholding, if applicable, will begin and continue until you furnish your TIN.</w:t>
      </w:r>
    </w:p>
    <w:p>
      <w:pPr>
        <w:sectPr>
          <w:pgSz w:w="11900" w:h="16838" w:orient="portrait"/>
          <w:cols w:equalWidth="0" w:num="1">
            <w:col w:w="11380"/>
          </w:cols>
          <w:pgMar w:left="240" w:top="369" w:right="27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Page 4</w:t>
      </w:r>
    </w:p>
    <w:p>
      <w:pPr>
        <w:spacing w:after="0" w:line="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Note: Writing “Applied For” on the Substitute W-9 means that you have already applied for a TIN OR that you intend to apply for one soon. As soon as you receive your TIN, complete another Substitute Form W-9, include your TIN, sign and date the form, and give it to the requester.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CAUTION: </w:t>
      </w:r>
      <w:r>
        <w:rPr>
          <w:rFonts w:ascii="Arial" w:cs="Arial" w:eastAsia="Arial" w:hAnsi="Arial"/>
          <w:sz w:val="16"/>
          <w:szCs w:val="16"/>
          <w:color w:val="auto"/>
        </w:rPr>
        <w:t>A disregarded U.S. entity that has a foreign owner must use the appropriate IRS Form W-8.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If you are exempt from backup withholding and/or FATCA reporting, enter any exempt payee code and exemption from FATCA reporting code that may apply to you.</w:t>
      </w: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15"/>
          <w:szCs w:val="15"/>
          <w:i w:val="1"/>
          <w:iCs w:val="1"/>
          <w:color w:val="auto"/>
        </w:rPr>
        <w:t xml:space="preserve">Exempt Payee Code: </w:t>
      </w:r>
      <w:r>
        <w:rPr>
          <w:rFonts w:ascii="Arial" w:cs="Arial" w:eastAsia="Arial" w:hAnsi="Arial"/>
          <w:sz w:val="15"/>
          <w:szCs w:val="15"/>
          <w:color w:val="auto"/>
        </w:rPr>
        <w:t>Individuals (including sole proprietors) are NOT exempt from backup withholding. Except as provided below, corporations are exempt from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for certain payments, including interest and dividends. Corporations are not exempt from backup withholding for payments made in settlement of payment card or third party network transactions. 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146"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following codes identify payees that are exempt from backup withholding. For interest and dividends, all listed payees are exempt except for those listed in 7. For broker transactions, payees listed in 1 through 4 and 6 through 11 and C corporations are exempt. S corporations must not enter an exempt payee code because they are exempt only for sales of noncovered securities acquired prior to 2012. Payments subject to reporting under sections 6041 and 6041A are generally exempt from backup withholding only if made to payees listed in 1 through 5. However, the following payments made to a corporation and reportable on IRS Form 1099-MISC are not exempt from backup withholding: (i) medical and health care payments, (ii) attorneys’ fees, (iii) gross proceeds paid to an attorney reportable under Section 6045(f) and (iv) payments for services paid by a federal executive agency. Only payees listed in 1 through 4 are exempt from backup withholding for barter exchange transactions and patronage dividends and for payments made in settlement of payment card or third party network transactions.</w:t>
      </w:r>
    </w:p>
    <w:p>
      <w:pPr>
        <w:spacing w:after="0" w:line="15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6"/>
          <w:szCs w:val="16"/>
          <w:color w:val="auto"/>
        </w:rPr>
        <w:t>1 – An organization exempt from tax under section 501(a), or an individual retirement plan (“IRA”), or a custodial account under section 403(b)(7), if the account satisfies the requirements of section 401(f)(2)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 – The United States or any of its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 – A state, the District of Columbia, a U.S. commonwealth or possession, or any of their political subdivisions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 – A foreign government, a political subdivision of a foreign government, or any of their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 – A corporation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 – A dealer in securities or commodities required to register in the United States, the District of Columbia or a U.S. commonwealth or possession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 – A futures commission merchant registered with the Commodity Futures Trading Commission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 – A real estate investment trust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 – An entity registered at all times during the tax year under the Investment Company Act of 1940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 – A common trust fund operated by a bank under section 584(a)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 – A financial institution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 – A middleman known in the investment community as a nominee or custodian</w:t>
      </w:r>
    </w:p>
    <w:p>
      <w:pPr>
        <w:sectPr>
          <w:pgSz w:w="11900" w:h="16838" w:orient="portrait"/>
          <w:cols w:equalWidth="0" w:num="1">
            <w:col w:w="11360"/>
          </w:cols>
          <w:pgMar w:left="240" w:top="369" w:right="29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Page 5</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13 – An exempt charitable remainder trust described in section 664 or a non-exempt trust described in section 4947</w:t>
      </w:r>
    </w:p>
    <w:p>
      <w:pPr>
        <w:spacing w:after="0" w:line="194" w:lineRule="exact"/>
        <w:rPr>
          <w:sz w:val="20"/>
          <w:szCs w:val="20"/>
          <w:color w:val="auto"/>
        </w:rPr>
      </w:pPr>
    </w:p>
    <w:p>
      <w:pPr>
        <w:ind w:right="160" w:firstLine="14"/>
        <w:spacing w:after="0" w:line="256" w:lineRule="auto"/>
        <w:rPr>
          <w:sz w:val="20"/>
          <w:szCs w:val="20"/>
          <w:color w:val="auto"/>
        </w:rPr>
      </w:pPr>
      <w:r>
        <w:rPr>
          <w:rFonts w:ascii="Arial" w:cs="Arial" w:eastAsia="Arial" w:hAnsi="Arial"/>
          <w:sz w:val="16"/>
          <w:szCs w:val="16"/>
          <w:i w:val="1"/>
          <w:iCs w:val="1"/>
          <w:color w:val="auto"/>
        </w:rPr>
        <w:t xml:space="preserve">Exemption from FATCA Reporting Code: </w:t>
      </w:r>
      <w:r>
        <w:rPr>
          <w:rFonts w:ascii="Arial" w:cs="Arial" w:eastAsia="Arial" w:hAnsi="Arial"/>
          <w:sz w:val="16"/>
          <w:szCs w:val="16"/>
          <w:color w:val="auto"/>
        </w:rPr>
        <w:t>The following codes identify payees that are exempt from reporting under FATCA. These codes apply to persons submitting</w:t>
      </w:r>
      <w:r>
        <w:rPr>
          <w:rFonts w:ascii="Arial" w:cs="Arial" w:eastAsia="Arial" w:hAnsi="Arial"/>
          <w:sz w:val="16"/>
          <w:szCs w:val="16"/>
          <w:i w:val="1"/>
          <w:iCs w:val="1"/>
          <w:color w:val="auto"/>
        </w:rPr>
        <w:t xml:space="preserve"> </w:t>
      </w:r>
      <w:r>
        <w:rPr>
          <w:rFonts w:ascii="Arial" w:cs="Arial" w:eastAsia="Arial" w:hAnsi="Arial"/>
          <w:sz w:val="16"/>
          <w:szCs w:val="16"/>
          <w:color w:val="auto"/>
        </w:rPr>
        <w:t>Substitute Form W-9 for accounts maintained outside of the United States by certain foreign financial institutions. Therefore, if you are only submitting Substitute Form W-9 for an account you hold in the United States, you may leave this field blank. Consult with the requester if you are uncertain if the financial institution is subject to these requirements.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 An organization exempt from tax under section 501(a) or any individual retirement plan as defined in section 7701(a)(37)</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 The United States or any of its agencies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 A state, the District of Columbia, a U.S. commonwealth or possession, or any of their political subdivisions or instrumentalities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 – A corporation the stock of which is regularly traded on one or more established securities markets, as described in Treasury Regulations section 1.1472-1(c)(1)(i)</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 – A corporation that is a member of the same expanded affiliated group as a corporation described in Treasury Regulations section 1.1472-1(c)(1)(i)</w:t>
      </w:r>
    </w:p>
    <w:p>
      <w:pPr>
        <w:spacing w:after="0" w:line="194" w:lineRule="exact"/>
        <w:rPr>
          <w:sz w:val="20"/>
          <w:szCs w:val="20"/>
          <w:color w:val="auto"/>
        </w:rPr>
      </w:pPr>
    </w:p>
    <w:p>
      <w:pPr>
        <w:ind w:right="80" w:firstLine="648"/>
        <w:spacing w:after="0" w:line="275" w:lineRule="auto"/>
        <w:rPr>
          <w:sz w:val="20"/>
          <w:szCs w:val="20"/>
          <w:color w:val="auto"/>
        </w:rPr>
      </w:pPr>
      <w:r>
        <w:rPr>
          <w:rFonts w:ascii="Arial" w:cs="Arial" w:eastAsia="Arial" w:hAnsi="Arial"/>
          <w:sz w:val="16"/>
          <w:szCs w:val="16"/>
          <w:color w:val="auto"/>
        </w:rPr>
        <w:t>F – A dealer in securities, commodities or derivative financial instruments (including notional principal contracts, futures, forwards and options) that is registered as such under the laws of the United States or any state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 – A real estate investment trust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H – A regulated investment company as defined in section 851 or an entity registered at all times during the tax year under the Investment Company Act of 1940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 A common trust fund as defined in section 584(a)</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 – A bank as defined in section 581</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 – A broker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 – A trust exempt from tax under section 664 or described in section 4947(a)(1)</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 – A tax exempt trust under a section 403(b) plan or section 457(g)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You may wish to consult with the requestor of this form to determine whether the FATCA code and/or exempt payee code should be completed.</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i w:val="1"/>
          <w:iCs w:val="1"/>
          <w:color w:val="auto"/>
        </w:rPr>
        <w:t xml:space="preserve">Payments Exempt from Backup Withholding: </w:t>
      </w:r>
      <w:r>
        <w:rPr>
          <w:rFonts w:ascii="Arial" w:cs="Arial" w:eastAsia="Arial" w:hAnsi="Arial"/>
          <w:sz w:val="16"/>
          <w:szCs w:val="16"/>
          <w:color w:val="auto"/>
        </w:rPr>
        <w:t>Certain payments that are not subject to information reporting are also not subject to backup withholding. For details, see sections</w:t>
      </w:r>
      <w:r>
        <w:rPr>
          <w:rFonts w:ascii="Arial" w:cs="Arial" w:eastAsia="Arial" w:hAnsi="Arial"/>
          <w:sz w:val="16"/>
          <w:szCs w:val="16"/>
          <w:i w:val="1"/>
          <w:iCs w:val="1"/>
          <w:color w:val="auto"/>
        </w:rPr>
        <w:t xml:space="preserve"> </w:t>
      </w:r>
      <w:r>
        <w:rPr>
          <w:rFonts w:ascii="Arial" w:cs="Arial" w:eastAsia="Arial" w:hAnsi="Arial"/>
          <w:sz w:val="16"/>
          <w:szCs w:val="16"/>
          <w:color w:val="auto"/>
        </w:rPr>
        <w:t>6041, 6041A, 6042, 6044, 6045, 6049, 6050A, 6050N and 6050W and the Treasury regulations thereunder.</w:t>
      </w:r>
    </w:p>
    <w:p>
      <w:pPr>
        <w:spacing w:after="0" w:line="146" w:lineRule="exact"/>
        <w:rPr>
          <w:sz w:val="20"/>
          <w:szCs w:val="20"/>
          <w:color w:val="auto"/>
        </w:rPr>
      </w:pPr>
    </w:p>
    <w:p>
      <w:pPr>
        <w:ind w:right="400"/>
        <w:spacing w:after="0" w:line="274" w:lineRule="auto"/>
        <w:rPr>
          <w:sz w:val="20"/>
          <w:szCs w:val="20"/>
          <w:color w:val="auto"/>
        </w:rPr>
      </w:pPr>
      <w:r>
        <w:rPr>
          <w:rFonts w:ascii="Arial" w:cs="Arial" w:eastAsia="Arial" w:hAnsi="Arial"/>
          <w:sz w:val="15"/>
          <w:szCs w:val="15"/>
          <w:b w:val="1"/>
          <w:bCs w:val="1"/>
          <w:i w:val="1"/>
          <w:iCs w:val="1"/>
          <w:color w:val="auto"/>
        </w:rPr>
        <w:t>Privacy Act Notice</w:t>
      </w:r>
      <w:r>
        <w:rPr>
          <w:rFonts w:ascii="Arial" w:cs="Arial" w:eastAsia="Arial" w:hAnsi="Arial"/>
          <w:sz w:val="15"/>
          <w:szCs w:val="15"/>
          <w:color w:val="auto"/>
        </w:rPr>
        <w:t>. Section 6109 of the Internal Revenue Code requires you to give your correct TIN to persons (including federal agencies) who are required to file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returns with the IRS to report interest, dividends and certain other income paid to you, mortgage interest you paid, the acquisition or abandonment of secured property, cancellation of debt, or contributions you made to an IRA or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w:t>
      </w:r>
    </w:p>
    <w:p>
      <w:pPr>
        <w:sectPr>
          <w:pgSz w:w="11900" w:h="16838" w:orient="portrait"/>
          <w:cols w:equalWidth="0" w:num="1">
            <w:col w:w="11400"/>
          </w:cols>
          <w:pgMar w:left="240" w:top="369" w:right="259" w:bottom="1440" w:gutter="0" w:footer="0" w:header="0"/>
        </w:sectPr>
      </w:pPr>
    </w:p>
    <w:bookmarkStart w:id="144" w:name="page145"/>
    <w:bookmarkEnd w:id="144"/>
    <w:p>
      <w:pPr>
        <w:jc w:val="center"/>
        <w:ind w:right="-79"/>
        <w:spacing w:after="0"/>
        <w:rPr>
          <w:sz w:val="20"/>
          <w:szCs w:val="20"/>
          <w:color w:val="auto"/>
        </w:rPr>
      </w:pPr>
      <w:r>
        <w:rPr>
          <w:rFonts w:ascii="Arial" w:cs="Arial" w:eastAsia="Arial" w:hAnsi="Arial"/>
          <w:sz w:val="16"/>
          <w:szCs w:val="16"/>
          <w:b w:val="1"/>
          <w:bCs w:val="1"/>
          <w:color w:val="auto"/>
        </w:rPr>
        <w:t>GUIDELINES FOR CERTIFICATION OF TAXPAYER IDENTIFICATION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NUMBER ON SUBSTITUTE FORM W-9</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Page 6</w:t>
      </w:r>
    </w:p>
    <w:p>
      <w:pPr>
        <w:spacing w:after="0" w:line="99"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information may also be disclosed to other countries under a treaty, to federal and state agencies to enforce civil and criminal laws or to federal law enforcement and intelligence agencies to combat terrorism.</w:t>
      </w:r>
    </w:p>
    <w:p>
      <w:pPr>
        <w:spacing w:after="0" w:line="14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You must provide your TIN whether or not you are required to file a tax return. Under section 3406, payers generally must withhold a percentage of taxable interest, dividend and certain other payments to a payee who does not give a TIN to the payer. Certain penalties may also apply for providing false or fraudulent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Penalties</w:t>
      </w:r>
    </w:p>
    <w:p>
      <w:pPr>
        <w:spacing w:after="0" w:line="194"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 xml:space="preserve">Failure to Furnish TIN. </w:t>
      </w:r>
      <w:r>
        <w:rPr>
          <w:rFonts w:ascii="Arial" w:cs="Arial" w:eastAsia="Arial" w:hAnsi="Arial"/>
          <w:sz w:val="16"/>
          <w:szCs w:val="16"/>
          <w:color w:val="auto"/>
        </w:rPr>
        <w:t>If you fail to furnish your correct TIN to a requester, you are subject to a penalty of $50 for each such failure unless your failure is due to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cause and not to willful neglect.</w:t>
      </w:r>
    </w:p>
    <w:p>
      <w:pPr>
        <w:spacing w:after="0" w:line="136"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b w:val="1"/>
          <w:bCs w:val="1"/>
          <w:color w:val="auto"/>
        </w:rPr>
        <w:t xml:space="preserve">Civil Penalty for False Information With Respect to Withholding. </w:t>
      </w:r>
      <w:r>
        <w:rPr>
          <w:rFonts w:ascii="Arial" w:cs="Arial" w:eastAsia="Arial" w:hAnsi="Arial"/>
          <w:sz w:val="16"/>
          <w:szCs w:val="16"/>
          <w:color w:val="auto"/>
        </w:rPr>
        <w:t>If you make a false statement with no reasonable basis which results in no imposition of backup</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 you are subject to a penalty of $500.</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Criminal Penalty for Falsifying Information. </w:t>
      </w:r>
      <w:r>
        <w:rPr>
          <w:rFonts w:ascii="Arial" w:cs="Arial" w:eastAsia="Arial" w:hAnsi="Arial"/>
          <w:sz w:val="15"/>
          <w:szCs w:val="15"/>
          <w:color w:val="auto"/>
        </w:rPr>
        <w:t>Willfully falsifying certifications or affirmations may subject you to criminal penalties including fines and/or imprisonment.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Misuse of TINs. </w:t>
      </w:r>
      <w:r>
        <w:rPr>
          <w:rFonts w:ascii="Arial" w:cs="Arial" w:eastAsia="Arial" w:hAnsi="Arial"/>
          <w:sz w:val="16"/>
          <w:szCs w:val="16"/>
          <w:color w:val="auto"/>
        </w:rPr>
        <w:t>If the requester discloses or uses TINs in violation of federal law, the requester may be subject to civil and criminal penalties.</w:t>
      </w:r>
    </w:p>
    <w:p>
      <w:pPr>
        <w:spacing w:after="0" w:line="194" w:lineRule="exact"/>
        <w:rPr>
          <w:sz w:val="20"/>
          <w:szCs w:val="20"/>
          <w:color w:val="auto"/>
        </w:rPr>
      </w:pPr>
    </w:p>
    <w:p>
      <w:pPr>
        <w:ind w:right="4500"/>
        <w:spacing w:after="0" w:line="281" w:lineRule="auto"/>
        <w:rPr>
          <w:sz w:val="20"/>
          <w:szCs w:val="20"/>
          <w:color w:val="auto"/>
        </w:rPr>
      </w:pPr>
      <w:r>
        <w:rPr>
          <w:rFonts w:ascii="Arial" w:cs="Arial" w:eastAsia="Arial" w:hAnsi="Arial"/>
          <w:sz w:val="16"/>
          <w:szCs w:val="16"/>
          <w:b w:val="1"/>
          <w:bCs w:val="1"/>
          <w:color w:val="auto"/>
        </w:rPr>
        <w:t>FOR ADDITIONAL INFORMATION, CONTACT YOUR TAX ADVISOR OR THE INTERNAL REVENUE SERVICE.</w:t>
      </w:r>
    </w:p>
    <w:p>
      <w:pPr>
        <w:sectPr>
          <w:pgSz w:w="11900" w:h="16838" w:orient="portrait"/>
          <w:cols w:equalWidth="0" w:num="1">
            <w:col w:w="11300"/>
          </w:cols>
          <w:pgMar w:left="240" w:top="369" w:right="3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292100</wp:posOffset>
            </wp:positionV>
            <wp:extent cx="2778760" cy="523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160" w:type="dxa"/>
            <w:vAlign w:val="bottom"/>
          </w:tcPr>
          <w:p>
            <w:pPr>
              <w:ind w:left="920"/>
              <w:spacing w:after="0"/>
              <w:rPr>
                <w:sz w:val="20"/>
                <w:szCs w:val="20"/>
                <w:color w:val="auto"/>
              </w:rPr>
            </w:pPr>
            <w:r>
              <w:rPr>
                <w:rFonts w:ascii="Arial" w:cs="Arial" w:eastAsia="Arial" w:hAnsi="Arial"/>
                <w:sz w:val="18"/>
                <w:szCs w:val="18"/>
                <w:b w:val="1"/>
                <w:bCs w:val="1"/>
                <w:color w:val="auto"/>
              </w:rPr>
              <w:t>Pursuant to the Prospectus dated</w:t>
            </w:r>
          </w:p>
        </w:tc>
        <w:tc>
          <w:tcPr>
            <w:tcW w:w="4340" w:type="dxa"/>
            <w:vAlign w:val="bottom"/>
          </w:tcPr>
          <w:p>
            <w:pPr>
              <w:jc w:val="right"/>
              <w:ind w:right="3730"/>
              <w:spacing w:after="0"/>
              <w:rPr>
                <w:sz w:val="20"/>
                <w:szCs w:val="20"/>
                <w:color w:val="auto"/>
              </w:rPr>
            </w:pPr>
            <w:r>
              <w:rPr>
                <w:rFonts w:ascii="Arial" w:cs="Arial" w:eastAsia="Arial" w:hAnsi="Arial"/>
                <w:sz w:val="18"/>
                <w:szCs w:val="18"/>
                <w:b w:val="1"/>
                <w:bCs w:val="1"/>
                <w:color w:val="auto"/>
                <w:w w:val="99"/>
              </w:rPr>
              <w:t>, 2017</w:t>
            </w:r>
          </w:p>
        </w:tc>
      </w:tr>
      <w:tr>
        <w:trPr>
          <w:trHeight w:val="331"/>
        </w:trPr>
        <w:tc>
          <w:tcPr>
            <w:tcW w:w="7080" w:type="dxa"/>
            <w:vAlign w:val="bottom"/>
            <w:tcBorders>
              <w:bottom w:val="single" w:sz="8" w:color="9A9A9A"/>
            </w:tcBorders>
            <w:gridSpan w:val="2"/>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r>
        <w:trPr>
          <w:trHeight w:val="306"/>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40" w:type="dxa"/>
            <w:vAlign w:val="bottom"/>
          </w:tcPr>
          <w:p>
            <w:pPr>
              <w:jc w:val="right"/>
              <w:ind w:right="150"/>
              <w:spacing w:after="0"/>
              <w:rPr>
                <w:sz w:val="20"/>
                <w:szCs w:val="20"/>
                <w:color w:val="auto"/>
              </w:rPr>
            </w:pPr>
            <w:r>
              <w:rPr>
                <w:rFonts w:ascii="Arial" w:cs="Arial" w:eastAsia="Arial" w:hAnsi="Arial"/>
                <w:sz w:val="18"/>
                <w:szCs w:val="18"/>
                <w:b w:val="1"/>
                <w:bCs w:val="1"/>
                <w:color w:val="auto"/>
              </w:rPr>
              <w:t>, 2017, UNLESS EXTENDED (SUCH TIME</w:t>
            </w:r>
          </w:p>
        </w:tc>
      </w:tr>
      <w:tr>
        <w:trPr>
          <w:trHeight w:val="216"/>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w:t>
            </w:r>
          </w:p>
        </w:tc>
      </w:t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AT ANY TIME PRIOR TO THE EXPIRATION TIME.</w:t>
            </w:r>
          </w:p>
        </w:tc>
        <w:tc>
          <w:tcPr>
            <w:tcW w:w="4340" w:type="dxa"/>
            <w:vAlign w:val="bottom"/>
          </w:tcPr>
          <w:p>
            <w:pPr>
              <w:spacing w:after="0"/>
              <w:rPr>
                <w:sz w:val="20"/>
                <w:szCs w:val="20"/>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gridSpan w:val="2"/>
          </w:tcPr>
          <w:p>
            <w:pPr>
              <w:spacing w:after="0"/>
              <w:rPr>
                <w:sz w:val="10"/>
                <w:szCs w:val="10"/>
                <w:color w:val="auto"/>
              </w:rPr>
            </w:pPr>
          </w:p>
        </w:tc>
      </w:tr>
      <w:tr>
        <w:trPr>
          <w:trHeight w:val="540"/>
        </w:trPr>
        <w:tc>
          <w:tcPr>
            <w:tcW w:w="2920" w:type="dxa"/>
            <w:vAlign w:val="bottom"/>
          </w:tcPr>
          <w:p>
            <w:pPr>
              <w:spacing w:after="0"/>
              <w:rPr>
                <w:sz w:val="20"/>
                <w:szCs w:val="20"/>
                <w:color w:val="auto"/>
              </w:rPr>
            </w:pPr>
            <w:r>
              <w:rPr>
                <w:rFonts w:ascii="Arial" w:cs="Arial" w:eastAsia="Arial" w:hAnsi="Arial"/>
                <w:sz w:val="18"/>
                <w:szCs w:val="18"/>
                <w:color w:val="auto"/>
              </w:rPr>
              <w:t>As set forth in the prospectus dated</w:t>
            </w:r>
          </w:p>
        </w:tc>
        <w:tc>
          <w:tcPr>
            <w:tcW w:w="850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 2017 (the “</w:t>
            </w:r>
            <w:r>
              <w:rPr>
                <w:rFonts w:ascii="Arial" w:cs="Arial" w:eastAsia="Arial" w:hAnsi="Arial"/>
                <w:sz w:val="18"/>
                <w:szCs w:val="18"/>
                <w:b w:val="1"/>
                <w:bCs w:val="1"/>
                <w:i w:val="1"/>
                <w:iCs w:val="1"/>
                <w:color w:val="auto"/>
                <w:w w:val="95"/>
              </w:rPr>
              <w:t>Prospectus</w:t>
            </w:r>
            <w:r>
              <w:rPr>
                <w:rFonts w:ascii="Arial" w:cs="Arial" w:eastAsia="Arial" w:hAnsi="Arial"/>
                <w:sz w:val="18"/>
                <w:szCs w:val="18"/>
                <w:color w:val="auto"/>
                <w:w w:val="95"/>
              </w:rPr>
              <w:t>”) of The Scotts Miracle-Gro Company, an Ohio corporation (the “</w:t>
            </w:r>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and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-938530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-938530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-372110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-372110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right="40"/>
        <w:spacing w:after="0" w:line="252" w:lineRule="auto"/>
        <w:rPr>
          <w:sz w:val="20"/>
          <w:szCs w:val="20"/>
          <w:color w:val="auto"/>
        </w:rPr>
      </w:pPr>
      <w:r>
        <w:rPr>
          <w:rFonts w:ascii="Arial" w:cs="Arial" w:eastAsia="Arial" w:hAnsi="Arial"/>
          <w:sz w:val="18"/>
          <w:szCs w:val="18"/>
          <w:color w:val="auto"/>
        </w:rPr>
        <w:t>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holders of the Company’s outstanding unregistered 5.250% Senior Notes due 2026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who wish to tender their Original Notes in exchange for an equal principal amount of the Company’s 5.250% Senior Notes due 2026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which have been registered under the Securities Act of 1933, as amended, may use this Notice of Guaranteed Delivery if: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Exchange Agent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20"/>
          </w:cols>
          <w:pgMar w:left="240" w:top="364" w:right="239" w:bottom="1440" w:gutter="0" w:footer="0" w:header="0"/>
        </w:sectPr>
      </w:pPr>
    </w:p>
    <w:p>
      <w:pPr>
        <w:spacing w:after="0" w:line="265" w:lineRule="exact"/>
        <w:rPr>
          <w:sz w:val="20"/>
          <w:szCs w:val="20"/>
          <w:color w:val="auto"/>
        </w:rPr>
      </w:pPr>
    </w:p>
    <w:p>
      <w:pPr>
        <w:jc w:val="center"/>
        <w:ind w:right="54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116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(800) 934-6802</w:t>
      </w:r>
    </w:p>
    <w:p>
      <w:pPr>
        <w:sectPr>
          <w:pgSz w:w="11900" w:h="16838" w:orient="portrait"/>
          <w:cols w:equalWidth="0" w:num="2">
            <w:col w:w="6160" w:space="720"/>
            <w:col w:w="4540"/>
          </w:cols>
          <w:pgMar w:left="240" w:top="364" w:right="239" w:bottom="1440" w:gutter="0" w:footer="0" w:header="0"/>
          <w:type w:val="continuous"/>
        </w:sectPr>
      </w:pPr>
    </w:p>
    <w:bookmarkStart w:id="146" w:name="page147"/>
    <w:bookmarkEnd w:id="146"/>
    <w:p>
      <w:pPr>
        <w:spacing w:after="0" w:line="256" w:lineRule="auto"/>
        <w:rPr>
          <w:sz w:val="20"/>
          <w:szCs w:val="20"/>
          <w:color w:val="auto"/>
        </w:rPr>
      </w:pPr>
      <w:r>
        <w:rPr>
          <w:rFonts w:ascii="Arial" w:cs="Arial" w:eastAsia="Arial" w:hAnsi="Arial"/>
          <w:sz w:val="18"/>
          <w:szCs w:val="18"/>
          <w:b w:val="1"/>
          <w:bCs w:val="1"/>
          <w:color w:val="auto"/>
        </w:rPr>
        <w:t>To tender Original Notes, this Notice of Guaranteed Delivery must be delivered to the Exchange Agent at its address set forth above at or prior to the Expiration Time. Delivery of this Notice of Guaranteed Delivery to an address other than as set forth above, or transmission of this Notice of Guaranteed Delivery via facsimile to a number other than to the number listed above, will not constitute a valid delivery. This Notice of Guaranteed Delivery is not to be used to guarantee signatures. If a signature on the Letter of Transmittal is required to be guaranteed by an “eligible institution” pursuant to the instructions to the Letter of Transmittal, such signature guarantee must appear in the applicable space provided on the Letter of Transmittal for guarantee of signature.</w:t>
      </w:r>
    </w:p>
    <w:p>
      <w:pPr>
        <w:sectPr>
          <w:pgSz w:w="11900" w:h="16838" w:orient="portrait"/>
          <w:cols w:equalWidth="0" w:num="1">
            <w:col w:w="11380"/>
          </w:cols>
          <w:pgMar w:left="240" w:top="472" w:right="2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tenders to the Company, upon the terms and subject to the conditions set forth in the Prospectus and the Letter of Transmittal, receipt of which is hereby acknowledged, the aggregate principal amount of Original Notes specified below pursuant to the guaranteed delivery procedures described in the Prospectus under the caption “The Exchange Offer—Guaranteed Delivery Procedures” and in Instruction 2 of the Letter of Transmittal. By so tendering, the undersigned does hereby make, at and as of the date hereof, each of the representations of a tendering holder of Original Notes set forth in the Letter of Transmittal.</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All authority herein conferred or agreed to be conferred by this Notice of Guaranteed Delivery shall survive the death or incapacity of the undersigned, and every obligation of the undersigned hereunder shall be binding upon the heirs, personal representatives, successors and assigns of the undersigned.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AND COMPLETE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Signature(s) of Registered Holder(s) 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31750</wp:posOffset>
            </wp:positionV>
            <wp:extent cx="49136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31750</wp:posOffset>
            </wp:positionV>
            <wp:extent cx="58489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1172845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31750</wp:posOffset>
            </wp:positionV>
            <wp:extent cx="62172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31750</wp:posOffset>
            </wp:positionV>
            <wp:extent cx="5411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Aggregate Principal Amount of Original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49136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54" w:lineRule="exact"/>
        <w:rPr>
          <w:sz w:val="20"/>
          <w:szCs w:val="20"/>
          <w:color w:val="auto"/>
        </w:rPr>
      </w:pPr>
    </w:p>
    <w:p>
      <w:pPr>
        <w:ind w:left="620" w:right="560" w:hanging="585"/>
        <w:spacing w:after="0" w:line="277" w:lineRule="auto"/>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Check box if Original Notes will be delivered by book-entry transfer to the Exchange Agent’s account at The Depository Trust Company, and provide name and account number of tendering institution:</w:t>
      </w:r>
    </w:p>
    <w:p>
      <w:pPr>
        <w:sectPr>
          <w:pgSz w:w="11900" w:h="16838" w:orient="portrait"/>
          <w:cols w:equalWidth="0" w:num="1">
            <w:col w:w="11380"/>
          </w:cols>
          <w:pgMar w:left="240" w:top="368" w:right="279" w:bottom="1440" w:gutter="0" w:footer="0" w:header="0"/>
        </w:sectPr>
      </w:pPr>
    </w:p>
    <w:bookmarkStart w:id="148" w:name="page149"/>
    <w:bookmarkEnd w:id="148"/>
    <w:p>
      <w:pPr>
        <w:ind w:left="18"/>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31750</wp:posOffset>
            </wp:positionV>
            <wp:extent cx="49828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31750</wp:posOffset>
            </wp:positionV>
            <wp:extent cx="54800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354"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58" w:right="640" w:hanging="358"/>
        <w:spacing w:after="0" w:line="277" w:lineRule="auto"/>
        <w:tabs>
          <w:tab w:leader="none" w:pos="142"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306" w:lineRule="exact"/>
        <w:rPr>
          <w:sz w:val="20"/>
          <w:szCs w:val="20"/>
          <w:color w:val="auto"/>
        </w:rPr>
      </w:pPr>
    </w:p>
    <w:p>
      <w:pPr>
        <w:ind w:left="358" w:hanging="358"/>
        <w:spacing w:after="0" w:line="264" w:lineRule="auto"/>
        <w:tabs>
          <w:tab w:leader="none" w:pos="232"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7"/>
        <w:spacing w:after="0"/>
        <w:rPr>
          <w:sz w:val="20"/>
          <w:szCs w:val="20"/>
          <w:color w:val="auto"/>
        </w:rPr>
      </w:pPr>
      <w:r>
        <w:rPr>
          <w:rFonts w:ascii="Arial" w:cs="Arial" w:eastAsia="Arial" w:hAnsi="Arial"/>
          <w:sz w:val="18"/>
          <w:szCs w:val="18"/>
          <w:b w:val="1"/>
          <w:bCs w:val="1"/>
          <w:color w:val="auto"/>
        </w:rPr>
        <w:t>THE GUARANTEE ON THE NEXT PAGE MUST BE COMPLETED</w:t>
      </w:r>
    </w:p>
    <w:p>
      <w:pPr>
        <w:sectPr>
          <w:pgSz w:w="11900" w:h="16838" w:orient="portrait"/>
          <w:cols w:equalWidth="0" w:num="1">
            <w:col w:w="11158"/>
          </w:cols>
          <w:pgMar w:left="262" w:top="530" w:right="47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b w:val="1"/>
          <w:bCs w:val="1"/>
          <w:color w:val="auto"/>
        </w:rPr>
        <w:t>GUARANTEE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 hereby guarantees to deliver to the Exchange Agent, at its address set forth herein, within three business days after the Expiration Time, (i) a validly completed and duly executed Letter of Transmittal, with any required signature guarantees, or, if tendering by book-entry transfer, an agent’s message from The Depositary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stating that the undersigned has expressly acknowledged receipt of, and agrees to be bound by the terms of, the Letter of Transmittal, (ii) certificates representing the Original Notes tendered hereby in proper form for transfer or, if tendering by book-entry transfer, confirmation of the book-entry transfer of such Original Notes into the Exchange Agent’s account at DTC and (iii) any other required documents.</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undersigned acknowledges that it must deliver the Letter of Transmittal or agent’s message, together with certificates representing the Original Notes or confirmation of book-entry transfer of such Original Notes, within the time period set forth above, and that failure to do so could result in a financial loss to the undersigned.</w:t>
      </w:r>
    </w:p>
    <w:p>
      <w:pPr>
        <w:sectPr>
          <w:pgSz w:w="11900" w:h="16838" w:orient="portrait"/>
          <w:cols w:equalWidth="0" w:num="1">
            <w:col w:w="11400"/>
          </w:cols>
          <w:pgMar w:left="240" w:top="688" w:right="259" w:bottom="1440" w:gutter="0" w:footer="0" w:header="0"/>
        </w:sectPr>
      </w:pPr>
    </w:p>
    <w:bookmarkStart w:id="150" w:name="page151"/>
    <w:bookmarkEnd w:id="150"/>
    <w:p>
      <w:pPr>
        <w:jc w:val="center"/>
        <w:ind w:right="-217"/>
        <w:spacing w:after="0"/>
        <w:rPr>
          <w:sz w:val="20"/>
          <w:szCs w:val="20"/>
          <w:color w:val="auto"/>
        </w:rPr>
      </w:pPr>
      <w:r>
        <w:rPr>
          <w:rFonts w:ascii="Arial" w:cs="Arial" w:eastAsia="Arial" w:hAnsi="Arial"/>
          <w:sz w:val="18"/>
          <w:szCs w:val="18"/>
          <w:b w:val="1"/>
          <w:bCs w:val="1"/>
          <w:color w:val="auto"/>
        </w:rPr>
        <w:t>PLEASE SIGN AND COMPLETE</w:t>
      </w:r>
    </w:p>
    <w:p>
      <w:pPr>
        <w:spacing w:after="0" w:line="391" w:lineRule="exact"/>
        <w:rPr>
          <w:sz w:val="20"/>
          <w:szCs w:val="20"/>
          <w:color w:val="auto"/>
        </w:rPr>
      </w:pPr>
    </w:p>
    <w:p>
      <w:pPr>
        <w:ind w:left="18"/>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31750</wp:posOffset>
            </wp:positionV>
            <wp:extent cx="61487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1172845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598170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31750</wp:posOffset>
            </wp:positionV>
            <wp:extent cx="65862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1449070</wp:posOffset>
            </wp:positionH>
            <wp:positionV relativeFrom="paragraph">
              <wp:posOffset>31750</wp:posOffset>
            </wp:positionV>
            <wp:extent cx="57886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31750</wp:posOffset>
            </wp:positionV>
            <wp:extent cx="57200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340" w:lineRule="exact"/>
        <w:rPr>
          <w:sz w:val="20"/>
          <w:szCs w:val="20"/>
          <w:color w:val="auto"/>
        </w:rPr>
      </w:pPr>
    </w:p>
    <w:p>
      <w:pPr>
        <w:ind w:left="18"/>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31750</wp:posOffset>
            </wp:positionV>
            <wp:extent cx="6663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31750</wp:posOffset>
            </wp:positionV>
            <wp:extent cx="6663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18"/>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31750</wp:posOffset>
            </wp:positionV>
            <wp:extent cx="55054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354" w:lineRule="exact"/>
        <w:rPr>
          <w:sz w:val="20"/>
          <w:szCs w:val="20"/>
          <w:color w:val="auto"/>
        </w:rPr>
      </w:pPr>
    </w:p>
    <w:p>
      <w:pPr>
        <w:ind w:left="18"/>
        <w:spacing w:after="0"/>
        <w:tabs>
          <w:tab w:leader="none" w:pos="2218"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-10160</wp:posOffset>
            </wp:positionV>
            <wp:extent cx="10572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58" w:right="640" w:hanging="358"/>
        <w:spacing w:after="0" w:line="277" w:lineRule="auto"/>
        <w:tabs>
          <w:tab w:leader="none" w:pos="142"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306" w:lineRule="exact"/>
        <w:rPr>
          <w:sz w:val="20"/>
          <w:szCs w:val="20"/>
          <w:color w:val="auto"/>
        </w:rPr>
      </w:pPr>
    </w:p>
    <w:p>
      <w:pPr>
        <w:ind w:left="358" w:hanging="358"/>
        <w:spacing w:after="0" w:line="264" w:lineRule="auto"/>
        <w:tabs>
          <w:tab w:leader="none" w:pos="232"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8" w:hanging="647"/>
        <w:spacing w:after="0" w:line="266" w:lineRule="auto"/>
        <w:rPr>
          <w:sz w:val="20"/>
          <w:szCs w:val="20"/>
          <w:color w:val="auto"/>
        </w:rPr>
      </w:pPr>
      <w:r>
        <w:rPr>
          <w:rFonts w:ascii="Arial" w:cs="Arial" w:eastAsia="Arial" w:hAnsi="Arial"/>
          <w:sz w:val="18"/>
          <w:szCs w:val="18"/>
          <w:b w:val="1"/>
          <w:bCs w:val="1"/>
          <w:color w:val="auto"/>
        </w:rPr>
        <w:t>NOTE: DO NOT SEND ORIGINAL NOTES WITH THIS NOTICE OF GUARANTEED DELIVERY. ACTUAL SURRENDER OF ORIGINAL NOTES MUST BE MADE PURSUANT TO, AND BE ACCOMPANIED BY, A VALIDLY COMPLETED AND DULY EXECUTED LETTER OF TRANSMITTAL AND ANY OTHER REQUIRED DOCUMENTS.</w:t>
      </w:r>
    </w:p>
    <w:p>
      <w:pPr>
        <w:sectPr>
          <w:pgSz w:w="11900" w:h="16838" w:orient="portrait"/>
          <w:cols w:equalWidth="0" w:num="1">
            <w:col w:w="11158"/>
          </w:cols>
          <w:pgMar w:left="262" w:top="364" w:right="479" w:bottom="1440" w:gutter="0" w:footer="0" w:header="0"/>
        </w:sectPr>
      </w:pPr>
    </w:p>
    <w:bookmarkStart w:id="151" w:name="page152"/>
    <w:bookmarkEnd w:id="151"/>
    <w:p>
      <w:pPr>
        <w:jc w:val="center"/>
        <w:ind w:right="-39"/>
        <w:spacing w:after="0"/>
        <w:rPr>
          <w:sz w:val="20"/>
          <w:szCs w:val="20"/>
          <w:color w:val="auto"/>
        </w:rPr>
      </w:pPr>
      <w:r>
        <w:rPr>
          <w:rFonts w:ascii="Arial" w:cs="Arial" w:eastAsia="Arial" w:hAnsi="Arial"/>
          <w:sz w:val="18"/>
          <w:szCs w:val="18"/>
          <w:b w:val="1"/>
          <w:bCs w:val="1"/>
          <w:color w:val="auto"/>
        </w:rPr>
        <w:t>INSTRUCTIONS FOR NOTICE OF GUARANTEED DELIVERY</w:t>
      </w:r>
    </w:p>
    <w:p>
      <w:pPr>
        <w:spacing w:after="0" w:line="229" w:lineRule="exact"/>
        <w:rPr>
          <w:sz w:val="20"/>
          <w:szCs w:val="20"/>
          <w:color w:val="auto"/>
        </w:rPr>
      </w:pPr>
    </w:p>
    <w:p>
      <w:pPr>
        <w:ind w:right="100" w:firstLine="8"/>
        <w:spacing w:after="0" w:line="291" w:lineRule="auto"/>
        <w:tabs>
          <w:tab w:leader="none" w:pos="315"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Delivery of This Notice of Guaranteed Delivery. </w:t>
      </w:r>
      <w:r>
        <w:rPr>
          <w:rFonts w:ascii="Arial" w:cs="Arial" w:eastAsia="Arial" w:hAnsi="Arial"/>
          <w:sz w:val="16"/>
          <w:szCs w:val="16"/>
          <w:color w:val="auto"/>
        </w:rPr>
        <w:t>A validly completed and duly executed copy of this Notice of Guaranteed Delivery and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documents must be received by the Exchange Agent at its address set forth herein at or prior to the Expiration Time. The method of delivery of this Notice of Guaranteed Delivery and any other required documents to the Exchange Agent is at the election and sole risk of the holder, and delivery will be deemed made only when actually received by the Exchange Agent. It is recommended that holders use overnight or hand delivery service. If delivery is by mail, it is recommended that holders use properly insured registered mail, return receipt requested. In all cases, holders should allow sufficient time to assure timely delivery to the Exchange Agent. This Notice of Guaranteed Delivery should not be sent to the Company. For a full description of the guaranteed delivery procedures, see “The Exchange Offer—Guaranteed Delivery Procedures” in the Prospectus and Instruction 2 of the Letter of Transmittal.</w:t>
      </w:r>
    </w:p>
    <w:p>
      <w:pPr>
        <w:spacing w:after="0" w:line="167" w:lineRule="exact"/>
        <w:rPr>
          <w:rFonts w:ascii="Arial" w:cs="Arial" w:eastAsia="Arial" w:hAnsi="Arial"/>
          <w:sz w:val="16"/>
          <w:szCs w:val="16"/>
          <w:b w:val="1"/>
          <w:bCs w:val="1"/>
          <w:color w:val="auto"/>
        </w:rPr>
      </w:pPr>
    </w:p>
    <w:p>
      <w:pPr>
        <w:ind w:right="80" w:firstLine="8"/>
        <w:spacing w:after="0" w:line="257" w:lineRule="auto"/>
        <w:tabs>
          <w:tab w:leader="none" w:pos="315"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Signatures on This Notice of Guaranteed Delivery. </w:t>
      </w:r>
      <w:r>
        <w:rPr>
          <w:rFonts w:ascii="Arial" w:cs="Arial" w:eastAsia="Arial" w:hAnsi="Arial"/>
          <w:sz w:val="18"/>
          <w:szCs w:val="18"/>
          <w:color w:val="auto"/>
        </w:rPr>
        <w:t>If this Notice of Guaranteed Delivery is signed by the registered holder(s) of the Original Notes,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signature(s) must correspond with the name(s) appearing on the certificate(s) for the Original Notes, without alteration, enlargement or any change whatsoever. If this Notice of Guaranteed Delivery is signed by a participant in DTC’s book-entry transfer system whose name appears on a security position listing as the owner of the Original Notes, the signature must correspond with the name shown on the security position listing as the owner of the Original Notes.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this Notice of Guaranteed Delivery is signed by a person other than the registered holder of the Original Notes or a participant in DTC’s book-entry transfer system, this Notice of Guaranteed Delivery must be accompanied by appropriate bond powers, signed as the name(s) of the registered holder(s) appears on the certificate(s) for the Original Notes or signed as the name of the participant shown on DTC’s security position listing.</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this Notice of Guaranteed Delivery is signed by an attorney-in-fact, executor, administrator, trustee, guardian, officer of a corporation, or other person acting in a fiduciary or representative capacity, such person must so indicate when signing and submit evidence satisfactory to the Company of such person’s authority to so act with this Notice of Guaranteed Delivery.</w:t>
      </w:r>
    </w:p>
    <w:p>
      <w:pPr>
        <w:spacing w:after="0" w:line="181" w:lineRule="exact"/>
        <w:rPr>
          <w:sz w:val="20"/>
          <w:szCs w:val="20"/>
          <w:color w:val="auto"/>
        </w:rPr>
      </w:pPr>
    </w:p>
    <w:p>
      <w:pPr>
        <w:ind w:right="60" w:firstLine="8"/>
        <w:spacing w:after="0" w:line="259" w:lineRule="auto"/>
        <w:tabs>
          <w:tab w:leader="none" w:pos="315"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Requests for Assistance or Additional Copies. </w:t>
      </w:r>
      <w:r>
        <w:rPr>
          <w:rFonts w:ascii="Arial" w:cs="Arial" w:eastAsia="Arial" w:hAnsi="Arial"/>
          <w:sz w:val="18"/>
          <w:szCs w:val="18"/>
          <w:color w:val="auto"/>
        </w:rPr>
        <w:t>Questions and requests for assistance with respect to the Exchange Offer, and requests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the Prospectus, the Letter of Transmittal or this Notice of Guaranteed Delivery, should be directed to the Exchange Agent at its address and telephone number set forth herein. Holders may also contact their broker, dealer, commercial bank, trust company or other nominee for assistance concerning the Exchange Offer.</w:t>
      </w:r>
    </w:p>
    <w:p>
      <w:pPr>
        <w:sectPr>
          <w:pgSz w:w="11900" w:h="16838" w:orient="portrait"/>
          <w:cols w:equalWidth="0" w:num="1">
            <w:col w:w="11400"/>
          </w:cols>
          <w:pgMar w:left="240" w:top="580" w:right="2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154305</wp:posOffset>
            </wp:positionV>
            <wp:extent cx="2778760" cy="523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Prospectus dated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20" w:right="160"/>
        <w:spacing w:after="0" w:line="266" w:lineRule="auto"/>
        <w:rPr>
          <w:sz w:val="20"/>
          <w:szCs w:val="20"/>
          <w:color w:val="auto"/>
        </w:rPr>
      </w:pPr>
      <w:r>
        <w:rPr>
          <w:rFonts w:ascii="Arial" w:cs="Arial" w:eastAsia="Arial" w:hAnsi="Arial"/>
          <w:sz w:val="18"/>
          <w:szCs w:val="18"/>
          <w:b w:val="1"/>
          <w:bCs w:val="1"/>
          <w:color w:val="auto"/>
        </w:rPr>
        <w:t>THE EXCHANGE OFFER WILL EXPIRE AT 11:59 P.M., NEW YORK CITY TIME, ON , 2017, UNLESS EXTENDED (SUCH 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33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offering to exchange up to $250,000,000 in aggregate principal amount of its outstanding unregistered 5.250% Senior Notes due 2026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5.250% Senior Notes due 2026</w:t>
      </w:r>
    </w:p>
    <w:p>
      <w:pPr>
        <w:ind w:right="80"/>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dated ,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9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are requesting that you contact your clients for whom you hold Original Notes regarding the Exchange Offer. For your information and for forwarding to your clients for whom you hold Original Notes registered in your name or the name of your nominee, we are enclosing the following documents:</w:t>
      </w:r>
    </w:p>
    <w:p>
      <w:pPr>
        <w:spacing w:after="0" w:line="124" w:lineRule="exact"/>
        <w:rPr>
          <w:sz w:val="20"/>
          <w:szCs w:val="20"/>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Original Notes and for the information of your clients;</w:t>
      </w:r>
    </w:p>
    <w:p>
      <w:pPr>
        <w:spacing w:after="0" w:line="225"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Notice of Guaranteed Delivery to be used to accept the Exchange Offer if (i) certificates for Original Notes are not immediately available, (ii) the Letter of Transmittal, the Original Notes or any other required documents cannot be delivered to U.S. Bank National Association, the exchange agent for the exchange offer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at or prior to the Expiration Time or (iii) the procedures for book-entry transfer cannot be completed at or prior to the Expiration Time; and</w:t>
      </w:r>
    </w:p>
    <w:p>
      <w:pPr>
        <w:sectPr>
          <w:pgSz w:w="11900" w:h="16838" w:orient="portrait"/>
          <w:cols w:equalWidth="0" w:num="1">
            <w:col w:w="11420"/>
          </w:cols>
          <w:pgMar w:left="240" w:top="364" w:right="239" w:bottom="1440" w:gutter="0" w:footer="0" w:header="0"/>
        </w:sectPr>
      </w:pPr>
    </w:p>
    <w:bookmarkStart w:id="153" w:name="page154"/>
    <w:bookmarkEnd w:id="153"/>
    <w:p>
      <w:pPr>
        <w:ind w:left="980" w:right="620" w:hanging="324"/>
        <w:spacing w:after="0" w:line="277" w:lineRule="auto"/>
        <w:tabs>
          <w:tab w:leader="none" w:pos="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 you hold Original Notes registered in your name or the name of your nominee, with space provided for obtaining such clients’ instructions with regard to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urge you to contact your clients as promptly as possible. Please note that the Exchange Offer will expire at 11:59 p.m., New York City time, on</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2017, unless extended. Original Notes validly tendered in the Exchange Offer may be withdrawn at any time prior to the Expiration Time.</w:t>
      </w:r>
    </w:p>
    <w:p>
      <w:pPr>
        <w:spacing w:after="0" w:line="23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participate in the Exchange Offer, (i) a validly completed and duly executed Letter of Transmittal, with any required signature guarantees, or, if tendering by book-entry transfer, an agent’s message from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stating that the tendering holder has expressly acknowledged receipt of, and agrees to be bound by the terms of, the Letter of Transmittal, (ii) certificates representing the Original Notes tendered hereby in proper form for transfer or, if tendering by book-entry transfer, confirmation of book-entry transfer of such Original Notes into the Exchange Agent’s account at DTC and</w:t>
      </w:r>
    </w:p>
    <w:p>
      <w:pPr>
        <w:spacing w:after="0" w:line="2" w:lineRule="exact"/>
        <w:rPr>
          <w:sz w:val="20"/>
          <w:szCs w:val="20"/>
          <w:color w:val="auto"/>
        </w:rPr>
      </w:pPr>
    </w:p>
    <w:p>
      <w:pPr>
        <w:ind w:right="140" w:firstLine="8"/>
        <w:spacing w:after="0" w:line="261" w:lineRule="auto"/>
        <w:tabs>
          <w:tab w:leader="none" w:pos="31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other required documents must be delivered to the Exchange Agent, all in accordance with the instructions set forth in the Prospectus and the Letter of Transmittal.</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not pay any fees or commissions to any brokers, dealers or other persons for soliciting acceptances of the Exchange Offer. The Company will, however, reimburse brokers, dealers, commercial banks, trust companies and other nominees for the reasonable out-of-pocket expenses they incur in forwarding copies of the enclosed documents to their clients and in handling or forwarding tenders of the Original Notes for exchange. The Company will pay all transfer taxes, if any, applicable to the exchange of Original Notes in the Exchange Offer, except as otherwise set forth in the Prospectus and the Letter of Transmittal.</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and requests for additional copies of the enclosed documents, should be directed to the Exchange Agent at its address and telephone number set forth on the front of the Letter of Transmittal.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NOTHING HEREIN OR IN THE ENCLOSED DOCUMENTS SHALL CONSTITUTE YOU OR ANY OTHER PERSON AS AN AGENT OF THE COMPANY OR THE EXCHANGE AGENT, OR AUTHORIZE YOU OR ANY OTHER PERSON TO USE ANY DOCUMENT OR MAKE ANY STATEMENT ON BEHALF OF EITHER OF THEM WITH RESPECT TO THE EXCHANGE OFFER, EXCEPT FOR THE DOCUMENTS ENCLOSED HEREWITH AND THE STATEMENTS CONTAINED THEREIN.</w:t>
      </w:r>
    </w:p>
    <w:p>
      <w:pPr>
        <w:sectPr>
          <w:pgSz w:w="11900" w:h="16838" w:orient="portrait"/>
          <w:cols w:equalWidth="0" w:num="1">
            <w:col w:w="11400"/>
          </w:cols>
          <w:pgMar w:left="240" w:top="369" w:right="2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17780</wp:posOffset>
            </wp:positionV>
            <wp:extent cx="2778760" cy="523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787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The Scotts Miracle-Gro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$250 million aggregate principal amount of outstanding unregistered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Nos. 810186 AN6 and U8602T AC2)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equal principal amount of 5.250%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3840"/>
              <w:spacing w:after="0"/>
              <w:rPr>
                <w:sz w:val="20"/>
                <w:szCs w:val="20"/>
                <w:color w:val="auto"/>
              </w:rPr>
            </w:pPr>
            <w:r>
              <w:rPr>
                <w:rFonts w:ascii="Arial" w:cs="Arial" w:eastAsia="Arial" w:hAnsi="Arial"/>
                <w:sz w:val="18"/>
                <w:szCs w:val="18"/>
                <w:b w:val="1"/>
                <w:bCs w:val="1"/>
                <w:color w:val="auto"/>
              </w:rPr>
              <w:t>Pursuant to the Prospectus dated</w:t>
            </w:r>
          </w:p>
        </w:tc>
        <w:tc>
          <w:tcPr>
            <w:tcW w:w="4340" w:type="dxa"/>
            <w:vAlign w:val="bottom"/>
          </w:tcPr>
          <w:p>
            <w:pPr>
              <w:jc w:val="right"/>
              <w:ind w:right="3730"/>
              <w:spacing w:after="0"/>
              <w:rPr>
                <w:sz w:val="20"/>
                <w:szCs w:val="20"/>
                <w:color w:val="auto"/>
              </w:rPr>
            </w:pPr>
            <w:r>
              <w:rPr>
                <w:rFonts w:ascii="Arial" w:cs="Arial" w:eastAsia="Arial" w:hAnsi="Arial"/>
                <w:sz w:val="18"/>
                <w:szCs w:val="18"/>
                <w:b w:val="1"/>
                <w:bCs w:val="1"/>
                <w:color w:val="auto"/>
                <w:w w:val="99"/>
              </w:rPr>
              <w:t>, 2017</w:t>
            </w:r>
          </w:p>
        </w:tc>
      </w:tr>
      <w:tr>
        <w:trPr>
          <w:trHeight w:val="313"/>
        </w:trPr>
        <w:tc>
          <w:tcPr>
            <w:tcW w:w="70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r>
        <w:trPr>
          <w:trHeight w:val="324"/>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40" w:type="dxa"/>
            <w:vAlign w:val="bottom"/>
          </w:tcPr>
          <w:p>
            <w:pPr>
              <w:jc w:val="right"/>
              <w:ind w:right="90"/>
              <w:spacing w:after="0"/>
              <w:rPr>
                <w:sz w:val="20"/>
                <w:szCs w:val="20"/>
                <w:color w:val="auto"/>
              </w:rPr>
            </w:pPr>
            <w:r>
              <w:rPr>
                <w:rFonts w:ascii="Arial" w:cs="Arial" w:eastAsia="Arial" w:hAnsi="Arial"/>
                <w:sz w:val="18"/>
                <w:szCs w:val="18"/>
                <w:b w:val="1"/>
                <w:bCs w:val="1"/>
                <w:color w:val="auto"/>
              </w:rPr>
              <w:t>, 2017, UNLESS EXTENDED (SUCH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jc w:val="both"/>
        <w:ind w:left="20" w:right="160"/>
        <w:spacing w:after="0" w:line="261" w:lineRule="auto"/>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860" w:hanging="87"/>
        <w:spacing w:after="0"/>
        <w:tabs>
          <w:tab w:leader="none" w:pos="8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2017</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our Clients: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Enclosed for your consideration is a prospectus dated , 2017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of The Scotts Miracle-Gro Company, an Ohio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accompanying Letter of Transmittal (the “</w:t>
      </w:r>
      <w:r>
        <w:rPr>
          <w:rFonts w:ascii="Arial" w:cs="Arial" w:eastAsia="Arial" w:hAnsi="Arial"/>
          <w:sz w:val="17"/>
          <w:szCs w:val="17"/>
          <w:b w:val="1"/>
          <w:bCs w:val="1"/>
          <w:i w:val="1"/>
          <w:iCs w:val="1"/>
          <w:color w:val="auto"/>
        </w:rPr>
        <w:t>Letter of Transmittal</w:t>
      </w:r>
      <w:r>
        <w:rPr>
          <w:rFonts w:ascii="Arial" w:cs="Arial" w:eastAsia="Arial" w:hAnsi="Arial"/>
          <w:sz w:val="17"/>
          <w:szCs w:val="17"/>
          <w:color w:val="auto"/>
        </w:rPr>
        <w:t>”) relating to the Company’s offer to exchange up to $250,000,000 in aggregate principal amount of its outstanding unregistered 5.250% Senior Notes due 2026 (the “</w:t>
      </w:r>
      <w:r>
        <w:rPr>
          <w:rFonts w:ascii="Arial" w:cs="Arial" w:eastAsia="Arial" w:hAnsi="Arial"/>
          <w:sz w:val="17"/>
          <w:szCs w:val="17"/>
          <w:b w:val="1"/>
          <w:bCs w:val="1"/>
          <w:i w:val="1"/>
          <w:iCs w:val="1"/>
          <w:color w:val="auto"/>
        </w:rPr>
        <w:t>Original Notes</w:t>
      </w:r>
      <w:r>
        <w:rPr>
          <w:rFonts w:ascii="Arial" w:cs="Arial" w:eastAsia="Arial" w:hAnsi="Arial"/>
          <w:sz w:val="17"/>
          <w:szCs w:val="17"/>
          <w:color w:val="auto"/>
        </w:rPr>
        <w:t>”) for an equal principal amount of registered 5.250% Senior Notes due 2026 (the “</w:t>
      </w:r>
      <w:r>
        <w:rPr>
          <w:rFonts w:ascii="Arial" w:cs="Arial" w:eastAsia="Arial" w:hAnsi="Arial"/>
          <w:sz w:val="17"/>
          <w:szCs w:val="17"/>
          <w:b w:val="1"/>
          <w:bCs w:val="1"/>
          <w:i w:val="1"/>
          <w:iCs w:val="1"/>
          <w:color w:val="auto"/>
        </w:rPr>
        <w:t>Exchange Notes</w:t>
      </w:r>
      <w:r>
        <w:rPr>
          <w:rFonts w:ascii="Arial" w:cs="Arial" w:eastAsia="Arial" w:hAnsi="Arial"/>
          <w:sz w:val="17"/>
          <w:szCs w:val="17"/>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7"/>
          <w:szCs w:val="17"/>
          <w:b w:val="1"/>
          <w:bCs w:val="1"/>
          <w:i w:val="1"/>
          <w:iCs w:val="1"/>
          <w:color w:val="auto"/>
        </w:rPr>
        <w:t>Exchange Offer</w:t>
      </w:r>
      <w:r>
        <w:rPr>
          <w:rFonts w:ascii="Arial" w:cs="Arial" w:eastAsia="Arial" w:hAnsi="Arial"/>
          <w:sz w:val="17"/>
          <w:szCs w:val="17"/>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are the holder of record of Original Notes held by us for your account. </w:t>
      </w:r>
      <w:r>
        <w:rPr>
          <w:rFonts w:ascii="Arial" w:cs="Arial" w:eastAsia="Arial" w:hAnsi="Arial"/>
          <w:sz w:val="18"/>
          <w:szCs w:val="18"/>
          <w:b w:val="1"/>
          <w:bCs w:val="1"/>
          <w:color w:val="auto"/>
        </w:rPr>
        <w:t>A tender of such Original Notes may only be made by us as the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holder and pursuant to your instructions, unless you obtain a properly completed bond power from us or arrange to have the Original Notes registered in your name. </w:t>
      </w:r>
      <w:r>
        <w:rPr>
          <w:rFonts w:ascii="Arial" w:cs="Arial" w:eastAsia="Arial" w:hAnsi="Arial"/>
          <w:sz w:val="18"/>
          <w:szCs w:val="18"/>
          <w:color w:val="auto"/>
        </w:rPr>
        <w:t>The enclosed Letter of Transmittal is being furnished to you for your information only and cannot be used to tender Original Notes</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us for your account.</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request instructions as to whether you wish for us to tender on your behalf any or all of the Original Notes held by us for your account pursuant to the terms and conditions of the Exchange Offer. We also request that you confirm that we may, on your behalf, make the representations contained in the Letter of Transmittal.</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urge you to read the enclosed Prospectus and Letter of Transmittal carefully before providing instructions regarding tendering your Original Notes. If you wish to tender any or all of the Original Notes held by us for your account, please so instruct us by completing, executing, detaching and returning to us the instruction form attached hereto. Original Notes may be tendered in whole or in part. However, if you tender less than all of your Original</w:t>
      </w:r>
    </w:p>
    <w:p>
      <w:pPr>
        <w:sectPr>
          <w:pgSz w:w="11900" w:h="16838" w:orient="portrait"/>
          <w:cols w:equalWidth="0" w:num="1">
            <w:col w:w="11420"/>
          </w:cols>
          <w:pgMar w:left="240" w:top="364"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Notes, you may tender your Original Notes only in minimum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Your instructions to us should be forwarded as promptly as possible in order to permit us to tender Original Notes on your behalf in the Exchange Offer. The</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Exchange Offer will expire at 11:59 p.m., New York City time, on , 2017, unless extended. Original Notes validly tendered in the Exchange Offer may be withdrawn at any time prior to the Expiration Time.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Instructions to Registered Holder from Beneficial Owner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5.250% Senior Notes due 2026 of The Scotts Miracle-Gro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With Respect to the Exchange Offer</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undersigned hereby acknowledges receipt of the prospectus dated ,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relating to the Company’s offer to exchange up to $250,000,000 in aggregate principal amount of its outstanding unregistered 5.250% Senior Notes due 2026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5.250% Senior Notes due 2026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p>
      <w:pPr>
        <w:spacing w:after="0" w:line="19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Original Notes held by you for the account of the undersigned, upon the terms and conditions of the Exchange Offer.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face amount of the Original Notes held by you for the account of the undersigned is (fill in amount):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of the 5.250% Senior Notes due 2026.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Exchange Offer, the undersigned instructs you (check appropriate box):</w:t>
      </w:r>
    </w:p>
    <w:p>
      <w:pPr>
        <w:spacing w:after="0" w:line="225" w:lineRule="exact"/>
        <w:rPr>
          <w:sz w:val="20"/>
          <w:szCs w:val="20"/>
          <w:color w:val="auto"/>
        </w:rPr>
      </w:pPr>
    </w:p>
    <w:p>
      <w:pPr>
        <w:ind w:left="280" w:hanging="272"/>
        <w:spacing w:after="0"/>
        <w:tabs>
          <w:tab w:leader="none" w:pos="2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To TENDER the following Original Notes held by you for the account of the undersigned (insert aggregate principal amount of Original Notes to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tendered): $</w:t>
      </w:r>
      <w:r>
        <w:rPr>
          <w:rFonts w:ascii="Arial" w:cs="Arial" w:eastAsia="Arial" w:hAnsi="Arial"/>
          <w:sz w:val="16"/>
          <w:szCs w:val="16"/>
          <w:color w:val="auto"/>
        </w:rPr>
        <w:t>of the 5.250% Senior Notes due 2026.</w:t>
      </w:r>
    </w:p>
    <w:p>
      <w:pPr>
        <w:spacing w:after="0" w:line="210" w:lineRule="exact"/>
        <w:rPr>
          <w:rFonts w:ascii="Arial" w:cs="Arial" w:eastAsia="Arial" w:hAnsi="Arial"/>
          <w:sz w:val="17"/>
          <w:szCs w:val="17"/>
          <w:color w:val="auto"/>
        </w:rPr>
      </w:pPr>
    </w:p>
    <w:p>
      <w:pPr>
        <w:ind w:left="280" w:hanging="272"/>
        <w:spacing w:after="0"/>
        <w:tabs>
          <w:tab w:leader="none" w:pos="2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 to TENDER any Original Notes held by you for the account of the undersigned.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the undersigned instructs you to tender any or all of the Original Notes held by you for the account of the undersigned, the undersigned hereby agrees and acknowledges that you are authorized:</w:t>
      </w:r>
    </w:p>
    <w:p>
      <w:pPr>
        <w:spacing w:after="0" w:line="170" w:lineRule="exact"/>
        <w:rPr>
          <w:sz w:val="20"/>
          <w:szCs w:val="20"/>
          <w:color w:val="auto"/>
        </w:rPr>
      </w:pPr>
    </w:p>
    <w:p>
      <w:pPr>
        <w:ind w:left="660" w:hanging="328"/>
        <w:spacing w:after="0" w:line="264"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make, on behalf of the undersigned (and the undersigned, by its signature below, hereby makes to you), the representations contained in the Letter of Transmittal that are to be made with respect to the undersigned as a beneficial owner of the Original Notes, including but not limited to the representations that: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225" w:lineRule="exact"/>
        <w:rPr>
          <w:rFonts w:ascii="Arial" w:cs="Arial" w:eastAsia="Arial" w:hAnsi="Arial"/>
          <w:sz w:val="18"/>
          <w:szCs w:val="18"/>
          <w:color w:val="auto"/>
        </w:rPr>
      </w:pPr>
    </w:p>
    <w:p>
      <w:pPr>
        <w:ind w:left="980" w:right="160" w:hanging="324"/>
        <w:spacing w:after="0" w:line="264" w:lineRule="auto"/>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the undersigned has no arrangement or understanding with any person to participate, the undersigned is not participating, and the undersigned does not intend to participate, in the distribution of the Exchange Notes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ectPr>
          <w:pgSz w:w="11900" w:h="16838" w:orient="portrait"/>
          <w:cols w:equalWidth="0" w:num="1">
            <w:col w:w="11360"/>
          </w:cols>
          <w:pgMar w:left="240" w:top="368" w:right="299" w:bottom="1440" w:gutter="0" w:footer="0" w:header="0"/>
        </w:sectPr>
      </w:pPr>
    </w:p>
    <w:bookmarkStart w:id="156" w:name="page157"/>
    <w:bookmarkEnd w:id="156"/>
    <w:p>
      <w:pPr>
        <w:ind w:left="945" w:hanging="324"/>
        <w:spacing w:after="0" w:line="270" w:lineRule="auto"/>
        <w:tabs>
          <w:tab w:leader="none" w:pos="945"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acknowledging and by delivering a prospectus, the undersigned will not be deemed to admit that it is an “underwriter” within the meaning of the Securities Act); and any holder of Original Notes who does not meet these requirements and is unable to make such representations: (i) will not be able to rely on the interpretations of the staff of the Securities and Exchange Commission contained in several no-action letters issued to third parties with respect to exchange offers; (ii) will not be permitted to participate in the Exchange Offer; and (iii) 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81" w:lineRule="exact"/>
        <w:rPr>
          <w:rFonts w:ascii="Arial" w:cs="Arial" w:eastAsia="Arial" w:hAnsi="Arial"/>
          <w:sz w:val="17"/>
          <w:szCs w:val="17"/>
          <w:color w:val="auto"/>
        </w:rPr>
      </w:pPr>
    </w:p>
    <w:p>
      <w:pPr>
        <w:ind w:left="625" w:right="80" w:hanging="328"/>
        <w:spacing w:after="0" w:line="277" w:lineRule="auto"/>
        <w:tabs>
          <w:tab w:leader="none" w:pos="6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agree, on behalf of the undersigned, to the terms and conditions of the Exchange Offer as set forth in the Prospectus and the Letter of Transmittal; and</w:t>
      </w:r>
    </w:p>
    <w:p>
      <w:pPr>
        <w:spacing w:after="0" w:line="170" w:lineRule="exact"/>
        <w:rPr>
          <w:rFonts w:ascii="Arial" w:cs="Arial" w:eastAsia="Arial" w:hAnsi="Arial"/>
          <w:sz w:val="18"/>
          <w:szCs w:val="18"/>
          <w:color w:val="auto"/>
        </w:rPr>
      </w:pPr>
    </w:p>
    <w:p>
      <w:pPr>
        <w:ind w:left="625" w:hanging="328"/>
        <w:spacing w:after="0"/>
        <w:tabs>
          <w:tab w:leader="none" w:pos="62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to take such other action as may be necessary under the Prospectus or the Letter of Transmittal to effect the valid tender of the Original Notes.</w:t>
      </w:r>
    </w:p>
    <w:p>
      <w:pPr>
        <w:spacing w:after="0" w:line="200" w:lineRule="exact"/>
        <w:rPr>
          <w:sz w:val="20"/>
          <w:szCs w:val="20"/>
          <w:color w:val="auto"/>
        </w:rPr>
      </w:pPr>
    </w:p>
    <w:p>
      <w:pPr>
        <w:spacing w:after="0" w:line="249"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PLEASE COMPLETE AND SIGN BELOW</w:t>
      </w:r>
    </w:p>
    <w:p>
      <w:pPr>
        <w:spacing w:after="0" w:line="391" w:lineRule="exact"/>
        <w:rPr>
          <w:sz w:val="20"/>
          <w:szCs w:val="20"/>
          <w:color w:val="auto"/>
        </w:rPr>
      </w:pPr>
    </w:p>
    <w:p>
      <w:pPr>
        <w:ind w:left="5"/>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1003300</wp:posOffset>
            </wp:positionH>
            <wp:positionV relativeFrom="paragraph">
              <wp:posOffset>31750</wp:posOffset>
            </wp:positionV>
            <wp:extent cx="62261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Names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31750</wp:posOffset>
            </wp:positionV>
            <wp:extent cx="50596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31750</wp:posOffset>
            </wp:positionV>
            <wp:extent cx="59347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795020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409575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31750</wp:posOffset>
            </wp:positionV>
            <wp:extent cx="63715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31750</wp:posOffset>
            </wp:positionV>
            <wp:extent cx="57111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31750</wp:posOffset>
            </wp:positionV>
            <wp:extent cx="36874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40" w:lineRule="exact"/>
        <w:rPr>
          <w:sz w:val="20"/>
          <w:szCs w:val="20"/>
          <w:color w:val="auto"/>
        </w:rPr>
      </w:pPr>
    </w:p>
    <w:p>
      <w:pPr>
        <w:ind w:left="5"/>
        <w:spacing w:after="0"/>
        <w:tabs>
          <w:tab w:leader="none" w:pos="2205"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-10160</wp:posOffset>
            </wp:positionV>
            <wp:extent cx="10572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340" w:lineRule="exact"/>
        <w:rPr>
          <w:sz w:val="20"/>
          <w:szCs w:val="20"/>
          <w:color w:val="auto"/>
        </w:rPr>
      </w:pPr>
    </w:p>
    <w:p>
      <w:pPr>
        <w:ind w:left="325" w:right="860" w:hanging="325"/>
        <w:spacing w:after="0" w:line="277" w:lineRule="auto"/>
        <w:tabs>
          <w:tab w:leader="none" w:pos="136"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4" w:lineRule="exact"/>
        <w:rPr>
          <w:sz w:val="20"/>
          <w:szCs w:val="20"/>
          <w:color w:val="auto"/>
        </w:rPr>
      </w:pPr>
    </w:p>
    <w:p>
      <w:pPr>
        <w:ind w:left="5" w:right="60"/>
        <w:spacing w:after="0" w:line="266" w:lineRule="auto"/>
        <w:rPr>
          <w:sz w:val="20"/>
          <w:szCs w:val="20"/>
          <w:color w:val="auto"/>
        </w:rPr>
      </w:pPr>
      <w:r>
        <w:rPr>
          <w:rFonts w:ascii="Arial" w:cs="Arial" w:eastAsia="Arial" w:hAnsi="Arial"/>
          <w:sz w:val="18"/>
          <w:szCs w:val="18"/>
          <w:b w:val="1"/>
          <w:bCs w:val="1"/>
          <w:color w:val="auto"/>
        </w:rPr>
        <w:t>None of the Original Notes held by us for your account will be tendered unless we receive written instructions from you to do so. Unless a specific contrary instruction is given in the space provided, your signature(s) above constitutes an instruction to us to tender ALL of the Original Notes held by us for your account.</w:t>
      </w:r>
    </w:p>
    <w:sectPr>
      <w:pgSz w:w="11900" w:h="16838" w:orient="portrait"/>
      <w:cols w:equalWidth="0" w:num="1">
        <w:col w:w="11385"/>
      </w:cols>
      <w:pgMar w:left="275"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1)"/>
      <w:numFmt w:val="decimal"/>
      <w:start w:val="1"/>
    </w:lvl>
  </w:abstractNum>
  <w:abstractNum w:abstractNumId="1">
    <w:nsid w:val="4A2AC315"/>
    <w:multiLevelType w:val="hybridMultilevel"/>
    <w:lvl w:ilvl="0">
      <w:lvlJc w:val="left"/>
      <w:lvlText w:val="(%1)"/>
      <w:numFmt w:val="decimal"/>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1)"/>
      <w:numFmt w:val="decimal"/>
      <w:start w:val="937"/>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lvl w:ilvl="1">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1)"/>
      <w:numFmt w:val="decimal"/>
      <w:start w:val="1"/>
    </w:lvl>
  </w:abstractNum>
  <w:abstractNum w:abstractNumId="16">
    <w:nsid w:val="7672BD23"/>
    <w:multiLevelType w:val="hybridMultilevel"/>
    <w:lvl w:ilvl="0">
      <w:lvlJc w:val="left"/>
      <w:lvlText w:val="(%1)"/>
      <w:numFmt w:val="decimal"/>
      <w:start w:val="1"/>
    </w:lvl>
  </w:abstractNum>
  <w:abstractNum w:abstractNumId="17">
    <w:nsid w:val="6FC75AF8"/>
    <w:multiLevelType w:val="hybridMultilevel"/>
    <w:lvl w:ilvl="0">
      <w:lvlJc w:val="left"/>
      <w:lvlText w:val="(%1)"/>
      <w:numFmt w:val="decimal"/>
      <w:start w:val="2"/>
    </w:lvl>
  </w:abstractNum>
  <w:abstractNum w:abstractNumId="18">
    <w:nsid w:val="6A5F7029"/>
    <w:multiLevelType w:val="hybridMultilevel"/>
    <w:lvl w:ilvl="0">
      <w:lvlJc w:val="left"/>
      <w:lvlText w:val="(%1)"/>
      <w:numFmt w:val="decimal"/>
      <w:start w:val="3"/>
    </w:lvl>
  </w:abstractNum>
  <w:abstractNum w:abstractNumId="19">
    <w:nsid w:val="7D5E18F8"/>
    <w:multiLevelType w:val="hybridMultilevel"/>
    <w:lvl w:ilvl="0">
      <w:lvlJc w:val="left"/>
      <w:lvlText w:val="(%1)"/>
      <w:numFmt w:val="decimal"/>
      <w:start w:val="6"/>
    </w:lvl>
  </w:abstractNum>
  <w:abstractNum w:abstractNumId="20">
    <w:nsid w:val="5F3534A4"/>
    <w:multiLevelType w:val="hybridMultilevel"/>
    <w:lvl w:ilvl="0">
      <w:lvlJc w:val="left"/>
      <w:lvlText w:val="(%1)"/>
      <w:numFmt w:val="decimal"/>
      <w:start w:val="7"/>
    </w:lvl>
  </w:abstractNum>
  <w:abstractNum w:abstractNumId="21">
    <w:nsid w:val="73A1821B"/>
    <w:multiLevelType w:val="hybridMultilevel"/>
    <w:lvl w:ilvl="0">
      <w:lvlJc w:val="left"/>
      <w:lvlText w:val="(%1)"/>
      <w:numFmt w:val="lowerRoman"/>
      <w:start w:val="2"/>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1)"/>
      <w:numFmt w:val="decimal"/>
      <w:start w:val="1"/>
    </w:lvl>
  </w:abstractNum>
  <w:abstractNum w:abstractNumId="43">
    <w:nsid w:val="23D86AAC"/>
    <w:multiLevelType w:val="hybridMultilevel"/>
    <w:lvl w:ilvl="0">
      <w:lvlJc w:val="left"/>
      <w:lvlText w:val="(%1)"/>
      <w:numFmt w:val="decimal"/>
      <w:start w:val="1"/>
    </w:lvl>
  </w:abstractNum>
  <w:abstractNum w:abstractNumId="44">
    <w:nsid w:val="45E6D486"/>
    <w:multiLevelType w:val="hybridMultilevel"/>
    <w:lvl w:ilvl="0">
      <w:lvlJc w:val="left"/>
      <w:lvlText w:val="(%1)"/>
      <w:numFmt w:val="decimal"/>
      <w:start w:val="1"/>
    </w:lvl>
  </w:abstractNum>
  <w:abstractNum w:abstractNumId="45">
    <w:nsid w:val="5C10FE21"/>
    <w:multiLevelType w:val="hybridMultilevel"/>
    <w:lvl w:ilvl="0">
      <w:lvlJc w:val="left"/>
      <w:lvlText w:val="(%1)"/>
      <w:numFmt w:val="decimal"/>
      <w:start w:val="2"/>
    </w:lvl>
    <w:lvl w:ilvl="1">
      <w:lvlJc w:val="left"/>
      <w:lvlText w:val="(%2)"/>
      <w:numFmt w:val="lowerRoman"/>
      <w:start w:val="1"/>
    </w:lvl>
  </w:abstractNum>
  <w:abstractNum w:abstractNumId="46">
    <w:nsid w:val="E7FFA2B"/>
    <w:multiLevelType w:val="hybridMultilevel"/>
    <w:lvl w:ilvl="0">
      <w:lvlJc w:val="left"/>
      <w:lvlText w:val="(%1)"/>
      <w:numFmt w:val="upperLetter"/>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1)"/>
      <w:numFmt w:val="lowerLetter"/>
      <w:start w:val="1"/>
    </w:lvl>
    <w:lvl w:ilvl="1">
      <w:lvlJc w:val="left"/>
      <w:lvlText w:val="(%2)"/>
      <w:numFmt w:val="lowerRoman"/>
      <w:start w:val="1"/>
    </w:lvl>
  </w:abstractNum>
  <w:abstractNum w:abstractNumId="49">
    <w:nsid w:val="78DF6A55"/>
    <w:multiLevelType w:val="hybridMultilevel"/>
    <w:lvl w:ilvl="0">
      <w:lvlJc w:val="left"/>
      <w:lvlText w:val="(%1)"/>
      <w:numFmt w:val="decimal"/>
      <w:start w:val="1"/>
    </w:lvl>
  </w:abstractNum>
  <w:abstractNum w:abstractNumId="50">
    <w:nsid w:val="39B7AAA2"/>
    <w:multiLevelType w:val="hybridMultilevel"/>
    <w:lvl w:ilvl="0">
      <w:lvlJc w:val="left"/>
      <w:lvlText w:val="(%1)"/>
      <w:numFmt w:val="decimal"/>
      <w:start w:val="6"/>
    </w:lvl>
    <w:lvl w:ilvl="1">
      <w:lvlJc w:val="left"/>
      <w:lvlText w:val="(%2)"/>
      <w:numFmt w:val="lowerLetter"/>
      <w:start w:val="1"/>
    </w:lvl>
  </w:abstractNum>
  <w:abstractNum w:abstractNumId="51">
    <w:nsid w:val="2B0D8DBE"/>
    <w:multiLevelType w:val="hybridMultilevel"/>
    <w:lvl w:ilvl="0">
      <w:lvlJc w:val="left"/>
      <w:lvlText w:val="(%1)"/>
      <w:numFmt w:val="decimal"/>
      <w:start w:val="1"/>
    </w:lvl>
  </w:abstractNum>
  <w:abstractNum w:abstractNumId="52">
    <w:nsid w:val="6C80EC70"/>
    <w:multiLevelType w:val="hybridMultilevel"/>
    <w:lvl w:ilvl="0">
      <w:lvlJc w:val="left"/>
      <w:lvlText w:val="(%1)"/>
      <w:numFmt w:val="decimal"/>
      <w:start w:val="1"/>
    </w:lvl>
  </w:abstractNum>
  <w:abstractNum w:abstractNumId="53">
    <w:nsid w:val="379E21B5"/>
    <w:multiLevelType w:val="hybridMultilevel"/>
    <w:lvl w:ilvl="0">
      <w:lvlJc w:val="left"/>
      <w:lvlText w:val="(%1)"/>
      <w:numFmt w:val="decimal"/>
      <w:start w:val="1"/>
    </w:lvl>
  </w:abstractNum>
  <w:abstractNum w:abstractNumId="54">
    <w:nsid w:val="69E373"/>
    <w:multiLevelType w:val="hybridMultilevel"/>
    <w:lvl w:ilvl="0">
      <w:lvlJc w:val="left"/>
      <w:lvlText w:val="(%1)"/>
      <w:numFmt w:val="decimal"/>
      <w:start w:val="13"/>
    </w:lvl>
  </w:abstractNum>
  <w:abstractNum w:abstractNumId="55">
    <w:nsid w:val="2C27173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34"/>
    </w:lvl>
    <w:lvl w:ilvl="3">
      <w:lvlJc w:val="left"/>
      <w:lvlText w:val="(%4)"/>
      <w:numFmt w:val="decimal"/>
      <w:start w:val="1"/>
    </w:lvl>
    <w:lvl w:ilvl="4">
      <w:lvlJc w:val="left"/>
      <w:lvlText w:val="(%5)"/>
      <w:numFmt w:val="decimal"/>
      <w:start w:val="2"/>
    </w:lvl>
    <w:lvl w:ilvl="5">
      <w:lvlJc w:val="left"/>
      <w:lvlText w:val="(%6)"/>
      <w:numFmt w:val="lowerLetter"/>
      <w:start w:val="24"/>
    </w:lvl>
  </w:abstractNum>
  <w:abstractNum w:abstractNumId="56">
    <w:nsid w:val="4C9B0904"/>
    <w:multiLevelType w:val="hybridMultilevel"/>
    <w:lvl w:ilvl="0">
      <w:lvlJc w:val="left"/>
      <w:lvlText w:val="(%1)"/>
      <w:numFmt w:val="lowerRoman"/>
      <w:start w:val="3"/>
    </w:lvl>
  </w:abstractNum>
  <w:abstractNum w:abstractNumId="57">
    <w:nsid w:val="6AA7B75C"/>
    <w:multiLevelType w:val="hybridMultilevel"/>
    <w:lvl w:ilvl="0">
      <w:lvlJc w:val="left"/>
      <w:lvlText w:val="(%1)"/>
      <w:numFmt w:val="lowerLetter"/>
      <w:start w:val="2"/>
    </w:lvl>
    <w:lvl w:ilvl="1">
      <w:lvlJc w:val="left"/>
      <w:lvlText w:val="(%2)"/>
      <w:numFmt w:val="lowerRoman"/>
      <w:start w:val="1"/>
    </w:lvl>
  </w:abstractNum>
  <w:abstractNum w:abstractNumId="58">
    <w:nsid w:val="1DF029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9">
    <w:nsid w:val="5675FF36"/>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0">
    <w:nsid w:val="3DD15094"/>
    <w:multiLevelType w:val="hybridMultilevel"/>
    <w:lvl w:ilvl="0">
      <w:lvlJc w:val="left"/>
      <w:lvlText w:val="(%1)"/>
      <w:numFmt w:val="decimal"/>
      <w:start w:val="1"/>
    </w:lvl>
  </w:abstractNum>
  <w:abstractNum w:abstractNumId="61">
    <w:nsid w:val="3DB012B3"/>
    <w:multiLevelType w:val="hybridMultilevel"/>
    <w:lvl w:ilvl="0">
      <w:lvlJc w:val="left"/>
      <w:lvlText w:val="(%1)"/>
      <w:numFmt w:val="decimal"/>
      <w:start w:val="3"/>
    </w:lvl>
  </w:abstractNum>
  <w:abstractNum w:abstractNumId="62">
    <w:nsid w:val="2708C9AF"/>
    <w:multiLevelType w:val="hybridMultilevel"/>
    <w:lvl w:ilvl="0">
      <w:lvlJc w:val="left"/>
      <w:lvlText w:val="(%1)"/>
      <w:numFmt w:val="lowerRoman"/>
      <w:start w:val="1"/>
    </w:lvl>
  </w:abstractNum>
  <w:abstractNum w:abstractNumId="63">
    <w:nsid w:val="5B25ACE2"/>
    <w:multiLevelType w:val="hybridMultilevel"/>
    <w:lvl w:ilvl="0">
      <w:lvlJc w:val="left"/>
      <w:lvlText w:val="(%1)"/>
      <w:numFmt w:val="decimal"/>
      <w:start w:val="1"/>
    </w:lvl>
    <w:lvl w:ilvl="1">
      <w:lvlJc w:val="left"/>
      <w:lvlText w:val="(%2)"/>
      <w:numFmt w:val="lowerLetter"/>
      <w:start w:val="1"/>
    </w:lvl>
  </w:abstractNum>
  <w:abstractNum w:abstractNumId="64">
    <w:nsid w:val="175DFCF0"/>
    <w:multiLevelType w:val="hybridMultilevel"/>
    <w:lvl w:ilvl="0">
      <w:lvlJc w:val="left"/>
      <w:lvlText w:val="(%1)"/>
      <w:numFmt w:val="lowerLetter"/>
      <w:start w:val="12"/>
    </w:lvl>
  </w:abstractNum>
  <w:abstractNum w:abstractNumId="65">
    <w:nsid w:val="4F97E3E4"/>
    <w:multiLevelType w:val="hybridMultilevel"/>
    <w:lvl w:ilvl="0">
      <w:lvlJc w:val="left"/>
      <w:lvlText w:val="(%1)"/>
      <w:numFmt w:val="decimal"/>
      <w:start w:val="2"/>
    </w:lvl>
  </w:abstractNum>
  <w:abstractNum w:abstractNumId="66">
    <w:nsid w:val="53B0A9E"/>
    <w:multiLevelType w:val="hybridMultilevel"/>
    <w:lvl w:ilvl="0">
      <w:lvlJc w:val="left"/>
      <w:lvlText w:val="%1"/>
      <w:numFmt w:val="decimal"/>
      <w:start w:val="1"/>
    </w:lvl>
    <w:lvl w:ilvl="1">
      <w:lvlJc w:val="left"/>
      <w:lvlText w:val="(%2)"/>
      <w:numFmt w:val="decimal"/>
      <w:start w:val="1"/>
    </w:lvl>
  </w:abstractNum>
  <w:abstractNum w:abstractNumId="67">
    <w:nsid w:val="34FD6B4F"/>
    <w:multiLevelType w:val="hybridMultilevel"/>
    <w:lvl w:ilvl="0">
      <w:lvlJc w:val="left"/>
      <w:lvlText w:val="(%1)"/>
      <w:numFmt w:val="decimal"/>
      <w:start w:val="10"/>
    </w:lvl>
    <w:lvl w:ilvl="1">
      <w:lvlJc w:val="left"/>
      <w:lvlText w:val="(%2)"/>
      <w:numFmt w:val="decimal"/>
      <w:start w:val="7"/>
    </w:lvl>
  </w:abstractNum>
  <w:abstractNum w:abstractNumId="68">
    <w:nsid w:val="5915FF32"/>
    <w:multiLevelType w:val="hybridMultilevel"/>
    <w:lvl w:ilvl="0">
      <w:lvlJc w:val="left"/>
      <w:lvlText w:val="(%1)"/>
      <w:numFmt w:val="decimal"/>
      <w:start w:val="8"/>
    </w:lvl>
  </w:abstractNum>
  <w:abstractNum w:abstractNumId="69">
    <w:nsid w:val="56438D15"/>
    <w:multiLevelType w:val="hybridMultilevel"/>
    <w:lvl w:ilvl="0">
      <w:lvlJc w:val="left"/>
      <w:lvlText w:val="(%1)"/>
      <w:numFmt w:val="decimal"/>
      <w:start w:val="1"/>
    </w:lvl>
  </w:abstractNum>
  <w:abstractNum w:abstractNumId="70">
    <w:nsid w:val="519E3149"/>
    <w:multiLevelType w:val="hybridMultilevel"/>
    <w:lvl w:ilvl="0">
      <w:lvlJc w:val="left"/>
      <w:lvlText w:val="(%1)"/>
      <w:numFmt w:val="decimal"/>
      <w:start w:val="1"/>
    </w:lvl>
  </w:abstractNum>
  <w:abstractNum w:abstractNumId="71">
    <w:nsid w:val="2C6E4AFD"/>
    <w:multiLevelType w:val="hybridMultilevel"/>
    <w:lvl w:ilvl="0">
      <w:lvlJc w:val="left"/>
      <w:lvlText w:val="(%1)"/>
      <w:numFmt w:val="decimal"/>
      <w:start w:val="1"/>
    </w:lvl>
  </w:abstractNum>
  <w:abstractNum w:abstractNumId="72">
    <w:nsid w:val="17A1B582"/>
    <w:multiLevelType w:val="hybridMultilevel"/>
    <w:lvl w:ilvl="0">
      <w:lvlJc w:val="left"/>
      <w:lvlText w:val="(%1)"/>
      <w:numFmt w:val="decimal"/>
      <w:start w:val="5"/>
    </w:lvl>
  </w:abstractNum>
  <w:abstractNum w:abstractNumId="73">
    <w:nsid w:val="4DF72E4E"/>
    <w:multiLevelType w:val="hybridMultilevel"/>
    <w:lvl w:ilvl="0">
      <w:lvlJc w:val="left"/>
      <w:lvlText w:val="(%1)"/>
      <w:numFmt w:val="lowerLetter"/>
      <w:start w:val="1"/>
    </w:lvl>
    <w:lvl w:ilvl="1">
      <w:lvlJc w:val="left"/>
      <w:lvlText w:val="(%2)"/>
      <w:numFmt w:val="lowerRoman"/>
      <w:start w:val="1"/>
    </w:lvl>
  </w:abstractNum>
  <w:abstractNum w:abstractNumId="74">
    <w:nsid w:val="5046B5A9"/>
    <w:multiLevelType w:val="hybridMultilevel"/>
    <w:lvl w:ilvl="0">
      <w:lvlJc w:val="left"/>
      <w:lvlText w:val="(%1)"/>
      <w:numFmt w:val="decimal"/>
      <w:start w:val="1"/>
    </w:lvl>
  </w:abstractNum>
  <w:abstractNum w:abstractNumId="75">
    <w:nsid w:val="5D888A08"/>
    <w:multiLevelType w:val="hybridMultilevel"/>
    <w:lvl w:ilvl="0">
      <w:lvlJc w:val="left"/>
      <w:lvlText w:val="(%1)"/>
      <w:numFmt w:val="decimal"/>
      <w:start w:val="1"/>
    </w:lvl>
  </w:abstractNum>
  <w:abstractNum w:abstractNumId="76">
    <w:nsid w:val="2A082C70"/>
    <w:multiLevelType w:val="hybridMultilevel"/>
    <w:lvl w:ilvl="0">
      <w:lvlJc w:val="left"/>
      <w:lvlText w:val="(%1)"/>
      <w:numFmt w:val="decimal"/>
      <w:start w:val="3"/>
    </w:lvl>
  </w:abstractNum>
  <w:abstractNum w:abstractNumId="77">
    <w:nsid w:val="5EC6AFD4"/>
    <w:multiLevelType w:val="hybridMultilevel"/>
    <w:lvl w:ilvl="0">
      <w:lvlJc w:val="left"/>
      <w:lvlText w:val="(%1)"/>
      <w:numFmt w:val="decimal"/>
      <w:start w:val="1"/>
    </w:lvl>
  </w:abstractNum>
  <w:abstractNum w:abstractNumId="78">
    <w:nsid w:val="19E21BB2"/>
    <w:multiLevelType w:val="hybridMultilevel"/>
    <w:lvl w:ilvl="0">
      <w:lvlJc w:val="left"/>
      <w:lvlText w:val="(%1)"/>
      <w:numFmt w:val="decimal"/>
      <w:start w:val="1"/>
    </w:lvl>
  </w:abstractNum>
  <w:abstractNum w:abstractNumId="79">
    <w:nsid w:val="75E0858A"/>
    <w:multiLevelType w:val="hybridMultilevel"/>
    <w:lvl w:ilvl="0">
      <w:lvlJc w:val="left"/>
      <w:lvlText w:val="(%1)"/>
      <w:numFmt w:val="decimal"/>
      <w:start w:val="1"/>
    </w:lvl>
  </w:abstractNum>
  <w:abstractNum w:abstractNumId="80">
    <w:nsid w:val="57A61A29"/>
    <w:multiLevelType w:val="hybridMultilevel"/>
    <w:lvl w:ilvl="0">
      <w:lvlJc w:val="left"/>
      <w:lvlText w:val="(%1)"/>
      <w:numFmt w:val="decimal"/>
      <w:start w:val="9"/>
    </w:lvl>
  </w:abstractNum>
  <w:abstractNum w:abstractNumId="81">
    <w:nsid w:val="5399C654"/>
    <w:multiLevelType w:val="hybridMultilevel"/>
    <w:lvl w:ilvl="0">
      <w:lvlJc w:val="left"/>
      <w:lvlText w:val="(%1)"/>
      <w:numFmt w:val="decimal"/>
      <w:start w:val="1"/>
    </w:lvl>
  </w:abstractNum>
  <w:abstractNum w:abstractNumId="82">
    <w:nsid w:val="20EE1348"/>
    <w:multiLevelType w:val="hybridMultilevel"/>
    <w:lvl w:ilvl="0">
      <w:lvlJc w:val="left"/>
      <w:lvlText w:val="(%1)"/>
      <w:numFmt w:val="lowerLetter"/>
      <w:start w:val="1"/>
    </w:lvl>
  </w:abstractNum>
  <w:abstractNum w:abstractNumId="83">
    <w:nsid w:val="4427069A"/>
    <w:multiLevelType w:val="hybridMultilevel"/>
    <w:lvl w:ilvl="0">
      <w:lvlJc w:val="left"/>
      <w:lvlText w:val="(%1)"/>
      <w:numFmt w:val="lowerLetter"/>
      <w:start w:val="3"/>
    </w:lvl>
  </w:abstractNum>
  <w:abstractNum w:abstractNumId="84">
    <w:nsid w:val="B37E80A"/>
    <w:multiLevelType w:val="hybridMultilevel"/>
    <w:lvl w:ilvl="0">
      <w:lvlJc w:val="left"/>
      <w:lvlText w:val="(%1)"/>
      <w:numFmt w:val="lowerLetter"/>
      <w:start w:val="12"/>
    </w:lvl>
  </w:abstractNum>
  <w:abstractNum w:abstractNumId="85">
    <w:nsid w:val="2157F6BC"/>
    <w:multiLevelType w:val="hybridMultilevel"/>
    <w:lvl w:ilvl="0">
      <w:lvlJc w:val="left"/>
      <w:lvlText w:val="(%1)"/>
      <w:numFmt w:val="decimal"/>
      <w:start w:val="2"/>
    </w:lvl>
  </w:abstractNum>
  <w:abstractNum w:abstractNumId="86">
    <w:nsid w:val="704E1DD5"/>
    <w:multiLevelType w:val="hybridMultilevel"/>
    <w:lvl w:ilvl="0">
      <w:lvlJc w:val="left"/>
      <w:lvlText w:val="(%1)"/>
      <w:numFmt w:val="decimal"/>
      <w:start w:val="1"/>
    </w:lvl>
  </w:abstractNum>
  <w:abstractNum w:abstractNumId="87">
    <w:nsid w:val="57D2F10E"/>
    <w:multiLevelType w:val="hybridMultilevel"/>
    <w:lvl w:ilvl="0">
      <w:lvlJc w:val="left"/>
      <w:lvlText w:val="(%1)"/>
      <w:numFmt w:val="decimal"/>
      <w:start w:val="3"/>
    </w:lvl>
  </w:abstractNum>
  <w:abstractNum w:abstractNumId="88">
    <w:nsid w:val="BFFAE18"/>
    <w:multiLevelType w:val="hybridMultilevel"/>
    <w:lvl w:ilvl="0">
      <w:lvlJc w:val="left"/>
      <w:lvlText w:val="(%1)"/>
      <w:numFmt w:val="decimal"/>
      <w:start w:val="1"/>
    </w:lvl>
  </w:abstractNum>
  <w:abstractNum w:abstractNumId="89">
    <w:nsid w:val="E3E47A8"/>
    <w:multiLevelType w:val="hybridMultilevel"/>
    <w:lvl w:ilvl="0">
      <w:lvlJc w:val="left"/>
      <w:lvlText w:val="(%1)"/>
      <w:numFmt w:val="decimal"/>
      <w:start w:val="2"/>
    </w:lvl>
  </w:abstractNum>
  <w:abstractNum w:abstractNumId="90">
    <w:nsid w:val="2E48F044"/>
    <w:multiLevelType w:val="hybridMultilevel"/>
    <w:lvl w:ilvl="0">
      <w:lvlJc w:val="left"/>
      <w:lvlText w:val="(%1)"/>
      <w:numFmt w:val="decimal"/>
      <w:start w:val="1"/>
    </w:lvl>
  </w:abstractNum>
  <w:abstractNum w:abstractNumId="91">
    <w:nsid w:val="49D0FEAC"/>
    <w:multiLevelType w:val="hybridMultilevel"/>
    <w:lvl w:ilvl="0">
      <w:lvlJc w:val="left"/>
      <w:lvlText w:val="(%1)"/>
      <w:numFmt w:val="decimal"/>
      <w:start w:val="1"/>
    </w:lvl>
  </w:abstractNum>
  <w:abstractNum w:abstractNumId="92">
    <w:nsid w:val="4BEE5A5B"/>
    <w:multiLevelType w:val="hybridMultilevel"/>
    <w:lvl w:ilvl="0">
      <w:lvlJc w:val="left"/>
      <w:lvlText w:val="(%1)"/>
      <w:numFmt w:val="decimal"/>
      <w:start w:val="1"/>
    </w:lvl>
  </w:abstractNum>
  <w:abstractNum w:abstractNumId="93">
    <w:nsid w:val="5551B9F3"/>
    <w:multiLevelType w:val="hybridMultilevel"/>
    <w:lvl w:ilvl="0">
      <w:lvlJc w:val="left"/>
      <w:lvlText w:val="(%1)"/>
      <w:numFmt w:val="lowerRoman"/>
      <w:start w:val="1"/>
    </w:lvl>
  </w:abstractNum>
  <w:abstractNum w:abstractNumId="94">
    <w:nsid w:val="24F6AB8E"/>
    <w:multiLevelType w:val="hybridMultilevel"/>
    <w:lvl w:ilvl="0">
      <w:lvlJc w:val="left"/>
      <w:lvlText w:val="(%1)"/>
      <w:numFmt w:val="lowerLetter"/>
      <w:start w:val="1"/>
    </w:lvl>
  </w:abstractNum>
  <w:abstractNum w:abstractNumId="95">
    <w:nsid w:val="634C574C"/>
    <w:multiLevelType w:val="hybridMultilevel"/>
    <w:lvl w:ilvl="0">
      <w:lvlJc w:val="left"/>
      <w:lvlText w:val="(%1)"/>
      <w:numFmt w:val="decimal"/>
      <w:start w:val="1"/>
    </w:lvl>
  </w:abstractNum>
  <w:abstractNum w:abstractNumId="96">
    <w:nsid w:val="24E99DD7"/>
    <w:multiLevelType w:val="hybridMultilevel"/>
    <w:lvl w:ilvl="0">
      <w:lvlJc w:val="left"/>
      <w:lvlText w:val="(%1)"/>
      <w:numFmt w:val="decimal"/>
      <w:start w:val="4"/>
    </w:lvl>
  </w:abstractNum>
  <w:abstractNum w:abstractNumId="97">
    <w:nsid w:val="2A31B62D"/>
    <w:multiLevelType w:val="hybridMultilevel"/>
    <w:lvl w:ilvl="0">
      <w:lvlJc w:val="left"/>
      <w:lvlText w:val="(%1)"/>
      <w:numFmt w:val="decimal"/>
      <w:start w:val="1"/>
    </w:lvl>
  </w:abstractNum>
  <w:abstractNum w:abstractNumId="98">
    <w:nsid w:val="1849C29B"/>
    <w:multiLevelType w:val="hybridMultilevel"/>
    <w:lvl w:ilvl="0">
      <w:lvlJc w:val="left"/>
      <w:lvlText w:val="(%1)"/>
      <w:numFmt w:val="decimal"/>
      <w:start w:val="1"/>
    </w:lvl>
  </w:abstractNum>
  <w:abstractNum w:abstractNumId="99">
    <w:nsid w:val="7DFF9D09"/>
    <w:multiLevelType w:val="hybridMultilevel"/>
    <w:lvl w:ilvl="0">
      <w:lvlJc w:val="left"/>
      <w:lvlText w:val="(%1)"/>
      <w:numFmt w:val="decimal"/>
      <w:start w:val="1"/>
    </w:lvl>
    <w:lvl w:ilvl="1">
      <w:lvlJc w:val="left"/>
      <w:lvlText w:val="(%2)"/>
      <w:numFmt w:val="lowerLetter"/>
      <w:start w:val="1"/>
    </w:lvl>
  </w:abstractNum>
  <w:abstractNum w:abstractNumId="100">
    <w:nsid w:val="754342"/>
    <w:multiLevelType w:val="hybridMultilevel"/>
    <w:lvl w:ilvl="0">
      <w:lvlJc w:val="left"/>
      <w:lvlText w:val="(%1)"/>
      <w:numFmt w:val="decimal"/>
      <w:start w:val="1"/>
    </w:lvl>
  </w:abstractNum>
  <w:abstractNum w:abstractNumId="101">
    <w:nsid w:val="69E7F3E5"/>
    <w:multiLevelType w:val="hybridMultilevel"/>
    <w:lvl w:ilvl="0">
      <w:lvlJc w:val="left"/>
      <w:lvlText w:val="(%1)"/>
      <w:numFmt w:val="decimal"/>
      <w:start w:val="16"/>
    </w:lvl>
  </w:abstractNum>
  <w:abstractNum w:abstractNumId="102">
    <w:nsid w:val="2A6DE806"/>
    <w:multiLevelType w:val="hybridMultilevel"/>
    <w:lvl w:ilvl="0">
      <w:lvlJc w:val="left"/>
      <w:lvlText w:val="(%1)"/>
      <w:numFmt w:val="decimal"/>
      <w:start w:val="1"/>
    </w:lvl>
  </w:abstractNum>
  <w:abstractNum w:abstractNumId="103">
    <w:nsid w:val="1816F8C4"/>
    <w:multiLevelType w:val="hybridMultilevel"/>
    <w:lvl w:ilvl="0">
      <w:lvlJc w:val="left"/>
      <w:lvlText w:val="%1"/>
      <w:numFmt w:val="lowerLetter"/>
      <w:start w:val="1"/>
    </w:lvl>
    <w:lvl w:ilvl="1">
      <w:lvlJc w:val="left"/>
      <w:lvlText w:val="(%2)"/>
      <w:numFmt w:val="decimal"/>
      <w:start w:val="1"/>
    </w:lvl>
  </w:abstractNum>
  <w:abstractNum w:abstractNumId="104">
    <w:nsid w:val="37DF2233"/>
    <w:multiLevelType w:val="hybridMultilevel"/>
    <w:lvl w:ilvl="0">
      <w:lvlJc w:val="left"/>
      <w:lvlText w:val="(%1)"/>
      <w:numFmt w:val="lowerLetter"/>
      <w:start w:val="2"/>
    </w:lvl>
    <w:lvl w:ilvl="1">
      <w:lvlJc w:val="left"/>
      <w:lvlText w:val="%2"/>
      <w:numFmt w:val="decimal"/>
      <w:start w:val="1"/>
    </w:lvl>
  </w:abstractNum>
  <w:abstractNum w:abstractNumId="105">
    <w:nsid w:val="7AB49DAF"/>
    <w:multiLevelType w:val="hybridMultilevel"/>
    <w:lvl w:ilvl="0">
      <w:lvlJc w:val="left"/>
      <w:lvlText w:val="(%1)"/>
      <w:numFmt w:val="decimal"/>
      <w:start w:val="1"/>
    </w:lvl>
  </w:abstractNum>
  <w:abstractNum w:abstractNumId="106">
    <w:nsid w:val="759F82CD"/>
    <w:multiLevelType w:val="hybridMultilevel"/>
    <w:lvl w:ilvl="0">
      <w:lvlJc w:val="left"/>
      <w:lvlText w:val="(%1)"/>
      <w:numFmt w:val="decimal"/>
      <w:start w:val="1"/>
    </w:lvl>
  </w:abstractNum>
  <w:abstractNum w:abstractNumId="107">
    <w:nsid w:val="61E74EA3"/>
    <w:multiLevelType w:val="hybridMultilevel"/>
    <w:lvl w:ilvl="0">
      <w:lvlJc w:val="left"/>
      <w:lvlText w:val="•"/>
      <w:numFmt w:val="bullet"/>
      <w:start w:val="1"/>
    </w:lvl>
  </w:abstractNum>
  <w:abstractNum w:abstractNumId="108">
    <w:nsid w:val="597B4D84"/>
    <w:multiLevelType w:val="hybridMultilevel"/>
    <w:lvl w:ilvl="0">
      <w:lvlJc w:val="left"/>
      <w:lvlText w:val="(%1)"/>
      <w:numFmt w:val="lowerRoman"/>
      <w:start w:val="2"/>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
      <w:numFmt w:val="bullet"/>
      <w:start w:val="1"/>
    </w:lvl>
  </w:abstractNum>
  <w:abstractNum w:abstractNumId="111">
    <w:nsid w:val="312167AD"/>
    <w:multiLevelType w:val="hybridMultilevel"/>
    <w:lvl w:ilvl="0">
      <w:lvlJc w:val="left"/>
      <w:lvlText w:val="•"/>
      <w:numFmt w:val="bullet"/>
      <w:start w:val="1"/>
    </w:lvl>
  </w:abstractNum>
  <w:abstractNum w:abstractNumId="112">
    <w:nsid w:val="631B64D4"/>
    <w:multiLevelType w:val="hybridMultilevel"/>
    <w:lvl w:ilvl="0">
      <w:lvlJc w:val="left"/>
      <w:lvlText w:val="•"/>
      <w:numFmt w:val="bullet"/>
      <w:start w:val="1"/>
    </w:lvl>
  </w:abstractNum>
  <w:abstractNum w:abstractNumId="113">
    <w:nsid w:val="78B5E776"/>
    <w:multiLevelType w:val="hybridMultilevel"/>
    <w:lvl w:ilvl="0">
      <w:lvlJc w:val="left"/>
      <w:lvlText w:val="•"/>
      <w:numFmt w:val="bullet"/>
      <w:start w:val="1"/>
    </w:lvl>
  </w:abstractNum>
  <w:abstractNum w:abstractNumId="114">
    <w:nsid w:val="75486E47"/>
    <w:multiLevelType w:val="hybridMultilevel"/>
    <w:lvl w:ilvl="0">
      <w:lvlJc w:val="left"/>
      <w:lvlText w:val="•"/>
      <w:numFmt w:val="bullet"/>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
      <w:numFmt w:val="bullet"/>
      <w:start w:val="1"/>
    </w:lvl>
  </w:abstractNum>
  <w:abstractNum w:abstractNumId="117">
    <w:nsid w:val="65968C1C"/>
    <w:multiLevelType w:val="hybridMultilevel"/>
    <w:lvl w:ilvl="0">
      <w:lvlJc w:val="left"/>
      <w:lvlText w:val="(%1)"/>
      <w:numFmt w:val="decimal"/>
      <w:start w:val="937"/>
    </w:lvl>
  </w:abstractNum>
  <w:abstractNum w:abstractNumId="118">
    <w:nsid w:val="46263DEC"/>
    <w:multiLevelType w:val="hybridMultilevel"/>
    <w:lvl w:ilvl="0">
      <w:lvlJc w:val="left"/>
      <w:lvlText w:val="(%1)"/>
      <w:numFmt w:val="lowerLetter"/>
      <w:start w:val="1"/>
    </w:lvl>
  </w:abstractNum>
  <w:abstractNum w:abstractNumId="119">
    <w:nsid w:val="260D8C4A"/>
    <w:multiLevelType w:val="hybridMultilevel"/>
    <w:lvl w:ilvl="0">
      <w:lvlJc w:val="left"/>
      <w:lvlText w:val="(%1)"/>
      <w:numFmt w:val="lowerLetter"/>
      <w:start w:val="2"/>
    </w:lvl>
  </w:abstractNum>
  <w:abstractNum w:abstractNumId="120">
    <w:nsid w:val="73D4D3C4"/>
    <w:multiLevelType w:val="hybridMultilevel"/>
    <w:lvl w:ilvl="0">
      <w:lvlJc w:val="left"/>
      <w:lvlText w:val="(%1)"/>
      <w:numFmt w:val="lowerLetter"/>
      <w:start w:val="3"/>
    </w:lvl>
  </w:abstractNum>
  <w:abstractNum w:abstractNumId="121">
    <w:nsid w:val="746F2E30"/>
    <w:multiLevelType w:val="hybridMultilevel"/>
    <w:lvl w:ilvl="0">
      <w:lvlJc w:val="left"/>
      <w:lvlText w:val="(%1)"/>
      <w:numFmt w:val="lowerLetter"/>
      <w:start w:val="1"/>
    </w:lvl>
    <w:lvl w:ilvl="1">
      <w:lvlJc w:val="left"/>
      <w:lvlText w:val="(%2)"/>
      <w:numFmt w:val="lowerLetter"/>
      <w:start w:val="9"/>
    </w:lvl>
  </w:abstractNum>
  <w:abstractNum w:abstractNumId="122">
    <w:nsid w:val="6FDE8AF6"/>
    <w:multiLevelType w:val="hybridMultilevel"/>
    <w:lvl w:ilvl="0">
      <w:lvlJc w:val="left"/>
      <w:lvlText w:val="%1"/>
      <w:numFmt w:val="lowerLetter"/>
      <w:start w:val="1"/>
    </w:lvl>
    <w:lvl w:ilvl="1">
      <w:lvlJc w:val="left"/>
      <w:lvlText w:val="(%2)"/>
      <w:numFmt w:val="lowerRoman"/>
      <w:start w:val="2"/>
    </w:lvl>
  </w:abstractNum>
  <w:abstractNum w:abstractNumId="123">
    <w:nsid w:val="3FC32E20"/>
    <w:multiLevelType w:val="hybridMultilevel"/>
    <w:lvl w:ilvl="0">
      <w:lvlJc w:val="left"/>
      <w:lvlText w:val="(%1)"/>
      <w:numFmt w:val="lowerLetter"/>
      <w:start w:val="2"/>
    </w:lvl>
    <w:lvl w:ilvl="1">
      <w:lvlJc w:val="left"/>
      <w:lvlText w:val="%2"/>
      <w:numFmt w:val="lowerRoman"/>
      <w:start w:val="1"/>
    </w:lvl>
  </w:abstractNum>
  <w:abstractNum w:abstractNumId="124">
    <w:nsid w:val="49C0E823"/>
    <w:multiLevelType w:val="hybridMultilevel"/>
    <w:lvl w:ilvl="0">
      <w:lvlJc w:val="left"/>
      <w:lvlText w:val="%1"/>
      <w:numFmt w:val="lowerLetter"/>
      <w:start w:val="1"/>
    </w:lvl>
    <w:lvl w:ilvl="1">
      <w:lvlJc w:val="left"/>
      <w:lvlText w:val="(%2)"/>
      <w:numFmt w:val="lowerRoman"/>
      <w:start w:val="1"/>
    </w:lvl>
  </w:abstractNum>
  <w:abstractNum w:abstractNumId="125">
    <w:nsid w:val="14D53685"/>
    <w:multiLevelType w:val="hybridMultilevel"/>
    <w:lvl w:ilvl="0">
      <w:lvlJc w:val="left"/>
      <w:lvlText w:val="(%1)"/>
      <w:numFmt w:val="lowerLetter"/>
      <w:start w:val="6"/>
    </w:lvl>
    <w:lvl w:ilvl="1">
      <w:lvlJc w:val="left"/>
      <w:lvlText w:val="%2"/>
      <w:numFmt w:val="lowerRoman"/>
      <w:start w:val="1"/>
    </w:lvl>
  </w:abstractNum>
  <w:abstractNum w:abstractNumId="126">
    <w:nsid w:val="230F856C"/>
    <w:multiLevelType w:val="hybridMultilevel"/>
    <w:lvl w:ilvl="0">
      <w:lvlJc w:val="left"/>
      <w:lvlText w:val="(%1)"/>
      <w:numFmt w:val="lowerLetter"/>
      <w:start w:val="8"/>
    </w:lvl>
  </w:abstractNum>
  <w:abstractNum w:abstractNumId="127">
    <w:nsid w:val="6EAA85FB"/>
    <w:multiLevelType w:val="hybridMultilevel"/>
    <w:lvl w:ilvl="0">
      <w:lvlJc w:val="left"/>
      <w:lvlText w:val="(%1)"/>
      <w:numFmt w:val="lowerRoman"/>
      <w:start w:val="4"/>
    </w:lvl>
  </w:abstractNum>
  <w:abstractNum w:abstractNumId="128">
    <w:nsid w:val="3F06ECB2"/>
    <w:multiLevelType w:val="hybridMultilevel"/>
    <w:lvl w:ilvl="0">
      <w:lvlJc w:val="left"/>
      <w:lvlText w:val="(%1)"/>
      <w:numFmt w:val="decimal"/>
      <w:start w:val="1"/>
    </w:lvl>
  </w:abstractNum>
  <w:abstractNum w:abstractNumId="129">
    <w:nsid w:val="3B594807"/>
    <w:multiLevelType w:val="hybridMultilevel"/>
    <w:lvl w:ilvl="0">
      <w:lvlJc w:val="left"/>
      <w:lvlText w:val="1"/>
      <w:numFmt w:val="bullet"/>
      <w:start w:val="1"/>
    </w:lvl>
  </w:abstractNum>
  <w:abstractNum w:abstractNumId="130">
    <w:nsid w:val="6CAA2304"/>
    <w:multiLevelType w:val="hybridMultilevel"/>
    <w:lvl w:ilvl="0">
      <w:lvlJc w:val="left"/>
      <w:lvlText w:val="5"/>
      <w:numFmt w:val="bullet"/>
      <w:start w:val="1"/>
    </w:lvl>
  </w:abstractNum>
  <w:abstractNum w:abstractNumId="131">
    <w:nsid w:val="3F7C2FF4"/>
    <w:multiLevelType w:val="hybridMultilevel"/>
    <w:lvl w:ilvl="0">
      <w:lvlJc w:val="left"/>
      <w:lvlText w:val="£"/>
      <w:numFmt w:val="bullet"/>
      <w:start w:val="1"/>
    </w:lvl>
  </w:abstractNum>
  <w:abstractNum w:abstractNumId="132">
    <w:nsid w:val="25413BEC"/>
    <w:multiLevelType w:val="hybridMultilevel"/>
    <w:lvl w:ilvl="0">
      <w:lvlJc w:val="left"/>
      <w:lvlText w:val="(%1)"/>
      <w:numFmt w:val="decimal"/>
      <w:start w:val="1"/>
    </w:lvl>
  </w:abstractNum>
  <w:abstractNum w:abstractNumId="133">
    <w:nsid w:val="17180B0B"/>
    <w:multiLevelType w:val="hybridMultilevel"/>
    <w:lvl w:ilvl="0">
      <w:lvlJc w:val="left"/>
      <w:lvlText w:val="%1)"/>
      <w:numFmt w:val="lowerLetter"/>
      <w:start w:val="2"/>
    </w:lvl>
  </w:abstractNum>
  <w:abstractNum w:abstractNumId="134">
    <w:nsid w:val="579328B9"/>
    <w:multiLevelType w:val="hybridMultilevel"/>
    <w:lvl w:ilvl="0">
      <w:lvlJc w:val="left"/>
      <w:lvlText w:val="1"/>
      <w:numFmt w:val="bullet"/>
      <w:start w:val="1"/>
    </w:lvl>
  </w:abstractNum>
  <w:abstractNum w:abstractNumId="135">
    <w:nsid w:val="5D205E20"/>
    <w:multiLevelType w:val="hybridMultilevel"/>
    <w:lvl w:ilvl="0">
      <w:lvlJc w:val="left"/>
      <w:lvlText w:val="2"/>
      <w:numFmt w:val="bullet"/>
      <w:start w:val="1"/>
    </w:lvl>
  </w:abstractNum>
  <w:abstractNum w:abstractNumId="136">
    <w:nsid w:val="11CCA8BA"/>
    <w:multiLevelType w:val="hybridMultilevel"/>
    <w:lvl w:ilvl="0">
      <w:lvlJc w:val="left"/>
      <w:lvlText w:val="3"/>
      <w:numFmt w:val="bullet"/>
      <w:start w:val="1"/>
    </w:lvl>
  </w:abstractNum>
  <w:abstractNum w:abstractNumId="137">
    <w:nsid w:val="4D32AB86"/>
    <w:multiLevelType w:val="hybridMultilevel"/>
    <w:lvl w:ilvl="0">
      <w:lvlJc w:val="left"/>
      <w:lvlText w:val="4"/>
      <w:numFmt w:val="bullet"/>
      <w:start w:val="1"/>
    </w:lvl>
  </w:abstractNum>
  <w:abstractNum w:abstractNumId="138">
    <w:nsid w:val="3F07ACC3"/>
    <w:multiLevelType w:val="hybridMultilevel"/>
    <w:lvl w:ilvl="0">
      <w:lvlJc w:val="left"/>
      <w:lvlText w:val="5"/>
      <w:numFmt w:val="bullet"/>
      <w:start w:val="1"/>
    </w:lvl>
  </w:abstractNum>
  <w:abstractNum w:abstractNumId="139">
    <w:nsid w:val="6B47F63E"/>
    <w:multiLevelType w:val="hybridMultilevel"/>
    <w:lvl w:ilvl="0">
      <w:lvlJc w:val="left"/>
      <w:lvlText w:val="6"/>
      <w:numFmt w:val="bullet"/>
      <w:start w:val="1"/>
    </w:lvl>
  </w:abstractNum>
  <w:abstractNum w:abstractNumId="140">
    <w:nsid w:val="5CB44A05"/>
    <w:multiLevelType w:val="hybridMultilevel"/>
    <w:lvl w:ilvl="0">
      <w:lvlJc w:val="left"/>
      <w:lvlText w:val="7"/>
      <w:numFmt w:val="bullet"/>
      <w:start w:val="1"/>
    </w:lvl>
  </w:abstractNum>
  <w:abstractNum w:abstractNumId="141">
    <w:nsid w:val="16CF80F1"/>
    <w:multiLevelType w:val="hybridMultilevel"/>
    <w:lvl w:ilvl="0">
      <w:lvlJc w:val="left"/>
      <w:lvlText w:val="*"/>
      <w:numFmt w:val="bullet"/>
      <w:start w:val="1"/>
    </w:lvl>
  </w:abstractNum>
  <w:abstractNum w:abstractNumId="142">
    <w:nsid w:val="1C695DEC"/>
    <w:multiLevelType w:val="hybridMultilevel"/>
    <w:lvl w:ilvl="0">
      <w:lvlJc w:val="left"/>
      <w:lvlText w:val="**"/>
      <w:numFmt w:val="bullet"/>
      <w:start w:val="1"/>
    </w:lvl>
  </w:abstractNum>
  <w:abstractNum w:abstractNumId="143">
    <w:nsid w:val="3FCFAED9"/>
    <w:multiLevelType w:val="hybridMultilevel"/>
    <w:lvl w:ilvl="0">
      <w:lvlJc w:val="left"/>
      <w:lvlText w:val="•"/>
      <w:numFmt w:val="bullet"/>
      <w:start w:val="1"/>
    </w:lvl>
  </w:abstractNum>
  <w:abstractNum w:abstractNumId="144">
    <w:nsid w:val="F856867"/>
    <w:multiLevelType w:val="hybridMultilevel"/>
    <w:lvl w:ilvl="0">
      <w:lvlJc w:val="left"/>
      <w:lvlText w:val="•"/>
      <w:numFmt w:val="bullet"/>
      <w:start w:val="1"/>
    </w:lvl>
  </w:abstractNum>
  <w:abstractNum w:abstractNumId="145">
    <w:nsid w:val="11B1CC33"/>
    <w:multiLevelType w:val="hybridMultilevel"/>
    <w:lvl w:ilvl="0">
      <w:lvlJc w:val="left"/>
      <w:lvlText w:val="•"/>
      <w:numFmt w:val="bullet"/>
      <w:start w:val="1"/>
    </w:lvl>
  </w:abstractNum>
  <w:abstractNum w:abstractNumId="146">
    <w:nsid w:val="2E22FBB7"/>
    <w:multiLevelType w:val="hybridMultilevel"/>
    <w:lvl w:ilvl="0">
      <w:lvlJc w:val="left"/>
      <w:lvlText w:val="£"/>
      <w:numFmt w:val="bullet"/>
      <w:start w:val="1"/>
    </w:lvl>
  </w:abstractNum>
  <w:abstractNum w:abstractNumId="147">
    <w:nsid w:val="29934699"/>
    <w:multiLevelType w:val="hybridMultilevel"/>
    <w:lvl w:ilvl="0">
      <w:lvlJc w:val="left"/>
      <w:lvlText w:val="£"/>
      <w:numFmt w:val="bullet"/>
      <w:start w:val="1"/>
    </w:lvl>
  </w:abstractNum>
  <w:abstractNum w:abstractNumId="148">
    <w:nsid w:val="77485850"/>
    <w:multiLevelType w:val="hybridMultilevel"/>
    <w:lvl w:ilvl="0">
      <w:lvlJc w:val="left"/>
      <w:lvlText w:val="•"/>
      <w:numFmt w:val="bullet"/>
      <w:start w:val="1"/>
    </w:lvl>
  </w:abstractNum>
  <w:abstractNum w:abstractNumId="149">
    <w:nsid w:val="744939A3"/>
    <w:multiLevelType w:val="hybridMultilevel"/>
    <w:lvl w:ilvl="0">
      <w:lvlJc w:val="left"/>
      <w:lvlText w:val="•"/>
      <w:numFmt w:val="bullet"/>
      <w:start w:val="1"/>
    </w:lvl>
  </w:abstractNum>
  <w:abstractNum w:abstractNumId="150">
    <w:nsid w:val="4FA0D2E3"/>
    <w:multiLevelType w:val="hybridMultilevel"/>
    <w:lvl w:ilvl="0">
      <w:lvlJc w:val="left"/>
      <w:lvlText w:val="•"/>
      <w:numFmt w:val="bullet"/>
      <w:start w:val="1"/>
    </w:lvl>
  </w:abstractNum>
  <w:abstractNum w:abstractNumId="151">
    <w:nsid w:val="6B1D2C14"/>
    <w:multiLevelType w:val="hybridMultilevel"/>
    <w:lvl w:ilvl="0">
      <w:lvlJc w:val="left"/>
      <w:lvlText w:val="*"/>
      <w:numFmt w:val="bullet"/>
      <w:start w:val="1"/>
    </w:lvl>
  </w:abstractNum>
  <w:abstractNum w:abstractNumId="152">
    <w:nsid w:val="68B867D3"/>
    <w:multiLevelType w:val="hybridMultilevel"/>
    <w:lvl w:ilvl="0">
      <w:lvlJc w:val="left"/>
      <w:lvlText w:val="**"/>
      <w:numFmt w:val="bullet"/>
      <w:start w:val="1"/>
    </w:lvl>
  </w:abstractNum>
  <w:abstractNum w:abstractNumId="153">
    <w:nsid w:val="3F7F5DD9"/>
    <w:multiLevelType w:val="hybridMultilevel"/>
    <w:lvl w:ilvl="0">
      <w:lvlJc w:val="left"/>
      <w:lvlText w:val="%1."/>
      <w:numFmt w:val="decimal"/>
      <w:start w:val="1"/>
    </w:lvl>
    <w:lvl w:ilvl="1">
      <w:lvlJc w:val="left"/>
      <w:lvlText w:val="•"/>
      <w:numFmt w:val="bullet"/>
      <w:start w:val="1"/>
    </w:lvl>
  </w:abstractNum>
  <w:abstractNum w:abstractNumId="154">
    <w:nsid w:val="2AE05A34"/>
    <w:multiLevelType w:val="hybridMultilevel"/>
    <w:lvl w:ilvl="0">
      <w:lvlJc w:val="left"/>
      <w:lvlText w:val="%1."/>
      <w:numFmt w:val="decimal"/>
      <w:start w:val="2"/>
    </w:lvl>
  </w:abstractNum>
  <w:abstractNum w:abstractNumId="155">
    <w:nsid w:val="32794FF7"/>
    <w:multiLevelType w:val="hybridMultilevel"/>
    <w:lvl w:ilvl="0">
      <w:lvlJc w:val="left"/>
      <w:lvlText w:val="•"/>
      <w:numFmt w:val="bullet"/>
      <w:start w:val="1"/>
    </w:lvl>
  </w:abstractNum>
  <w:abstractNum w:abstractNumId="156">
    <w:nsid w:val="5454945E"/>
    <w:multiLevelType w:val="hybridMultilevel"/>
    <w:lvl w:ilvl="0">
      <w:lvlJc w:val="left"/>
      <w:lvlText w:val="%1."/>
      <w:numFmt w:val="decimal"/>
      <w:start w:val="3"/>
    </w:lvl>
  </w:abstractNum>
  <w:abstractNum w:abstractNumId="157">
    <w:nsid w:val="4DEFDFA0"/>
    <w:multiLevelType w:val="hybridMultilevel"/>
    <w:lvl w:ilvl="0">
      <w:lvlJc w:val="left"/>
      <w:lvlText w:val="%1."/>
      <w:numFmt w:val="decimal"/>
      <w:start w:val="4"/>
    </w:lvl>
    <w:lvl w:ilvl="1">
      <w:lvlJc w:val="left"/>
      <w:lvlText w:val="•"/>
      <w:numFmt w:val="bullet"/>
      <w:start w:val="1"/>
    </w:lvl>
  </w:abstractNum>
  <w:abstractNum w:abstractNumId="158">
    <w:nsid w:val="2123D5F2"/>
    <w:multiLevelType w:val="hybridMultilevel"/>
    <w:lvl w:ilvl="0">
      <w:lvlJc w:val="left"/>
      <w:lvlText w:val="%1."/>
      <w:numFmt w:val="decimal"/>
      <w:start w:val="5"/>
    </w:lvl>
  </w:abstractNum>
  <w:abstractNum w:abstractNumId="159">
    <w:nsid w:val="135B8110"/>
    <w:multiLevelType w:val="hybridMultilevel"/>
    <w:lvl w:ilvl="0">
      <w:lvlJc w:val="left"/>
      <w:lvlText w:val="%1."/>
      <w:numFmt w:val="decimal"/>
      <w:start w:val="7"/>
    </w:lvl>
  </w:abstractNum>
  <w:abstractNum w:abstractNumId="160">
    <w:nsid w:val="94927A8"/>
    <w:multiLevelType w:val="hybridMultilevel"/>
    <w:lvl w:ilvl="0">
      <w:lvlJc w:val="left"/>
      <w:lvlText w:val="•"/>
      <w:numFmt w:val="bullet"/>
      <w:start w:val="1"/>
    </w:lvl>
  </w:abstractNum>
  <w:abstractNum w:abstractNumId="161">
    <w:nsid w:val="DCDF8F6"/>
    <w:multiLevelType w:val="hybridMultilevel"/>
    <w:lvl w:ilvl="0">
      <w:lvlJc w:val="left"/>
      <w:lvlText w:val="%1."/>
      <w:numFmt w:val="decimal"/>
      <w:start w:val="12"/>
    </w:lvl>
  </w:abstractNum>
  <w:abstractNum w:abstractNumId="162">
    <w:nsid w:val="52D7B105"/>
    <w:multiLevelType w:val="hybridMultilevel"/>
    <w:lvl w:ilvl="0">
      <w:lvlJc w:val="left"/>
      <w:lvlText w:val="(%1)"/>
      <w:numFmt w:val="decimal"/>
      <w:start w:val="1"/>
    </w:lvl>
    <w:lvl w:ilvl="1">
      <w:lvlJc w:val="left"/>
      <w:lvlText w:val="(%2)"/>
      <w:numFmt w:val="decimal"/>
      <w:start w:val="3"/>
    </w:lvl>
  </w:abstractNum>
  <w:abstractNum w:abstractNumId="163">
    <w:nsid w:val="2E8A6394"/>
    <w:multiLevelType w:val="hybridMultilevel"/>
    <w:lvl w:ilvl="0">
      <w:lvlJc w:val="left"/>
      <w:lvlText w:val="%1."/>
      <w:numFmt w:val="decimal"/>
      <w:start w:val="1"/>
    </w:lvl>
    <w:lvl w:ilvl="1">
      <w:lvlJc w:val="left"/>
      <w:lvlText w:val="%2"/>
      <w:numFmt w:val="lowerLetter"/>
      <w:start w:val="1"/>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
      <w:numFmt w:val="bullet"/>
      <w:start w:val="1"/>
    </w:lvl>
  </w:abstractNum>
  <w:abstractNum w:abstractNumId="166">
    <w:nsid w:val="BAAC1B4"/>
    <w:multiLevelType w:val="hybridMultilevel"/>
    <w:lvl w:ilvl="0">
      <w:lvlJc w:val="left"/>
      <w:lvlText w:val="£"/>
      <w:numFmt w:val="bullet"/>
      <w:start w:val="1"/>
    </w:lvl>
  </w:abstractNum>
  <w:abstractNum w:abstractNumId="167">
    <w:nsid w:val="36B2ACBC"/>
    <w:multiLevelType w:val="hybridMultilevel"/>
    <w:lvl w:ilvl="0">
      <w:lvlJc w:val="left"/>
      <w:lvlText w:val="*"/>
      <w:numFmt w:val="bullet"/>
      <w:start w:val="1"/>
    </w:lvl>
  </w:abstractNum>
  <w:abstractNum w:abstractNumId="168">
    <w:nsid w:val="779D8544"/>
    <w:multiLevelType w:val="hybridMultilevel"/>
    <w:lvl w:ilvl="0">
      <w:lvlJc w:val="left"/>
      <w:lvlText w:val="**"/>
      <w:numFmt w:val="bullet"/>
      <w:start w:val="1"/>
    </w:lvl>
  </w:abstractNum>
  <w:abstractNum w:abstractNumId="169">
    <w:nsid w:val="4AB26E78"/>
    <w:multiLevelType w:val="hybridMultilevel"/>
    <w:lvl w:ilvl="0">
      <w:lvlJc w:val="left"/>
      <w:lvlText w:val="*"/>
      <w:numFmt w:val="bullet"/>
      <w:start w:val="1"/>
    </w:lvl>
  </w:abstractNum>
  <w:abstractNum w:abstractNumId="170">
    <w:nsid w:val="21FAA2FA"/>
    <w:multiLevelType w:val="hybridMultilevel"/>
    <w:lvl w:ilvl="0">
      <w:lvlJc w:val="left"/>
      <w:lvlText w:val="**"/>
      <w:numFmt w:val="bullet"/>
      <w:start w:val="1"/>
    </w:lvl>
  </w:abstractNum>
  <w:abstractNum w:abstractNumId="171">
    <w:nsid w:val="5451CF49"/>
    <w:multiLevelType w:val="hybridMultilevel"/>
    <w:lvl w:ilvl="0">
      <w:lvlJc w:val="left"/>
      <w:lvlText w:val="%1."/>
      <w:numFmt w:val="decimal"/>
      <w:start w:val="1"/>
    </w:lvl>
  </w:abstractNum>
  <w:abstractNum w:abstractNumId="172">
    <w:nsid w:val="6181EF69"/>
    <w:multiLevelType w:val="hybridMultilevel"/>
    <w:lvl w:ilvl="0">
      <w:lvlJc w:val="left"/>
      <w:lvlText w:val="%1."/>
      <w:numFmt w:val="decimal"/>
      <w:start w:val="3"/>
    </w:lvl>
  </w:abstractNum>
  <w:abstractNum w:abstractNumId="173">
    <w:nsid w:val="3E6400E6"/>
    <w:multiLevelType w:val="hybridMultilevel"/>
    <w:lvl w:ilvl="0">
      <w:lvlJc w:val="left"/>
      <w:lvlText w:val="%1."/>
      <w:numFmt w:val="decimal"/>
      <w:start w:val="1"/>
    </w:lvl>
  </w:abstractNum>
  <w:abstractNum w:abstractNumId="174">
    <w:nsid w:val="14217E23"/>
    <w:multiLevelType w:val="hybridMultilevel"/>
    <w:lvl w:ilvl="0">
      <w:lvlJc w:val="left"/>
      <w:lvlText w:val="%1."/>
      <w:numFmt w:val="decimal"/>
      <w:start w:val="4"/>
    </w:lvl>
  </w:abstractNum>
  <w:abstractNum w:abstractNumId="175">
    <w:nsid w:val="710757D0"/>
    <w:multiLevelType w:val="hybridMultilevel"/>
    <w:lvl w:ilvl="0">
      <w:lvlJc w:val="left"/>
      <w:lvlText w:val="(%1)"/>
      <w:numFmt w:val="lowerRoman"/>
      <w:start w:val="3"/>
    </w:lvl>
  </w:abstractNum>
  <w:abstractNum w:abstractNumId="176">
    <w:nsid w:val="5015CD1A"/>
    <w:multiLevelType w:val="hybridMultilevel"/>
    <w:lvl w:ilvl="0">
      <w:lvlJc w:val="left"/>
      <w:lvlText w:val=","/>
      <w:numFmt w:val="bullet"/>
      <w:start w:val="1"/>
    </w:lvl>
  </w:abstractNum>
  <w:abstractNum w:abstractNumId="177">
    <w:nsid w:val="424479DA"/>
    <w:multiLevelType w:val="hybridMultilevel"/>
    <w:lvl w:ilvl="0">
      <w:lvlJc w:val="left"/>
      <w:lvlText w:val="£"/>
      <w:numFmt w:val="bullet"/>
      <w:start w:val="1"/>
    </w:lvl>
  </w:abstractNum>
  <w:abstractNum w:abstractNumId="178">
    <w:nsid w:val="1A9A9E69"/>
    <w:multiLevelType w:val="hybridMultilevel"/>
    <w:lvl w:ilvl="0">
      <w:lvlJc w:val="left"/>
      <w:lvlText w:val="•"/>
      <w:numFmt w:val="bullet"/>
      <w:start w:val="1"/>
    </w:lvl>
    <w:lvl w:ilvl="1">
      <w:lvlJc w:val="left"/>
      <w:lvlText w:val="•"/>
      <w:numFmt w:val="bullet"/>
      <w:start w:val="1"/>
    </w:lvl>
  </w:abstractNum>
  <w:abstractNum w:abstractNumId="179">
    <w:nsid w:val="475E256A"/>
    <w:multiLevelType w:val="hybridMultilevel"/>
    <w:lvl w:ilvl="0">
      <w:lvlJc w:val="left"/>
      <w:lvlText w:val="•"/>
      <w:numFmt w:val="bullet"/>
      <w:start w:val="1"/>
    </w:lvl>
    <w:lvl w:ilvl="1">
      <w:lvlJc w:val="left"/>
      <w:lvlText w:val="•"/>
      <w:numFmt w:val="bullet"/>
      <w:start w:val="1"/>
    </w:lvl>
  </w:abstractNum>
  <w:abstractNum w:abstractNumId="180">
    <w:nsid w:val="368DB3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2019-12-21T03:15:56Z</dcterms:created>
  <dcterms:modified xsi:type="dcterms:W3CDTF">2019-12-21T03:15:56Z</dcterms:modified>
</cp:coreProperties>
</file>