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Form 10-Q/A</w:t>
      </w:r>
    </w:p>
    <w:p>
      <w:pPr>
        <w:spacing w:after="0" w:line="33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1580" w:hanging="346"/>
        <w:spacing w:after="0"/>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QUARTERLY PERIOD ENDED APRIL 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320" w:hanging="173"/>
        <w:spacing w:after="0"/>
        <w:tabs>
          <w:tab w:leader="none" w:pos="13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1-13292</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2780" w:space="720"/>
            <w:col w:w="6739"/>
          </w:cols>
          <w:pgMar w:left="220" w:top="22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41 SOUTH HIGH STREET, 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jc w:val="center"/>
        <w:ind w:right="3239"/>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(614) 719-5500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NO CHANGE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 changed since</w:t>
      </w:r>
    </w:p>
    <w:p>
      <w:pPr>
        <w:jc w:val="center"/>
        <w:ind w:right="3319"/>
        <w:spacing w:after="0" w:line="238" w:lineRule="auto"/>
        <w:rPr>
          <w:sz w:val="20"/>
          <w:szCs w:val="20"/>
          <w:color w:val="auto"/>
        </w:rPr>
      </w:pPr>
      <w:r>
        <w:rPr>
          <w:rFonts w:ascii="Courier New" w:cs="Courier New" w:eastAsia="Courier New" w:hAnsi="Courier New"/>
          <w:sz w:val="15"/>
          <w:szCs w:val="15"/>
          <w:color w:val="auto"/>
        </w:rPr>
        <w:t>last report.)</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3"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225" w:right="1440" w:bottom="1440" w:gutter="0" w:footer="0" w:header="0"/>
          <w:type w:val="continuous"/>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27,961,206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11, 2000</w:t>
      </w:r>
    </w:p>
    <w:p>
      <w:pPr>
        <w:sectPr>
          <w:pgSz w:w="11900" w:h="16838" w:orient="portrait"/>
          <w:cols w:equalWidth="0" w:num="2">
            <w:col w:w="3920" w:space="720"/>
            <w:col w:w="559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No.</w:t>
            </w:r>
          </w:p>
        </w:tc>
      </w:tr>
      <w:tr>
        <w:trPr>
          <w:trHeight w:val="505"/>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700" w:type="dxa"/>
            <w:vAlign w:val="bottom"/>
          </w:tcPr>
          <w:p>
            <w:pPr>
              <w:spacing w:after="0"/>
              <w:rPr>
                <w:sz w:val="24"/>
                <w:szCs w:val="24"/>
                <w:color w:val="auto"/>
              </w:rPr>
            </w:pPr>
          </w:p>
        </w:tc>
      </w:tr>
      <w:tr>
        <w:trPr>
          <w:trHeight w:val="336"/>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Item 1. Financial Statements</w:t>
            </w:r>
          </w:p>
        </w:tc>
        <w:tc>
          <w:tcPr>
            <w:tcW w:w="70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Condensed, Consolidated Statements of Operations - Three and six month</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periods ended April 1, 2000 and April 3,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 Six month periods</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ended April 1, 2000 and April 3,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Condensed, Consolidated Balance Sheets - April 1, 2000, April 3, 1999</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and September 30, 1999..................................................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Notes to Condensed, Consolidated Financial Statements...................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Item 2. Management's Discussion and Analysis of Financial Condition and</w:t>
            </w:r>
          </w:p>
        </w:tc>
        <w:tc>
          <w:tcPr>
            <w:tcW w:w="70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Results of Operations...................................................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w:t>
            </w:r>
          </w:p>
        </w:tc>
      </w:tr>
      <w:tr>
        <w:trPr>
          <w:trHeight w:val="336"/>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70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260" w:type="dxa"/>
            <w:vAlign w:val="bottom"/>
          </w:tcPr>
          <w:p>
            <w:pPr>
              <w:ind w:left="40"/>
              <w:spacing w:after="0"/>
              <w:rPr>
                <w:sz w:val="20"/>
                <w:szCs w:val="20"/>
                <w:color w:val="auto"/>
              </w:rPr>
            </w:pPr>
            <w:r>
              <w:rPr>
                <w:rFonts w:ascii="Courier New" w:cs="Courier New" w:eastAsia="Courier New" w:hAnsi="Courier New"/>
                <w:sz w:val="15"/>
                <w:szCs w:val="15"/>
                <w:color w:val="auto"/>
                <w:w w:val="95"/>
              </w:rPr>
              <w:t>Legal Proceedings.......................................................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Submission of Matters to a Vote of Security Holders.....................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Exhibits and Reports on Form 8-K........................................</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Signatures......................................................................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Exhibit Index...................................................................</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841"/>
        </w:trPr>
        <w:tc>
          <w:tcPr>
            <w:tcW w:w="660" w:type="dxa"/>
            <w:vAlign w:val="bottom"/>
          </w:tcPr>
          <w:p>
            <w:pPr>
              <w:spacing w:after="0"/>
              <w:rPr>
                <w:sz w:val="24"/>
                <w:szCs w:val="24"/>
                <w:color w:val="auto"/>
              </w:rPr>
            </w:pPr>
          </w:p>
        </w:tc>
        <w:tc>
          <w:tcPr>
            <w:tcW w:w="626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jc w:val="center"/>
        <w:ind w:right="3219"/>
        <w:spacing w:after="0" w:line="237" w:lineRule="auto"/>
        <w:rPr>
          <w:sz w:val="20"/>
          <w:szCs w:val="20"/>
          <w:color w:val="auto"/>
        </w:rPr>
      </w:pPr>
      <w:r>
        <w:rPr>
          <w:rFonts w:ascii="Courier New" w:cs="Courier New" w:eastAsia="Courier New" w:hAnsi="Courier New"/>
          <w:sz w:val="15"/>
          <w:szCs w:val="15"/>
          <w:color w:val="auto"/>
        </w:rPr>
        <w:t>PART I - FINANCIAL INFORMATION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ITEM 1. FINANCIAL STATEMENTS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ind w:left="1840"/>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120" w:type="dxa"/>
            <w:vAlign w:val="bottom"/>
          </w:tcPr>
          <w:p>
            <w:pPr>
              <w:spacing w:after="0"/>
              <w:rPr>
                <w:sz w:val="14"/>
                <w:szCs w:val="14"/>
                <w:color w:val="auto"/>
              </w:rPr>
            </w:pPr>
          </w:p>
        </w:tc>
        <w:tc>
          <w:tcPr>
            <w:tcW w:w="1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APRIL 1,</w:t>
            </w:r>
          </w:p>
        </w:tc>
        <w:tc>
          <w:tcPr>
            <w:tcW w:w="1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APRIL 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APRIL 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(restated)</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(restated)</w:t>
            </w:r>
          </w:p>
        </w:tc>
        <w:tc>
          <w:tcPr>
            <w:tcW w:w="92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Net sales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720.7</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631.5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815.9</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362.6</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525.3</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Gross profit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313.1</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268.9</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387.0</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333.6</w:t>
            </w:r>
          </w:p>
        </w:tc>
      </w:tr>
      <w:tr>
        <w:trPr>
          <w:trHeight w:val="336"/>
        </w:trPr>
        <w:tc>
          <w:tcPr>
            <w:tcW w:w="5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Gross commission earned from agency agreement ................</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w:t>
            </w:r>
          </w:p>
        </w:tc>
        <w:tc>
          <w:tcPr>
            <w:tcW w:w="34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1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c>
          <w:tcPr>
            <w:tcW w:w="1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Costs associated with agency agreement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commission earned from agency agreement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98.2</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121.9</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1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operations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117.3</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104.4</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before extraordinary item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Extraordinary loss on early extinguishment of debt, net of tax</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Payments to preferred shareholders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available to common shareholders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 =========</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Before extraordinary item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0.94</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Before extraordinary item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0.88</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r>
      <w:tr>
        <w:trPr>
          <w:trHeight w:val="336"/>
        </w:trPr>
        <w:tc>
          <w:tcPr>
            <w:tcW w:w="5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Common shares used in basic earnings per share calculation ...</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w:t>
            </w:r>
          </w:p>
        </w:tc>
        <w:tc>
          <w:tcPr>
            <w:tcW w:w="34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w:t>
            </w:r>
          </w:p>
        </w:tc>
        <w:tc>
          <w:tcPr>
            <w:tcW w:w="1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w:t>
            </w:r>
          </w:p>
        </w:tc>
        <w:tc>
          <w:tcPr>
            <w:tcW w:w="1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 =========</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and potential common shares used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earnings per share calculation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3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w:t>
            </w:r>
          </w:p>
        </w:tc>
        <w:tc>
          <w:tcPr>
            <w:tcW w:w="1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55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1940"/>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ind w:left="2900"/>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5"/>
              </w:rPr>
              <w:t>SIX MONTHS ENDED</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APRIL 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APRIL 3,</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2000</w:t>
            </w: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rPr>
                <w:sz w:val="14"/>
                <w:szCs w:val="14"/>
                <w:color w:val="auto"/>
              </w:rPr>
            </w:pPr>
          </w:p>
        </w:tc>
        <w:tc>
          <w:tcPr>
            <w:tcW w:w="100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(restated)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in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certain components of working capital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other assets and liabilities and other adjustments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operating activities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 property, plant and equipment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 acquired businesses, net of cash acquired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(492.4)</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(525.4)</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borrowings under revolving and bank lines of credit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286.5</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borrowings under term loans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repayments under term loans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Issuance of 8 5/8% Senior Subordinated Notes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Extinguishment of $97.1 million 9 7/8% Senior Subordinated Notes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 of outstanding balance on previous credit facility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Settlement of interest rate locks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Financing and issuance fees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Payments to preferred shareholders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of treasury shares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794.3</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Effect of exchange rate changes on cash .............................................</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7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(decrease) increase in cash .....................................................</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Fair value of assets acquired, net of cash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631.2</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 assumed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w:t>
            </w:r>
          </w:p>
        </w:tc>
      </w:tr>
      <w:tr>
        <w:trPr>
          <w:trHeight w:val="168"/>
        </w:trPr>
        <w:tc>
          <w:tcPr>
            <w:tcW w:w="7580" w:type="dxa"/>
            <w:vAlign w:val="bottom"/>
          </w:tcPr>
          <w:p>
            <w:pPr>
              <w:spacing w:after="0"/>
              <w:rPr>
                <w:sz w:val="14"/>
                <w:szCs w:val="14"/>
                <w:color w:val="auto"/>
              </w:rPr>
            </w:pPr>
          </w:p>
        </w:tc>
        <w:tc>
          <w:tcPr>
            <w:tcW w:w="1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assets acquired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529.4</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Notes issued to seller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7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paid ...........................................................</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492.4</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ind w:left="1840"/>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360" w:type="dxa"/>
            <w:vAlign w:val="bottom"/>
          </w:tcPr>
          <w:p>
            <w:pPr>
              <w:jc w:val="right"/>
              <w:ind w:right="2247"/>
              <w:spacing w:after="0" w:line="169" w:lineRule="exact"/>
              <w:rPr>
                <w:sz w:val="20"/>
                <w:szCs w:val="20"/>
                <w:color w:val="auto"/>
              </w:rPr>
            </w:pPr>
            <w:r>
              <w:rPr>
                <w:rFonts w:ascii="Courier New" w:cs="Courier New" w:eastAsia="Courier New" w:hAnsi="Courier New"/>
                <w:sz w:val="15"/>
                <w:szCs w:val="15"/>
                <w:color w:val="auto"/>
              </w:rPr>
              <w:t>(IN MILLIONS)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UNAUDITED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APRIL 1,</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APRIL 3,</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6360" w:type="dxa"/>
            <w:vAlign w:val="bottom"/>
          </w:tcPr>
          <w:p>
            <w:pPr>
              <w:jc w:val="right"/>
              <w:ind w:right="3567"/>
              <w:spacing w:after="0" w:line="168" w:lineRule="exact"/>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2000</w:t>
            </w:r>
          </w:p>
        </w:tc>
        <w:tc>
          <w:tcPr>
            <w:tcW w:w="12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(restated)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636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Accounts receivable, less allowances of</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 $13.1 and $16.4, respectively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649.3</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589.6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366.3</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1,135.4</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1,018.0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258.1</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Intangible assets, net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796.2</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786.9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2,269.9</w:t>
            </w:r>
          </w:p>
        </w:tc>
        <w:tc>
          <w:tcPr>
            <w:tcW w:w="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2,105.9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1,769.6</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36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Short-term debt ...............................................</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183.2</w:t>
            </w:r>
          </w:p>
        </w:tc>
        <w:tc>
          <w:tcPr>
            <w:tcW w:w="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281.7</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287.6</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220.8</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177.0</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752.5</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Long-term debt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1,014.7</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65.8</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1,828.8</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1,674.2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1,326.3</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636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$.01 stated value per share, issued 31.4,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 and 21.3, respectively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388.1</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156.3</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 3.5, 2.8, and 2.9 shares, respectively, at cost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(85.1)</w:t>
            </w:r>
          </w:p>
        </w:tc>
        <w:tc>
          <w:tcPr>
            <w:tcW w:w="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expense .......................</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w:t>
            </w:r>
          </w:p>
        </w:tc>
        <w:tc>
          <w:tcPr>
            <w:tcW w:w="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441.1</w:t>
            </w:r>
          </w:p>
        </w:tc>
        <w:tc>
          <w:tcPr>
            <w:tcW w:w="1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431.7</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443.3</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 ............................</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2,269.9</w:t>
            </w:r>
          </w:p>
        </w:tc>
        <w:tc>
          <w:tcPr>
            <w:tcW w:w="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2,105.9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1,769.6</w:t>
            </w:r>
          </w:p>
        </w:tc>
      </w:tr>
      <w:tr>
        <w:trPr>
          <w:trHeight w:val="168"/>
        </w:trPr>
        <w:tc>
          <w:tcPr>
            <w:tcW w:w="63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73" w:lineRule="exact"/>
        <w:rPr>
          <w:sz w:val="20"/>
          <w:szCs w:val="20"/>
          <w:color w:val="auto"/>
        </w:rPr>
      </w:pPr>
    </w:p>
    <w:p>
      <w:pPr>
        <w:ind w:left="440" w:right="6119" w:hanging="430"/>
        <w:spacing w:after="0" w:line="46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(collectively, the "Company"). All material intercompany transactions have been eliminated.</w:t>
      </w:r>
    </w:p>
    <w:p>
      <w:pPr>
        <w:spacing w:after="0" w:line="173" w:lineRule="exact"/>
        <w:rPr>
          <w:rFonts w:ascii="Courier New" w:cs="Courier New" w:eastAsia="Courier New" w:hAnsi="Courier New"/>
          <w:sz w:val="15"/>
          <w:szCs w:val="15"/>
          <w:color w:val="auto"/>
        </w:rPr>
      </w:pPr>
    </w:p>
    <w:p>
      <w:pPr>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April 1, 2000 and April 3, 1999, and the related condensed, consolidated statements of operations and cash flows for the three and six month periods ended April 1, 2000 and April 3,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5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ind w:left="430"/>
        <w:spacing w:after="0" w:line="237" w:lineRule="auto"/>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430" w:right="3839"/>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2000 classifications.</w:t>
      </w:r>
    </w:p>
    <w:p>
      <w:pPr>
        <w:spacing w:after="0" w:line="335" w:lineRule="exact"/>
        <w:rPr>
          <w:sz w:val="20"/>
          <w:szCs w:val="20"/>
          <w:color w:val="auto"/>
        </w:rPr>
      </w:pPr>
    </w:p>
    <w:p>
      <w:pPr>
        <w:ind w:left="430" w:hanging="430"/>
        <w:spacing w:after="0"/>
        <w:tabs>
          <w:tab w:leader="none" w:pos="4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 OF QUARTERLY FINANCIAL STATEMENTS</w:t>
      </w:r>
    </w:p>
    <w:p>
      <w:pPr>
        <w:spacing w:after="0" w:line="172"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restated its financial statements as of April 1, 2000 and for the three and six months then ended. As disclosed in Note 3 to these financial statements, the Company paid Monsanto Company ("Monsanto") a marketing fee of $32 million in connection with the Roundup Agency and marketing Agreement (the "Agreement"). The earnings originally reported for fiscal 1999 and the first two quarters of fiscal 2000 reflected amortization of the marketing fee over a period of 20 years. However, the Company believes that it is unlikely that the Agreement will continue beyond ten years. Accordingly, the financial statements as of and for the six months ended April 1, 2000 have been restated to correct for the error in the amortization period and now reflect amortization of the marketing fee over a period of ten years.</w:t>
      </w:r>
    </w:p>
    <w:p>
      <w:pPr>
        <w:spacing w:after="0" w:line="341"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"Costs associated with agency agreement" in the Company's Statements of Operations for the three and six months ended April 1, 2000 have been restated to reflect the additional amortization of $1.6 million that was not recognized in fiscal 1999 and the additional amortization to be recognized in fiscal 2000. The Balance Sheet as of April 1, 2000 and the Statements of Cash Flows for the six months ended April 1, 2000 have been restated for this correction. The impact of this restatement on the Company's financial results as originally reported is summarized below: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April 1, 2000</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$63.6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per common share</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end of period</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$157.7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$156.3</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Six months ended April 1, 2000</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$34.0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per common share</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end of period</w:t>
            </w:r>
          </w:p>
        </w:tc>
        <w:tc>
          <w:tcPr>
            <w:tcW w:w="1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$157.7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$156.3</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 w:hanging="430"/>
        <w:spacing w:after="0"/>
        <w:tabs>
          <w:tab w:leader="none" w:pos="4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AGREEMENT</w:t>
      </w:r>
    </w:p>
    <w:p>
      <w:pPr>
        <w:spacing w:after="0" w:line="172"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pacing w:after="0" w:line="164"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agreement requires the Company to make fixed annual payments to Monsanto as a contribution against the overall expenses of the Roundup business. The annual fixed payment is defined as $20 million, however portions of the annual payments for the first three years of the agreement are deferred. No payment was required for the first year (fiscal 1999), a payment of $5 million is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w:t>
      </w:r>
    </w:p>
    <w:p>
      <w:pPr>
        <w:sectPr>
          <w:pgSz w:w="11900" w:h="16838" w:orient="portrait"/>
          <w:cols w:equalWidth="0" w:num="1">
            <w:col w:w="10229"/>
          </w:cols>
          <w:pgMar w:left="230" w:top="28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payments cease entirely in 2018.</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such time that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amounts are never paid even if the agreement is not terminated prior to 2018 unless significant earnings targets are exceeded.</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3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not participated in the preparation or review of the Company's financial statements or any SEC filings. The terms of such opinion specifically limit the parties who are entitled to rely on it.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April 1, 2000, contribution payments and related per annum charges of approximately $29.2 million had been deferred under the agreement. This amount is considered a contingent obligation and has not been reflected in the financial statements as of and for the six months then ended.</w:t>
      </w:r>
    </w:p>
    <w:p>
      <w:pPr>
        <w:spacing w:after="0" w:line="17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in certain circumstances including an event of default by Monsanto or the sale of the Roundup business. Unless Monsanto terminates the agreement for an event of default by the Company, Monsanto is required to pay a termination fee to the Company that varies by program year. The termination fee is $150 million for each of the first five program years and declines to a minimum of $16 million if the program continues for years 11 through 20.</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balances over ten years, which is the estimated likely term of the agreement.</w:t>
      </w:r>
    </w:p>
    <w:p>
      <w:pPr>
        <w:sectPr>
          <w:pgSz w:w="11900" w:h="16838" w:orient="portrait"/>
          <w:cols w:equalWidth="0" w:num="1">
            <w:col w:w="9799"/>
          </w:cols>
          <w:pgMar w:left="660" w:top="13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9799"/>
          </w:cols>
          <w:pgMar w:left="660" w:top="135" w:right="1440" w:bottom="1440" w:gutter="0" w:footer="0" w:header="0"/>
          <w:type w:val="continuous"/>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left="430" w:right="3319"/>
        <w:spacing w:after="0" w:line="255" w:lineRule="auto"/>
        <w:rPr>
          <w:sz w:val="20"/>
          <w:szCs w:val="20"/>
          <w:color w:val="auto"/>
        </w:rPr>
      </w:pPr>
      <w:r>
        <w:rPr>
          <w:rFonts w:ascii="Courier New" w:cs="Courier New" w:eastAsia="Courier New" w:hAnsi="Courier New"/>
          <w:sz w:val="14"/>
          <w:szCs w:val="14"/>
          <w:color w:val="auto"/>
        </w:rPr>
        <w:t>In fiscal 1999, the Company recognized commission income under the agreement during interim periods based on the estimated percentage of EBIT that would be payable to the Company as commission for the year applied to the actual EBIT for the Roundup(R) business for the interim period. Commission income recorded for the full year is calculated by applying the threshold commission structure for that year to the actual EBIT of the Roundup business for the year. Beginning with the first quarter of fiscal 2000, the Company has adopted SEC Staff Accounting Bulletin No. 101, "Revenue Recognition in Financial Statements". Accordingly, the Company will not recognize commission income until actual Roundup EBIT reaches the first commission threshold for the year. The annual contribution payment, if any, is recognized ratably throughout the year.</w:t>
      </w:r>
    </w:p>
    <w:p>
      <w:pPr>
        <w:spacing w:after="0" w:line="158" w:lineRule="exact"/>
        <w:rPr>
          <w:sz w:val="20"/>
          <w:szCs w:val="20"/>
          <w:color w:val="auto"/>
        </w:rPr>
      </w:pPr>
    </w:p>
    <w:p>
      <w:pPr>
        <w:ind w:left="430" w:hanging="430"/>
        <w:spacing w:after="0"/>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w:t>
      </w:r>
    </w:p>
    <w:p>
      <w:pPr>
        <w:spacing w:after="0" w:line="334"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Charges</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cost to sever approximately 60 in-house sales associates that were terminated in fiscal 1999. Approximately $1.1 million of severance payments were made to these former associates during fiscal 1999 and substantially all of the remainder has been paid in fiscal 2000.</w:t>
      </w:r>
    </w:p>
    <w:p>
      <w:pPr>
        <w:spacing w:after="0" w:line="171"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Charges</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1998, the Company recorded charges of $9.3 million in connection with its decision to close nine composting sites. As of September 30, 1999, $0.9 million remained accrued in the Company's consolidated balance sheet for losses to be incurred under contractual commitments and remaining lease obligations (a detailed discussion and rollforward is included in the Company's fiscal 1999 Annual Report on Form 10-K). For the first six months of fiscal 2000, $0.5 million of the remaining obligations had been paid. The Company expects to make all remaining payments in fiscal 2000.</w:t>
      </w:r>
    </w:p>
    <w:p>
      <w:pPr>
        <w:spacing w:after="0" w:line="339"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341"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 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 If the final purchase price differs from the original estimate, it is likely that any difference would not be amortized over future periods, but rather would be reflected as an adjustment to working capital.</w:t>
      </w:r>
    </w:p>
    <w:p>
      <w:pPr>
        <w:spacing w:after="0" w:line="16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1998, the Company acquired Rhone-Poulenc Jardin ("RPJ"), continental Europe's largest consumer lawn and garden products company. Management's initial estimate of the purchase price for Rhone-Poulenc Jardin was $193 million; however, subsequent adjustments for reductions in acquired working capital have resulted in a final purchase price of approximately $147 million.</w:t>
      </w:r>
    </w:p>
    <w:p>
      <w:pPr>
        <w:spacing w:after="0" w:line="17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 the Company entered into a Research and Development Access Rights Agreement with Rhone-Poulenc. In exchange for the rights provided under the agreement, the Company will make four annual payments of 39 million French Francs each beginning on October 1, 1999. The present value of the payments (approximately $23.2 million) is being amortized over the life of the agreement.</w:t>
      </w:r>
    </w:p>
    <w:p>
      <w:pPr>
        <w:spacing w:after="0" w:line="17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Final determination of the purchase</w:t>
      </w:r>
    </w:p>
    <w:p>
      <w:pPr>
        <w:sectPr>
          <w:pgSz w:w="11900" w:h="16838" w:orient="portrait"/>
          <w:cols w:equalWidth="0" w:num="1">
            <w:col w:w="10229"/>
          </w:cols>
          <w:pgMar w:left="230" w:top="281" w:right="1440" w:bottom="1440" w:gutter="0" w:footer="0" w:header="0"/>
        </w:sectPr>
      </w:pPr>
    </w:p>
    <w:p>
      <w:pPr>
        <w:spacing w:after="0" w:line="174" w:lineRule="exact"/>
        <w:rPr>
          <w:sz w:val="20"/>
          <w:szCs w:val="20"/>
          <w:color w:val="auto"/>
        </w:rPr>
      </w:pPr>
    </w:p>
    <w:p>
      <w:pPr>
        <w:ind w:left="341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29"/>
          </w:cols>
          <w:pgMar w:left="230" w:top="28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price of the Ortho business, as well as the allocation of the purchase price to the net assets acquired was not complete as of April 1, 2000. The excess of the estimated purchase price for the Ortho business over the value of tangible assets acquired is currently recorded as an intangible asset and is being amortized over a period of 35 years.</w:t>
      </w:r>
    </w:p>
    <w:p>
      <w:pPr>
        <w:spacing w:after="0" w:line="174"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Ortho acquisition as if it had occurred on October 1, 1998.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78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APRIL 3, 1999</w:t>
            </w:r>
          </w:p>
        </w:tc>
      </w:tr>
      <w:tr>
        <w:trPr>
          <w:trHeight w:val="168"/>
        </w:trPr>
        <w:tc>
          <w:tcPr>
            <w:tcW w:w="4780" w:type="dxa"/>
            <w:vAlign w:val="bottom"/>
          </w:tcPr>
          <w:p>
            <w:pPr>
              <w:spacing w:after="0"/>
              <w:rPr>
                <w:sz w:val="14"/>
                <w:szCs w:val="14"/>
                <w:color w:val="auto"/>
              </w:rPr>
            </w:pP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848.9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loss ..................</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extraordinary loss ..........................</w:t>
            </w:r>
          </w:p>
        </w:tc>
        <w:tc>
          <w:tcPr>
            <w:tcW w:w="7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extraordinary loss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bl>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337"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341" w:lineRule="exact"/>
        <w:rPr>
          <w:rFonts w:ascii="Courier New" w:cs="Courier New" w:eastAsia="Courier New" w:hAnsi="Courier New"/>
          <w:sz w:val="15"/>
          <w:szCs w:val="15"/>
          <w:color w:val="auto"/>
        </w:rPr>
      </w:pPr>
    </w:p>
    <w:p>
      <w:pPr>
        <w:jc w:val="both"/>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$27.8 million, $21.5 million, and $30.5 million, respectively, consisted of: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APRIL 1,</w:t>
            </w:r>
          </w:p>
        </w:tc>
        <w:tc>
          <w:tcPr>
            <w:tcW w:w="36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APRIL 3,</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Finished goods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246.8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83.6</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FIFO cost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365.3</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366.3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313.2</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7.   INTANGIBLE ASSETS, NET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APRIL 1,</w:t>
            </w:r>
          </w:p>
        </w:tc>
        <w:tc>
          <w:tcPr>
            <w:tcW w:w="3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APRIL 3,</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Goodwill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Trademarks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192.8</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77.2</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77.6</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796.2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786.9</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794.1</w:t>
            </w:r>
          </w:p>
        </w:tc>
      </w:tr>
      <w:tr>
        <w:trPr>
          <w:trHeight w:val="168"/>
        </w:trPr>
        <w:tc>
          <w:tcPr>
            <w:tcW w:w="2860" w:type="dxa"/>
            <w:vAlign w:val="bottom"/>
          </w:tcPr>
          <w:p>
            <w:pPr>
              <w:spacing w:after="0"/>
              <w:rPr>
                <w:sz w:val="14"/>
                <w:szCs w:val="14"/>
                <w:color w:val="auto"/>
              </w:rPr>
            </w:pP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8.   LONG-TERM DEBT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APRIL 1,</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APRIL 3,</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Revolving loans under credit facility ....</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322.8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Term loans under credit facility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481.4</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509.0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Senior Subordinated Notes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318.0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Notes due to sellers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Foreign bank borrowings and term loans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lease obligations and other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1,197.9</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current portions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183.2</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213.9</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893.6</w:t>
            </w: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 The Company was in violation of the minimum net worth covenant measured as of January 1, 2000. The violation was reported to the administrative agent on February 11, 2000, as required by the credit facility. On February 15, 2000, the Company obtained a waiver of this covenant violation from its bank group for the first quarter violation only. The Company was in compliance with all of its debt covenants as of April 1, 2000.</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6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74"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Inc., notes were issued for certain portions of the total purchase price or other consideration that are to be paid in annual installments over a four-year period. The present value of remaining note payments is $25.1 million and $4.0 million, respectively. The Company is imputing interest on the non-interest bearing notes using an interest rate prevalent for similar instruments at the time of acquisition (approximately 9% and 8%, respectively).</w:t>
      </w:r>
    </w:p>
    <w:p>
      <w:pPr>
        <w:spacing w:after="0" w:line="177"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March 2000, the Company acquired certain residual international intellectual property including peat marketing rights and goodwill from Bord na Mona Horticulture Limited. The purchase of the intellectual property was made through the issuance of a promissory note containing five annual payments. The present value of these payments, approximately $5.2 million, is included in Notes Due to Sellers above. The Company is imputing interest on the notes using an 8% interest rate.</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foreign term loans of $3.9 million issued on December 12, 1997, have an 8-year term and bear interest at 1% below LIBOR. The loans are denominated in Pounds Sterling and can be redeemed, on demand, by the note holder. The foreign bank borrowings of $5.7 million at April 1, 2000 represent lines of credit for foreign operations and are denominated in French Francs and Canadian Dollars.</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2"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spacing w:after="0"/>
              <w:rPr>
                <w:sz w:val="20"/>
                <w:szCs w:val="20"/>
                <w:color w:val="auto"/>
              </w:rPr>
            </w:pPr>
            <w:r>
              <w:rPr>
                <w:rFonts w:ascii="Courier New" w:cs="Courier New" w:eastAsia="Courier New" w:hAnsi="Courier New"/>
                <w:sz w:val="15"/>
                <w:szCs w:val="15"/>
                <w:color w:val="auto"/>
              </w:rPr>
              <w:t>THREE MONTHS ENDED SIX MONTHS ENDED</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APRIL 1,</w:t>
            </w:r>
          </w:p>
        </w:tc>
        <w:tc>
          <w:tcPr>
            <w:tcW w:w="120" w:type="dxa"/>
            <w:vAlign w:val="bottom"/>
          </w:tcPr>
          <w:p>
            <w:pPr>
              <w:spacing w:after="0"/>
              <w:rPr>
                <w:sz w:val="14"/>
                <w:szCs w:val="14"/>
                <w:color w:val="auto"/>
              </w:rPr>
            </w:pP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APRIL 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APRIL</w:t>
            </w:r>
          </w:p>
        </w:tc>
        <w:tc>
          <w:tcPr>
            <w:tcW w:w="10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4"/>
              </w:rPr>
              <w:t>1, APRIL 3,</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0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9"/>
              </w:rPr>
              <w:t>(restated)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(restated)</w:t>
            </w:r>
          </w:p>
        </w:tc>
        <w:tc>
          <w:tcPr>
            <w:tcW w:w="660" w:type="dxa"/>
            <w:vAlign w:val="bottom"/>
          </w:tcPr>
          <w:p>
            <w:pPr>
              <w:spacing w:after="0"/>
              <w:rPr>
                <w:sz w:val="14"/>
                <w:szCs w:val="1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Net income before extraordinary item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Extraordinary loss on early extinguishment of debt, net of taxes</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Payments to preferred shareholders .............................</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available to common shareholders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Weighted-average common shares outstanding during the period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conversion of Class A Convertible Preferred Stock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exercise of warrants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Assuming exercise of options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 shares outstanding</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 potential common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0.94</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loss, net of tax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0.94</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Before extraordinary loss and impact of early conversion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preferred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loss, net of tax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Impact of early conversion of preferred shares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3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0.88</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5740" w:type="dxa"/>
            <w:vAlign w:val="bottom"/>
          </w:tcPr>
          <w:p>
            <w:pPr>
              <w:spacing w:after="0"/>
              <w:rPr>
                <w:sz w:val="14"/>
                <w:szCs w:val="14"/>
                <w:color w:val="auto"/>
              </w:rPr>
            </w:pPr>
          </w:p>
        </w:tc>
        <w:tc>
          <w:tcPr>
            <w:tcW w:w="2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74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341"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and six months ended April 1, 2000 and April 3, 1999 are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THREE MONTHS ENDED</w:t>
      </w:r>
    </w:p>
    <w:p>
      <w:pPr>
        <w:ind w:left="4040"/>
        <w:spacing w:after="0"/>
        <w:tabs>
          <w:tab w:leader="none" w:pos="4880" w:val="left"/>
        </w:tabs>
        <w:rPr>
          <w:sz w:val="20"/>
          <w:szCs w:val="20"/>
          <w:color w:val="auto"/>
        </w:rPr>
      </w:pP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4"/>
          <w:szCs w:val="14"/>
          <w:color w:val="auto"/>
        </w:rPr>
        <w:t>APRIL 3,</w:t>
      </w:r>
    </w:p>
    <w:p>
      <w:pPr>
        <w:ind w:left="4300"/>
        <w:spacing w:after="0" w:line="238" w:lineRule="auto"/>
        <w:tabs>
          <w:tab w:leader="none" w:pos="50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4300"/>
        <w:spacing w:after="0" w:line="237" w:lineRule="auto"/>
        <w:tabs>
          <w:tab w:leader="none" w:pos="5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200"/>
        <w:spacing w:after="0" w:line="238" w:lineRule="auto"/>
        <w:rPr>
          <w:sz w:val="20"/>
          <w:szCs w:val="20"/>
          <w:color w:val="auto"/>
        </w:rPr>
      </w:pPr>
      <w:r>
        <w:rPr>
          <w:rFonts w:ascii="Courier New" w:cs="Courier New" w:eastAsia="Courier New" w:hAnsi="Courier New"/>
          <w:sz w:val="15"/>
          <w:szCs w:val="15"/>
          <w:color w:val="auto"/>
        </w:rPr>
        <w:t>(restated)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tabs>
          <w:tab w:leader="none" w:pos="860" w:val="left"/>
        </w:tabs>
        <w:rPr>
          <w:sz w:val="20"/>
          <w:szCs w:val="20"/>
          <w:color w:val="auto"/>
        </w:rPr>
      </w:pP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4"/>
          <w:szCs w:val="14"/>
          <w:color w:val="auto"/>
        </w:rPr>
        <w:t>APRIL 3,</w:t>
      </w:r>
    </w:p>
    <w:p>
      <w:pPr>
        <w:ind w:left="80"/>
        <w:spacing w:after="0" w:line="238" w:lineRule="auto"/>
        <w:tabs>
          <w:tab w:leader="none" w:pos="8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80"/>
        <w:spacing w:after="0" w:line="237"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(restated)</w:t>
      </w:r>
    </w:p>
    <w:p>
      <w:pPr>
        <w:spacing w:after="0" w:line="167" w:lineRule="exact"/>
        <w:rPr>
          <w:sz w:val="20"/>
          <w:szCs w:val="20"/>
          <w:color w:val="auto"/>
        </w:rPr>
      </w:pPr>
    </w:p>
    <w:p>
      <w:pPr>
        <w:sectPr>
          <w:pgSz w:w="11900" w:h="16838" w:orient="portrait"/>
          <w:cols w:equalWidth="0" w:num="2">
            <w:col w:w="5600" w:space="180"/>
            <w:col w:w="4459"/>
          </w:cols>
          <w:pgMar w:left="220" w:top="2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63.4</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49.3</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32.6</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38.9</w:t>
      </w:r>
    </w:p>
    <w:p>
      <w:pPr>
        <w:spacing w:after="0" w:line="5" w:lineRule="exact"/>
        <w:rPr>
          <w:sz w:val="20"/>
          <w:szCs w:val="20"/>
          <w:color w:val="auto"/>
        </w:rPr>
      </w:pPr>
    </w:p>
    <w:p>
      <w:pPr>
        <w:sectPr>
          <w:pgSz w:w="11900" w:h="16838" w:orient="portrait"/>
          <w:cols w:equalWidth="0" w:num="5">
            <w:col w:w="3860" w:space="260"/>
            <w:col w:w="620" w:space="160"/>
            <w:col w:w="620" w:space="180"/>
            <w:col w:w="600" w:space="180"/>
            <w:col w:w="37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comprehensive income (expense):</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adjustments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61.2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60" w:val="left"/>
        </w:tabs>
        <w:rPr>
          <w:sz w:val="20"/>
          <w:szCs w:val="20"/>
          <w:color w:val="auto"/>
        </w:rPr>
      </w:pPr>
      <w:r>
        <w:rPr>
          <w:rFonts w:ascii="Courier New" w:cs="Courier New" w:eastAsia="Courier New" w:hAnsi="Courier New"/>
          <w:sz w:val="15"/>
          <w:szCs w:val="15"/>
          <w:color w:val="auto"/>
        </w:rPr>
        <w:t>$</w:t>
        <w:tab/>
        <w:t>44.5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27.0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33.7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3860" w:space="260"/>
            <w:col w:w="700" w:space="80"/>
            <w:col w:w="700" w:space="100"/>
            <w:col w:w="700" w:space="80"/>
            <w:col w:w="3759"/>
          </w:cols>
          <w:pgMar w:left="220" w:top="281" w:right="1440" w:bottom="1440" w:gutter="0" w:footer="0" w:header="0"/>
          <w:type w:val="continuous"/>
        </w:sectPr>
      </w:pPr>
    </w:p>
    <w:p>
      <w:pPr>
        <w:spacing w:after="0" w:line="135"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341"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13</w:t>
      </w:r>
    </w:p>
    <w:p>
      <w:pPr>
        <w:ind w:left="160"/>
        <w:spacing w:after="0" w:line="237" w:lineRule="auto"/>
        <w:rPr>
          <w:sz w:val="20"/>
          <w:szCs w:val="20"/>
          <w:color w:val="auto"/>
        </w:rPr>
      </w:pPr>
      <w:r>
        <w:rPr>
          <w:rFonts w:ascii="Courier New" w:cs="Courier New" w:eastAsia="Courier New" w:hAnsi="Courier New"/>
          <w:sz w:val="15"/>
          <w:szCs w:val="15"/>
          <w:color w:val="auto"/>
        </w:rPr>
        <w:t>Ohio Environmental Protection Agency</w:t>
      </w:r>
    </w:p>
    <w:p>
      <w:pPr>
        <w:spacing w:after="0" w:line="173" w:lineRule="exact"/>
        <w:rPr>
          <w:sz w:val="20"/>
          <w:szCs w:val="20"/>
          <w:color w:val="auto"/>
        </w:rPr>
      </w:pPr>
    </w:p>
    <w:p>
      <w:pPr>
        <w:ind w:left="160" w:right="3319"/>
        <w:spacing w:after="0" w:line="236" w:lineRule="auto"/>
        <w:rPr>
          <w:sz w:val="20"/>
          <w:szCs w:val="20"/>
          <w:color w:val="auto"/>
        </w:rPr>
      </w:pPr>
      <w:r>
        <w:rPr>
          <w:rFonts w:ascii="Courier New" w:cs="Courier New" w:eastAsia="Courier New" w:hAnsi="Courier New"/>
          <w:sz w:val="15"/>
          <w:szCs w:val="15"/>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77"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76"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Scotts replied with another revised draft in March 2000.</w:t>
      </w:r>
    </w:p>
    <w:p>
      <w:pPr>
        <w:spacing w:after="0" w:line="331"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331" w:lineRule="exact"/>
        <w:rPr>
          <w:sz w:val="20"/>
          <w:szCs w:val="20"/>
          <w:color w:val="auto"/>
        </w:rPr>
      </w:pPr>
    </w:p>
    <w:p>
      <w:pPr>
        <w:ind w:left="160" w:right="3239"/>
        <w:spacing w:after="0" w:line="236" w:lineRule="auto"/>
        <w:rPr>
          <w:sz w:val="20"/>
          <w:szCs w:val="20"/>
          <w:color w:val="auto"/>
        </w:rPr>
      </w:pPr>
      <w:r>
        <w:rPr>
          <w:rFonts w:ascii="Courier New" w:cs="Courier New" w:eastAsia="Courier New" w:hAnsi="Courier New"/>
          <w:sz w:val="15"/>
          <w:szCs w:val="15"/>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179"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w:t>
      </w:r>
    </w:p>
    <w:p>
      <w:pPr>
        <w:sectPr>
          <w:pgSz w:w="11900" w:h="16838" w:orient="portrait"/>
          <w:cols w:equalWidth="0" w:num="1">
            <w:col w:w="9959"/>
          </w:cols>
          <w:pgMar w:left="500" w:top="281" w:right="1440" w:bottom="1440" w:gutter="0" w:footer="0" w:header="0"/>
        </w:sectPr>
      </w:pPr>
    </w:p>
    <w:p>
      <w:pPr>
        <w:spacing w:after="0" w:line="15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1"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60" w:right="3399"/>
        <w:spacing w:after="0" w:line="236" w:lineRule="auto"/>
        <w:rPr>
          <w:sz w:val="20"/>
          <w:szCs w:val="20"/>
          <w:color w:val="auto"/>
        </w:rPr>
      </w:pPr>
      <w:r>
        <w:rPr>
          <w:rFonts w:ascii="Courier New" w:cs="Courier New" w:eastAsia="Courier New" w:hAnsi="Courier New"/>
          <w:sz w:val="15"/>
          <w:szCs w:val="15"/>
          <w:color w:val="auto"/>
        </w:rPr>
        <w:t>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Lafayette</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Agrevo Environmental Health</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On June 3, 1999, AgrEvo Environmental Health, Inc. ("AgrEvo") filed a complaint in the District Court for the Southern District of New York,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w:t>
      </w:r>
    </w:p>
    <w:p>
      <w:pPr>
        <w:spacing w:after="0" w:line="6" w:lineRule="exact"/>
        <w:rPr>
          <w:sz w:val="20"/>
          <w:szCs w:val="20"/>
          <w:color w:val="auto"/>
        </w:rPr>
      </w:pPr>
    </w:p>
    <w:p>
      <w:pPr>
        <w:ind w:left="160" w:right="4019"/>
        <w:spacing w:after="0" w:line="234" w:lineRule="auto"/>
        <w:rPr>
          <w:sz w:val="20"/>
          <w:szCs w:val="20"/>
          <w:color w:val="auto"/>
        </w:rPr>
      </w:pPr>
      <w:r>
        <w:rPr>
          <w:rFonts w:ascii="Courier New" w:cs="Courier New" w:eastAsia="Courier New" w:hAnsi="Courier New"/>
          <w:sz w:val="15"/>
          <w:szCs w:val="15"/>
          <w:color w:val="auto"/>
        </w:rPr>
        <w:t>as well as the Company's subsequent actions, violated the purchase agreements between AgrEvo and the Company.</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January 27, 2000, AgrEvo sought leave to move to amend its complaint to add a claim for fraud and to incorporate the Delaware action described below. Under the indemnification provisions of the Roundup(R) marketing agreement, Monsanto and the Company each have requested that the other indemnify against any losses arising from this lawsuit.</w:t>
      </w:r>
    </w:p>
    <w:p>
      <w:pPr>
        <w:spacing w:after="0" w:line="332" w:lineRule="exact"/>
        <w:rPr>
          <w:sz w:val="20"/>
          <w:szCs w:val="20"/>
          <w:color w:val="auto"/>
        </w:rPr>
      </w:pPr>
    </w:p>
    <w:p>
      <w:pPr>
        <w:ind w:left="160" w:right="3499"/>
        <w:spacing w:after="0" w:line="236"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the Company's subsidiaries seeking damages for alleged breach of contract. AgrEvo alleges that, under the contracts by which a subsidiary of the Company purchased a herbicide business from AgrEvo in May 1998, two of the Company's</w:t>
      </w:r>
    </w:p>
    <w:p>
      <w:pPr>
        <w:sectPr>
          <w:pgSz w:w="11900" w:h="16838" w:orient="portrait"/>
          <w:cols w:equalWidth="0" w:num="1">
            <w:col w:w="9959"/>
          </w:cols>
          <w:pgMar w:left="500" w:top="281" w:right="1440" w:bottom="1440" w:gutter="0" w:footer="0" w:header="0"/>
        </w:sectPr>
      </w:pP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1" w:right="1440" w:bottom="1440" w:gutter="0" w:footer="0" w:header="0"/>
          <w:type w:val="continuous"/>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(a) the resolution of a motion to amend the action in the Southern District of New York and (b) resolution of the New York action.</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Bramford</w:t>
      </w:r>
    </w:p>
    <w:p>
      <w:pPr>
        <w:spacing w:after="0" w:line="173"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Although The Scotts Company (UK) Ltd. has retained an environmental consulting firm to research remediation designs, The Scotts Company (UK) Ltd. and the Environment Agency have not agreed on a final plan for remediating the lagoon and the landfill. The Company has reserved for its estimate of the probable loss to be incurred in connection with this matter.</w:t>
      </w:r>
    </w:p>
    <w:p>
      <w:pPr>
        <w:spacing w:after="0" w:line="170"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430" w:right="3399"/>
        <w:spacing w:after="0" w:line="235"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The Company has accrued $9.9 million at April 1, 2000 for the environmental matters described above. The significant components of the accrual are: (i) costs for site remediation of $6.9 million; (ii) costs for asbestos abatement of $2.5 million; and (iii) fines and penalties of $0.5 million. The significant portion of the costs accrued as of April 1, 2000 are expected to be paid in fiscal 2000 and 2001; however, payments are expected to be made through fiscal 2003 and possibly for a period thereafter.</w:t>
      </w:r>
    </w:p>
    <w:p>
      <w:pPr>
        <w:spacing w:after="0" w:line="166"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The Company believes that the amounts accrued as of April 1, 2000 are adequate to cover its known environmental expenses based on current facts and estimates of likely outcome. However, the adequacy of these accruals is based on several significant assumptions:</w:t>
      </w:r>
    </w:p>
    <w:p>
      <w:pPr>
        <w:spacing w:after="0" w:line="175" w:lineRule="exact"/>
        <w:rPr>
          <w:sz w:val="20"/>
          <w:szCs w:val="20"/>
          <w:color w:val="auto"/>
        </w:rPr>
      </w:pPr>
    </w:p>
    <w:p>
      <w:pPr>
        <w:ind w:left="870" w:right="3239" w:hanging="433"/>
        <w:spacing w:after="0" w:line="234" w:lineRule="auto"/>
        <w:tabs>
          <w:tab w:leader="none" w:pos="8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has identified all of the significant sites that must be remediated;</w:t>
      </w:r>
    </w:p>
    <w:p>
      <w:pPr>
        <w:spacing w:after="0" w:line="5" w:lineRule="exact"/>
        <w:rPr>
          <w:rFonts w:ascii="Courier New" w:cs="Courier New" w:eastAsia="Courier New" w:hAnsi="Courier New"/>
          <w:sz w:val="15"/>
          <w:szCs w:val="15"/>
          <w:color w:val="auto"/>
        </w:rPr>
      </w:pPr>
    </w:p>
    <w:p>
      <w:pPr>
        <w:ind w:left="870" w:right="3499" w:hanging="433"/>
        <w:spacing w:after="0" w:line="234" w:lineRule="auto"/>
        <w:tabs>
          <w:tab w:leader="none" w:pos="8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w:t>
      </w:r>
    </w:p>
    <w:p>
      <w:pPr>
        <w:spacing w:after="0" w:line="5" w:lineRule="exact"/>
        <w:rPr>
          <w:rFonts w:ascii="Courier New" w:cs="Courier New" w:eastAsia="Courier New" w:hAnsi="Courier New"/>
          <w:sz w:val="15"/>
          <w:szCs w:val="15"/>
          <w:color w:val="auto"/>
        </w:rPr>
      </w:pPr>
    </w:p>
    <w:p>
      <w:pPr>
        <w:ind w:left="870" w:right="3319" w:hanging="433"/>
        <w:spacing w:after="0" w:line="234" w:lineRule="auto"/>
        <w:tabs>
          <w:tab w:leader="none" w:pos="9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potentially contaminated soil can be remediated in place rather than having to be removed; and</w:t>
      </w:r>
    </w:p>
    <w:p>
      <w:pPr>
        <w:spacing w:after="0" w:line="5" w:lineRule="exact"/>
        <w:rPr>
          <w:rFonts w:ascii="Courier New" w:cs="Courier New" w:eastAsia="Courier New" w:hAnsi="Courier New"/>
          <w:sz w:val="15"/>
          <w:szCs w:val="15"/>
          <w:color w:val="auto"/>
        </w:rPr>
      </w:pPr>
    </w:p>
    <w:p>
      <w:pPr>
        <w:ind w:left="870" w:right="3399" w:hanging="433"/>
        <w:spacing w:after="0" w:line="234" w:lineRule="auto"/>
        <w:tabs>
          <w:tab w:leader="none" w:pos="8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only specific stream sediment sites with unacceptable levels of potential contaminant will be remediated.</w:t>
      </w:r>
    </w:p>
    <w:p>
      <w:pPr>
        <w:spacing w:after="0" w:line="173"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337" w:lineRule="exact"/>
        <w:rPr>
          <w:sz w:val="20"/>
          <w:szCs w:val="20"/>
          <w:color w:val="auto"/>
        </w:rPr>
      </w:pPr>
    </w:p>
    <w:p>
      <w:pPr>
        <w:ind w:left="430" w:hanging="430"/>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PREFERRED STOCK</w:t>
      </w:r>
    </w:p>
    <w:p>
      <w:pPr>
        <w:spacing w:after="0" w:line="341" w:lineRule="exact"/>
        <w:rPr>
          <w:rFonts w:ascii="Courier New" w:cs="Courier New" w:eastAsia="Courier New" w:hAnsi="Courier New"/>
          <w:sz w:val="15"/>
          <w:szCs w:val="15"/>
          <w:color w:val="auto"/>
        </w:rPr>
      </w:pPr>
    </w:p>
    <w:p>
      <w:pPr>
        <w:ind w:left="43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1999, all of the then outstanding shares of Class A Convertible Preferred Stock were converted into approximately 10.1 million common shares. The Company paid the holders of the Preferred Stock $6.4 million. The amount represents the dividends on the Preferred Stock that otherwise would have been payable through May 2000, the month</w:t>
      </w:r>
    </w:p>
    <w:p>
      <w:pPr>
        <w:sectPr>
          <w:pgSz w:w="11900" w:h="16838" w:orient="portrait"/>
          <w:cols w:equalWidth="0" w:num="1">
            <w:col w:w="10229"/>
          </w:cols>
          <w:pgMar w:left="230" w:top="281" w:right="1440" w:bottom="1440" w:gutter="0" w:footer="0" w:header="0"/>
        </w:sectPr>
      </w:pPr>
    </w:p>
    <w:p>
      <w:pPr>
        <w:spacing w:after="0" w:line="15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281" w:right="1440" w:bottom="1440" w:gutter="0" w:footer="0" w:header="0"/>
          <w:type w:val="continuous"/>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left="430" w:right="3239"/>
        <w:spacing w:after="0" w:line="235" w:lineRule="auto"/>
        <w:rPr>
          <w:sz w:val="20"/>
          <w:szCs w:val="20"/>
          <w:color w:val="auto"/>
        </w:rPr>
      </w:pPr>
      <w:r>
        <w:rPr>
          <w:rFonts w:ascii="Courier New" w:cs="Courier New" w:eastAsia="Courier New" w:hAnsi="Courier New"/>
          <w:sz w:val="15"/>
          <w:szCs w:val="15"/>
          <w:color w:val="auto"/>
        </w:rPr>
        <w:t>during which the Preferred Stock could first be redeemed by the Company. In fiscal 1999, certain of the Preferred Stock was converted into 0.2 million common shares at the holders option.</w:t>
      </w:r>
    </w:p>
    <w:p>
      <w:pPr>
        <w:spacing w:after="0" w:line="335" w:lineRule="exact"/>
        <w:rPr>
          <w:sz w:val="20"/>
          <w:szCs w:val="20"/>
          <w:color w:val="auto"/>
        </w:rPr>
      </w:pPr>
    </w:p>
    <w:p>
      <w:pPr>
        <w:ind w:left="430" w:hanging="430"/>
        <w:spacing w:after="0"/>
        <w:tabs>
          <w:tab w:leader="none" w:pos="4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341"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1998, the FASB issued SFAS No. 133, "Accounting For Derivative Instruments and Hedging Activities." SFAS No. 133 (as amended) is effective for fiscal years beginning after June 15, 2000.</w:t>
      </w:r>
    </w:p>
    <w:p>
      <w:pPr>
        <w:spacing w:after="0" w:line="173"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66"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is required, however, to conform its interim period revenue recognition policies for the commission under the Roundup(R) marketing agreement to be consistent with the staff's views and has adopted the guidance in the first quarter of fiscal 2000. Under the new guidance, the Company must defer the recognition of commission earned in interim periods until minimum earnings thresholds are achieved. There will be no impact on the commission earned on an annual basis.</w:t>
      </w:r>
    </w:p>
    <w:p>
      <w:pPr>
        <w:spacing w:after="0" w:line="335"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341"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divided into three reportable segments--North American Consumer, Professional and International. The North American Consumer segment consists of the Lawns, Gardens, Growing Media, Ortho and Canadian business units.</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75"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166" w:lineRule="exact"/>
        <w:rPr>
          <w:rFonts w:ascii="Courier New" w:cs="Courier New" w:eastAsia="Courier New" w:hAnsi="Courier New"/>
          <w:sz w:val="15"/>
          <w:szCs w:val="15"/>
          <w:color w:val="auto"/>
        </w:rPr>
      </w:pPr>
    </w:p>
    <w:p>
      <w:pPr>
        <w:ind w:left="4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left="440" w:right="3240"/>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Amounts as of and for the three and six month periods ended April 1, 2000 have been restated as discussed in Note 2.</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CONSUMER</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PROFESSIONAL</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INTERNATIONAL</w:t>
            </w:r>
          </w:p>
        </w:tc>
        <w:tc>
          <w:tcPr>
            <w:tcW w:w="1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CORPORATE</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9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650.3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196.8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912.3</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531.7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210.8</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815.9</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548.7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41.5</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720.7</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458.9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131.7</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132.5</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33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Q2</w:t>
            </w:r>
          </w:p>
        </w:tc>
        <w:tc>
          <w:tcPr>
            <w:tcW w:w="6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23.4%</w:t>
            </w:r>
          </w:p>
        </w:tc>
        <w:tc>
          <w:tcPr>
            <w:tcW w:w="2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w:t>
            </w:r>
          </w:p>
        </w:tc>
        <w:tc>
          <w:tcPr>
            <w:tcW w:w="34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16.3%</w:t>
            </w:r>
          </w:p>
        </w:tc>
        <w:tc>
          <w:tcPr>
            <w:tcW w:w="1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Q2</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w:t>
            </w:r>
          </w:p>
        </w:tc>
        <w:tc>
          <w:tcPr>
            <w:tcW w:w="1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nm</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1,410.5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566.6</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2,269.9</w:t>
            </w:r>
          </w:p>
        </w:tc>
      </w:tr>
      <w:tr>
        <w:trPr>
          <w:trHeight w:val="168"/>
        </w:trPr>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YTD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220.1</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589.0</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2,105.9</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Not meaningful.</w:t>
      </w:r>
    </w:p>
    <w:p>
      <w:pPr>
        <w:spacing w:after="0" w:line="173" w:lineRule="exact"/>
        <w:rPr>
          <w:sz w:val="20"/>
          <w:szCs w:val="20"/>
          <w:color w:val="auto"/>
        </w:rPr>
      </w:pPr>
    </w:p>
    <w:p>
      <w:pPr>
        <w:ind w:left="440" w:right="3240"/>
        <w:spacing w:after="0" w:line="255" w:lineRule="auto"/>
        <w:rPr>
          <w:sz w:val="20"/>
          <w:szCs w:val="20"/>
          <w:color w:val="auto"/>
        </w:rPr>
      </w:pPr>
      <w:r>
        <w:rPr>
          <w:rFonts w:ascii="Courier New" w:cs="Courier New" w:eastAsia="Courier New" w:hAnsi="Courier New"/>
          <w:sz w:val="14"/>
          <w:szCs w:val="14"/>
          <w:color w:val="auto"/>
        </w:rPr>
        <w:t>Operating income reported for the Company's three operating segments represents earnings before amortization of intangible assets, interest and taxes, since this is the measure of profitability used by management. Accordingly, Corporate operating loss for the six month periods ended April 1, 2000 and April 3,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six months of fiscal 1999 have been adjusted to conform to the fiscal 2000 basis of presentation.</w:t>
      </w:r>
    </w:p>
    <w:p>
      <w:pPr>
        <w:spacing w:after="0" w:line="163" w:lineRule="exact"/>
        <w:rPr>
          <w:sz w:val="20"/>
          <w:szCs w:val="20"/>
          <w:color w:val="auto"/>
        </w:rPr>
      </w:pPr>
    </w:p>
    <w:p>
      <w:pPr>
        <w:ind w:left="440" w:right="3580"/>
        <w:spacing w:after="0" w:line="256"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SUBSEQUENT EVENTS</w:t>
      </w:r>
    </w:p>
    <w:p>
      <w:pPr>
        <w:spacing w:after="0" w:line="341" w:lineRule="exact"/>
        <w:rPr>
          <w:sz w:val="20"/>
          <w:szCs w:val="20"/>
          <w:color w:val="auto"/>
        </w:rPr>
      </w:pPr>
    </w:p>
    <w:p>
      <w:pPr>
        <w:ind w:left="440" w:right="3240"/>
        <w:spacing w:after="0" w:line="255" w:lineRule="auto"/>
        <w:rPr>
          <w:sz w:val="20"/>
          <w:szCs w:val="20"/>
          <w:color w:val="auto"/>
        </w:rPr>
      </w:pPr>
      <w:r>
        <w:rPr>
          <w:rFonts w:ascii="Courier New" w:cs="Courier New" w:eastAsia="Courier New" w:hAnsi="Courier New"/>
          <w:sz w:val="14"/>
          <w:szCs w:val="14"/>
          <w:color w:val="auto"/>
        </w:rPr>
        <w:t>The Company has recently become aware of consumer complaints relating to the dispensing system for two pesticide products, one of which is marketed through the agency agreement with Monsanto. The Company has brought the situation to the attention of the appropriate governmental regulatory agencies and its retail partners. It is currently evaluating potential alternative courses of action including: relabeling products currently in inventory and at retailers to enhance instructions on the proper use of the dispensing system; making adjustments to the dispensing system for those products; and implementing voluntary return programs. The Company is evaluating the possible costs associated with these potential courses of action but, as of this filing, is uncertain as to the actual courses of action and therefore their ultimate cost. It is also uncertain what portion of the final costs will be borne by the Company because of the agency agreement, possible insurance recoveries, and potential recourse from third party manufacturers. The Company anticipates that any costs that it will bear will be incurred in the third and fourth quarters of fiscal 2000.</w:t>
      </w:r>
    </w:p>
    <w:p>
      <w:pPr>
        <w:sectPr>
          <w:pgSz w:w="11900" w:h="16838" w:orient="portrait"/>
          <w:cols w:equalWidth="0" w:num="1">
            <w:col w:w="10240"/>
          </w:cols>
          <w:pgMar w:left="220" w:top="281" w:right="1439"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40"/>
          </w:cols>
          <w:pgMar w:left="220" w:top="281" w:right="1439" w:bottom="1440" w:gutter="0" w:footer="0" w:header="0"/>
          <w:type w:val="continuous"/>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430" w:hanging="430"/>
        <w:spacing w:after="0"/>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341" w:lineRule="exact"/>
        <w:rPr>
          <w:rFonts w:ascii="Courier New" w:cs="Courier New" w:eastAsia="Courier New" w:hAnsi="Courier New"/>
          <w:sz w:val="15"/>
          <w:szCs w:val="15"/>
          <w:color w:val="auto"/>
        </w:rPr>
      </w:pPr>
    </w:p>
    <w:p>
      <w:pPr>
        <w:ind w:left="43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issued $330 million of 8 5/8% Senior Subordinated Notes due 2009 to qualified institutional buyers under the provisions of Rule 144A of the Securities Act of 1993. The Company is in the process of registering these Notes under the Securities Act.</w:t>
      </w:r>
    </w:p>
    <w:p>
      <w:pPr>
        <w:spacing w:after="0" w:line="332"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 The following unaudited information presents consolidating Statements of Operations, Statements of Cash Flows and Balance Sheets for the three and six-month periods ended April 1, 2000 and April 3, 1999.</w:t>
      </w:r>
    </w:p>
    <w:p>
      <w:pPr>
        <w:spacing w:after="0" w:line="173" w:lineRule="exact"/>
        <w:rPr>
          <w:rFonts w:ascii="Courier New" w:cs="Courier New" w:eastAsia="Courier New" w:hAnsi="Courier New"/>
          <w:sz w:val="15"/>
          <w:szCs w:val="15"/>
          <w:color w:val="auto"/>
        </w:rPr>
      </w:pPr>
    </w:p>
    <w:p>
      <w:pPr>
        <w:ind w:left="43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unaudited financial statements of the individual guarantor subsidiaries have not been provided because management does not believe they would be meaningful to investors.</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tbl>
      <w:tblPr>
        <w:tblLayout w:type="fixed"/>
        <w:tblInd w:w="0" w:type="dxa"/>
        <w:tblCellMar>
          <w:top w:w="0" w:type="dxa"/>
          <w:left w:w="0" w:type="dxa"/>
          <w:bottom w:w="0" w:type="dxa"/>
          <w:right w:w="0" w:type="dxa"/>
        </w:tblCellMar>
      </w:tblP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5"/>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FOR THE THREE MONTHS ENDED APRIL 1, 2000 (IN MILLIONS)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AND RESTATED)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SUBSIDIARY</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 GUARANTORS</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ELIMINATIONS CONSOLIDATED</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Net Sales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$437.6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$133.1</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$720.7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sales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407.6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313.1</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Gross commission earned from agency agreement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Costs associated with agency agreement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106.6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FOR THE SIX MONTHS ENDED APRIL 1, 2000 (IN MILLIONS)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AND RESTATED)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SUBSIDIARY</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 GUARANTORS</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ELIMINATIONS CONSOLIDATED</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$518.5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$202.2</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$ 912.3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sales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113.3</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525.3</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Gross profit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387.0</w:t>
            </w: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Gross commission earned from agency agreement ........</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Costs associated with agency agreement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48.8</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48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FOR THE SIX MONTH PERIOD ENDED APRIL 1, 2000 (IN MILLIONS)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AND RESTATED)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SUBSIDIARY</w:t>
            </w:r>
          </w:p>
        </w:tc>
        <w:tc>
          <w:tcPr>
            <w:tcW w:w="440" w:type="dxa"/>
            <w:vAlign w:val="bottom"/>
          </w:tcPr>
          <w:p>
            <w:pPr>
              <w:spacing w:after="0"/>
              <w:rPr>
                <w:sz w:val="24"/>
                <w:szCs w:val="24"/>
                <w:color w:val="auto"/>
              </w:rPr>
            </w:pPr>
          </w:p>
        </w:tc>
        <w:tc>
          <w:tcPr>
            <w:tcW w:w="7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NON-</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GUARANTORS</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Equity income ...........................................</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w:t>
            </w: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change in certain components of working capital......</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(155.3)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(271.4)</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 and other adjustments.....................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operating activities.......................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(132.7)</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in acquired businesses ......................</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40" w:type="dxa"/>
            <w:vAlign w:val="bottom"/>
          </w:tcPr>
          <w:p>
            <w:pPr>
              <w:spacing w:after="0"/>
              <w:rPr>
                <w:sz w:val="14"/>
                <w:szCs w:val="14"/>
                <w:color w:val="auto"/>
              </w:rPr>
            </w:pPr>
          </w:p>
        </w:tc>
        <w:tc>
          <w:tcPr>
            <w:tcW w:w="11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borrowings under revolving and bank</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lines of credit.......................................</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248.4</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to preferred shareholders.......................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 of treasury shares............................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155.4</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w:t>
            </w:r>
          </w:p>
        </w:tc>
        <w:tc>
          <w:tcPr>
            <w:tcW w:w="5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4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w:t>
            </w:r>
          </w:p>
        </w:tc>
        <w:tc>
          <w:tcPr>
            <w:tcW w:w="4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w:t>
            </w:r>
          </w:p>
        </w:tc>
        <w:tc>
          <w:tcPr>
            <w:tcW w:w="34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4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80"/>
          </w:cols>
          <w:pgMar w:left="220" w:top="281" w:right="29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 OF APRIL 1, 2000 (IN MILLIONS)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AND RESTATED)</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SUBSIDIARY</w:t>
            </w:r>
          </w:p>
        </w:tc>
        <w:tc>
          <w:tcPr>
            <w:tcW w:w="26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GUARANTORS</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32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122.8</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648.0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212.8</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271.2</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264.7</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affiliates....................................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807.4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assets.........................................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$1,939.2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(1,128.0)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2,269.9</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93.7</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287.6</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432.7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702.2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310.8</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1,014.7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1,483.8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1,828.8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489.1</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 stated value per share.........................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(258.5)</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3.4 shares at cost....................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(85.1)</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other comprehensive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441.1</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(1,128.0)</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$ 2,269.9</w:t>
            </w:r>
          </w:p>
        </w:tc>
      </w:tr>
      <w:tr>
        <w:trPr>
          <w:trHeight w:val="168"/>
        </w:trPr>
        <w:tc>
          <w:tcPr>
            <w:tcW w:w="5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3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80"/>
          </w:cols>
          <w:pgMar w:left="220" w:top="281" w:right="29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FOR THE THREE MONTHS ENDED APRIL 3, 1999 (IN MILLIONS)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3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133.4</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 of sales...............................................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142.2</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268.9</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Gross commission earned from agency agreement...............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Costs associated with agency agreement......................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54.7</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5340" w:type="dxa"/>
            <w:vAlign w:val="bottom"/>
          </w:tcPr>
          <w:p>
            <w:pPr>
              <w:spacing w:after="0"/>
              <w:rPr>
                <w:sz w:val="20"/>
                <w:szCs w:val="20"/>
                <w:color w:val="auto"/>
              </w:rPr>
            </w:pPr>
            <w:r>
              <w:rPr>
                <w:rFonts w:ascii="Courier New" w:cs="Courier New" w:eastAsia="Courier New" w:hAnsi="Courier New"/>
                <w:sz w:val="15"/>
                <w:szCs w:val="15"/>
                <w:color w:val="auto"/>
              </w:rPr>
              <w:t>FOR THE SIX MONTHS ENDED APRIL 3, 1999 (IN MILLIONS)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3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NON-</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383.8</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217.7</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214.4</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sales...............................................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225.8</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Gross profit................................................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158.0</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97.3</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333.6</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Gross commission earned from agency agreement...............</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Costs associated with agency agreement......................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commission...........................................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and promotion................................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extraordinary item.....................</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on early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extinguishment of debt, net of income tax ...............</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300"/>
          </w:cols>
          <w:pgMar w:left="220" w:top="281" w:right="379" w:bottom="685" w:gutter="0" w:footer="0" w:header="0"/>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300"/>
          </w:cols>
          <w:pgMar w:left="220" w:top="281" w:right="379" w:bottom="685"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STATEMENT OF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 PERIOD ENDED APRIL 3, 1999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NON-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Adjustments to reconcile net income......................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income .........................................</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change in certain components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working capital.......................................</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(303.9)</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changes in other assets and liabilities and 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operating activities.......................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used in investing activities.......................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(367.5)</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(525.4)</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borrowings under revolving and bank</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lines of credit.......................................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379.3</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borrowings under term loans........................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265.0</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outstanding balance 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previous credit facility..............................</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Issuance of 8 5/8% Senior Subordinated Notes.............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Extinguishment of 9 7/8% Senior Subordinated Notes.......</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on Class A Convertible Preferred Stock.........</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591.7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254.3</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794.3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4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w:t>
            </w:r>
          </w:p>
        </w:tc>
        <w:tc>
          <w:tcPr>
            <w:tcW w:w="26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80"/>
          </w:cols>
          <w:pgMar w:left="220" w:top="281" w:right="29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APRIL 3, 1999 (IN MILLIONS)</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SUBSIDIARY</w:t>
            </w:r>
          </w:p>
        </w:tc>
        <w:tc>
          <w:tcPr>
            <w:tcW w:w="2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PARENT</w:t>
            </w: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GUARANTORS</w:t>
            </w: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GUARANTORS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340" w:type="dxa"/>
            <w:vAlign w:val="bottom"/>
          </w:tcPr>
          <w:p>
            <w:pPr>
              <w:spacing w:after="0"/>
              <w:rPr>
                <w:sz w:val="14"/>
                <w:szCs w:val="14"/>
                <w:color w:val="auto"/>
              </w:rPr>
            </w:pP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403.7</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181.0</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186.3</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75.9</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660.0</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292.5</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56.0</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affiliates....................................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749.7</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322.1</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1,827.5</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(1,071.8)</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2,105.9</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220.8</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650.8</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349.7</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1,003.0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31.1</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Intracompany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1,387.6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96.4</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512.3</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1,674.2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177.3</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489.1</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(546.5)</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Common shares, no par value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share, $.01 stated value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208.9</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155.0</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2.8 shares at cost.......................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439.9</w:t>
            </w:r>
          </w:p>
        </w:tc>
        <w:tc>
          <w:tcPr>
            <w:tcW w:w="1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644.1</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97.4</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431.7</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 and shareholders' equity..................</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1,827.5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(1,071.8)</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$ 2,105.9</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40"/>
          </w:cols>
          <w:pgMar w:left="220" w:top="281" w:right="13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ITEM 2. MANAGEMENT'S DISCUSSION AND ANALYSIS OF</w:t>
      </w:r>
    </w:p>
    <w:p>
      <w:pPr>
        <w:ind w:left="1500"/>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ind w:left="280"/>
        <w:spacing w:after="0" w:line="238" w:lineRule="auto"/>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 through the retail distribution channels. During the first six months of fiscal 2000, we spent $121.9 million on advertising and promotional activities, which is a significant increase over fiscal 1999 spending levels. We have applied this consumer marketing focus over the past several years, and we believe that Scotts continues to receive a significant return on these increased marketing expenditures. For example, sales in our Consumer Lawns business group increased 16.7% for the first six months of fiscal 2000 compared to the same period in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products.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in support of the Ortho(R) brand.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Over the past few years, we have made several other acquisitions to strengthen our global market position in the lawn and garden category. In October 1998, we purchased Rhone-Poulenc Jardin, a leading European lawn and garden business, for approximately $147.0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sets forth sales by business segment for the three and six months ended April 1, 2000 and April 3,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For the Three Months Ended</w:t>
            </w:r>
          </w:p>
        </w:tc>
        <w:tc>
          <w:tcPr>
            <w:tcW w:w="14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For the Six Months Ended</w:t>
            </w:r>
          </w:p>
        </w:tc>
      </w:tr>
      <w:tr>
        <w:trPr>
          <w:trHeight w:val="168"/>
        </w:trPr>
        <w:tc>
          <w:tcPr>
            <w:tcW w:w="29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April 3,</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April 1,</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1999</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6"/>
              </w:rPr>
              <w:t>North American Consumer:</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Lawns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330.5</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283.2</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Gardens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61.3</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74.5</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Growing Media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79.3</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118.2</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99.4</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Ortho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63.8</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102.6</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Canada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548.7</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458.9</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650.3</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531.7</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Professional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65.2</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International ..................</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130.5</w:t>
            </w:r>
          </w:p>
        </w:tc>
        <w:tc>
          <w:tcPr>
            <w:tcW w:w="2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131.7</w:t>
            </w:r>
          </w:p>
        </w:tc>
        <w:tc>
          <w:tcPr>
            <w:tcW w:w="1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196.8</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210.8</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Consolidated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720.7</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912.3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815.9</w:t>
            </w:r>
          </w:p>
        </w:tc>
      </w:tr>
      <w:tr>
        <w:trPr>
          <w:trHeight w:val="168"/>
        </w:trPr>
        <w:tc>
          <w:tcPr>
            <w:tcW w:w="29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and six months ended April 1, 2000 and April 3, 1999: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4"/>
          </w:tcPr>
          <w:p>
            <w:pPr>
              <w:ind w:left="4560"/>
              <w:spacing w:after="0"/>
              <w:rPr>
                <w:sz w:val="20"/>
                <w:szCs w:val="20"/>
                <w:color w:val="auto"/>
              </w:rPr>
            </w:pPr>
            <w:r>
              <w:rPr>
                <w:rFonts w:ascii="Courier New" w:cs="Courier New" w:eastAsia="Courier New" w:hAnsi="Courier New"/>
                <w:sz w:val="15"/>
                <w:szCs w:val="15"/>
                <w:color w:val="auto"/>
              </w:rPr>
              <w:t>For the Three Months Ended</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For the Six Months Ended</w:t>
            </w:r>
          </w:p>
        </w:tc>
      </w:tr>
      <w:tr>
        <w:trPr>
          <w:trHeight w:val="168"/>
        </w:trPr>
        <w:tc>
          <w:tcPr>
            <w:tcW w:w="5700" w:type="dxa"/>
            <w:vAlign w:val="bottom"/>
            <w:gridSpan w:val="2"/>
          </w:tcPr>
          <w:p>
            <w:pPr>
              <w:ind w:left="4560"/>
              <w:spacing w:after="0"/>
              <w:rPr>
                <w:sz w:val="20"/>
                <w:szCs w:val="20"/>
                <w:color w:val="auto"/>
              </w:rPr>
            </w:pPr>
            <w:r>
              <w:rPr>
                <w:rFonts w:ascii="Courier New" w:cs="Courier New" w:eastAsia="Courier New" w:hAnsi="Courier New"/>
                <w:sz w:val="10"/>
                <w:szCs w:val="10"/>
                <w:color w:val="auto"/>
                <w:w w:val="71"/>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80" w:type="dxa"/>
            <w:vAlign w:val="bottom"/>
          </w:tcPr>
          <w:p>
            <w:pPr>
              <w:spacing w:after="0"/>
              <w:rPr>
                <w:sz w:val="14"/>
                <w:szCs w:val="14"/>
                <w:color w:val="auto"/>
              </w:rPr>
            </w:pP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April 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April 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April 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April 3,</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6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expenses under agency agreement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04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commission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Advertising and promotion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extraordinary item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net of tax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to preferred shareholders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available to common shareholders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THREE MONTHS ENDED APRIL 1, 2000 VERSUS THREE MONTHS ENDED APRIL</w:t>
            </w: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3, 1999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rPr>
              <w:t>Sales for the second quarter ended April 1, 2000 were $720.7 million, an</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increase of 14.1% over the second quarter ended April 3, 1999 of</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$631.5 million.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On a pro forma basis, assuming that the Ortho acquisition had occurred 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October 1, 1998, sales for the second quarter of fiscal 2000 were 11.8% higher</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than pro forma sales for the second quarter of fiscal 1999 of $644.6 million.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increase in pro forma sales was driven primarily by increases in sales in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North American Consumer segment.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North American Consumer segment sales were $548.7 million in the second quarter of fiscal 2000, an increase of $89.8 million, or 19.6%, over sales for the second quarter of fiscal 1999 of $458.9 million. Sales in the Consumer Lawns business group within this segment increased $38.5 million, or 15.8%, from fiscal 1999 to fiscal 2000, primarily due to continuing category growth being driven by successful pull marketing strategies. Sales in the Consumer Gardens business group increased $8.2 million, or 13.4%, from the second quarter of fiscal 1999 to fiscal 2000, primarily due to strong volume in the specialty fertilizers and feeders product lines, as well as the introduction of new products such as Weed Prevent(R) introduced in fiscal 2000. Sales in the Consumer Growing Media business group increased $19.1 million, or 24.1%, from the second quarter of fiscal 1999, primarily due to increased demand for value-added products such as Miracle-Gro Potting Soils(R). On a proforma basis, sales in the Ortho business group increased 9.8% from the second quarter of fiscal 1999, reflecting improved volume at certain large retailers and increased investment in media advertising. Selling price changes did not have a material impact in the North American Consumer segment in the second quarter of fiscal 2000.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Professional segment sales of $41.5 million in the second quarter of fiscal 2000 were slightly higher than the second quarter of fiscal 1999 sales of $40.9 million. The slight increase is due to improvement in sales of Horticulture products within this segment, offset by a decrease in sales for the Professional Turf group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w:t>
      </w:r>
    </w:p>
    <w:p>
      <w:pPr>
        <w:sectPr>
          <w:pgSz w:w="11900" w:h="16838" w:orient="portrait"/>
          <w:cols w:equalWidth="0" w:num="1">
            <w:col w:w="10239"/>
          </w:cols>
          <w:pgMar w:left="220" w:top="281" w:right="1440" w:bottom="1021"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021"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International segment sales of $130.5 million in the second quarter of fiscal</w:t>
      </w:r>
    </w:p>
    <w:p>
      <w:pPr>
        <w:spacing w:after="0" w:line="238" w:lineRule="auto"/>
        <w:rPr>
          <w:sz w:val="20"/>
          <w:szCs w:val="20"/>
          <w:color w:val="auto"/>
        </w:rPr>
      </w:pPr>
      <w:r>
        <w:rPr>
          <w:rFonts w:ascii="Courier New" w:cs="Courier New" w:eastAsia="Courier New" w:hAnsi="Courier New"/>
          <w:sz w:val="15"/>
          <w:szCs w:val="15"/>
          <w:color w:val="auto"/>
        </w:rPr>
        <w:t>2000 were slightly lower than sales for the second quarter of fiscal 1999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$131.7 million. Excluding a $10.9 million adverse impact of changes in exchange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sales for the International segment increased 7.4% compared to the prior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period. The increase is primarily due to improved results in the segment's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continental European consumer businesses, driven by increased consumer marketing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spending.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Gross profit increased to $313.1 million in the second quarter of fiscal 2000, an increase of 16.4% over fiscal 1999 gross profit of $268.9 million. As a percentage of sales, gross profit was 43.4% of sales for fiscal 2000 compared to 42.6% of sales for the second quarter of fiscal 1999. This increase in profitability on sales was driven by a successful shift to direct distribution, higher production levels and improved efficiencies in the Company's production plants, and a shift in sales mix toward higher margin products, particularly within the Consumer Lawns and Consumer Growing Media business groups.</w:t>
      </w:r>
    </w:p>
    <w:p>
      <w:pPr>
        <w:spacing w:after="0" w:line="33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"commission earned from agency agreement" in the second quarter of fiscal 2000 represents gross commission of $9.0 million, compared to $12.6 million in the second quarter of fiscal 1999. In the prior year, we recorded commission based on our estimated pro-rata share of Roundup(R) EBIT for the second quarter. In fiscal 2000, in accordance with revenue recognition guidance recently put forward by the SEC, we did not record commission under the Roundup(R) agency agreement until minimum EBIT thresholds as required by the agreement were achieved. We do not expect that this policy will have any effect on the recognition of commission on a full-year basis. Contribution costs of $2.1 million recorded in the second quarter of fiscal 2000 represent amortization of $0.8 million related to amortization of the marketing fee paid to Monsanto and $1.3 million related to the fiscal 2000 contribution payment due to Monsanto as required by the marketing agreement.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restated our financial statements as of and for the three months ended April 1, 2000. In connection with the Agency and Marketing Agreement with Monsanto for consumer Roundup products, we were required to pay a marketing fee of $32 million. The earnings originally reported for the three months ended April 1, 2000 reflected amortization of the marketing fee over a period of 20 years. However, we believe that it is unlikely that this agreement will continue beyond ten years. Accordingly, the financial statements as of and for the three months ended April 1, 2000 have been restated to correct for the error in the amortization period and now reflect amortization of the marketing fee over a period of ten years. A more detailed discussion of the restatement and the Roundup agreement is presented in Notes 2 and 3 to the quarterly financial statements.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Advertising and promotion expenses for the second quarter of fiscal 2000 were $98.2 million, an increase of $12.2 million, or 14.2% over fiscal 1999 advertising and promotion expenses of $86.0 million. This increase was primarily due to support of the increase in sales within the North American Consumer segment and investments in advertising and promotion to drive future sales growth in the International segment.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second quarter of fiscal 2000 were $84.4 million, an increase of $11.9 million, or 16.4% over similar expenses in the second quarter of fiscal 1999 of $72.5 million. As a percentage of sales, selling, general and administrative expenses were 11.7% for the second quarter of fiscal 2000 compared to 11.5% for fiscal 1999. The increase in selling, general and administrative expenses was primarily related to increased infrastructure expenses within the North American Consumer segment and increased legal costs associated with the legal proceedings described in Note 10 to the condensed consolidated financial statements.</w:t>
      </w:r>
    </w:p>
    <w:p>
      <w:pPr>
        <w:spacing w:after="0" w:line="33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$7.4 million in the second quarter of fiscal 2000, compared to $4.9 million in the prior year, due to additional goodwill and other intangibles resulting from revised estimates of the excess purchase price for the Ortho acquisition.</w:t>
      </w:r>
    </w:p>
    <w:p>
      <w:pPr>
        <w:spacing w:after="0" w:line="34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income for the second quarter of fiscal 2000 was $2.5 million compared to other expense of $0.4 million in the prior year. The improvement in income was primarily due to increases in royalty income compared to the prior year stemming from additional royalty arrangements in fiscal 2000.</w:t>
      </w:r>
    </w:p>
    <w:p>
      <w:pPr>
        <w:spacing w:after="0" w:line="34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Income from operations for the second quarter of fiscal 2000 was $132.5 million compared to $117.3 million for the second quarter of fiscal 1999. The increase was primarily due to the favorable sales and margin factors described above, partially offset by a reduction in Roundup(R) commission as discussed above.</w:t>
      </w:r>
    </w:p>
    <w:p>
      <w:pPr>
        <w:spacing w:after="0" w:line="33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for the second quarter of fiscal 2000 was $25.9 million, an increase of $1.3 million over fiscal 1999 interest expense of $24.6 million. The slight increase in interest expense was due to increased borrowings to fund the Ortho acquisition offset by reductions in working capital, and an increase in average borrowing rates under our credit facility.</w:t>
      </w:r>
    </w:p>
    <w:p>
      <w:pPr>
        <w:sectPr>
          <w:pgSz w:w="11900" w:h="16838" w:orient="portrait"/>
          <w:cols w:equalWidth="0" w:num="1">
            <w:col w:w="10239"/>
          </w:cols>
          <w:pgMar w:left="220" w:top="281" w:right="1440" w:bottom="853"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853"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Income tax expense was $43.2 million for fiscal 2000 compared to a $38.0 million in the prior year due to increases in income recognized in the second quarter of fiscal 2000. The Company's effective tax rate did not change significantly from fiscal 2000 to fiscal 1999.</w:t>
      </w:r>
    </w:p>
    <w:p>
      <w:pPr>
        <w:spacing w:after="0" w:line="344"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In conjunction with the Ortho acquisition, in January 1999 Scotts completed an offering of $330 million of 8 5/8% Senior Subordinated Notes due 2009. The net proceeds from this offering, together with borrowings under our bank facility, were used to fund the Ortho acquisition and repurchase approximately 97% of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33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Scotts reported net income of $63.4 million for the second quarter of fiscal 2000 (as restated), or $2.15 per common share on a diluted basis, compared to net income of $49.3 million for fiscal 1999, or $1.81 per common share on a diluted basis before the impact of extraordinary items.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1, 2000 VERSUS SIX MONTHS ENDED APRIL 3,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for the six months ended April 1, 2000 were $912.3 million, an increase of 11.8% over the six months ended April 3, 1999 of $815.9 million. On a pro forma basis, assuming that the Ortho acquisition had occurred on October 1, 1998, sales for the six months of fiscal 2000 were 7.5% higher than pro forma sales for the six months of fiscal 1999 of $848.9 million. The increase in pro forma sales was driven primarily by increases in sales in the North American Consumer segment, partially offset by decreases in the Professional and International segments as discussed below.</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North American Consumer segment sales were $650.3 million for the six months of fiscal 2000, an increase of $118.6 million, or 22.3%, over sales for the six months of fiscal 1999 of $531.7 million. Sales in the Consumer Lawns business group within this segment increased $47.3 million, or 16.7%, from fiscal 1999 to fiscal 2000, primarily due to continuing category growth being driven by successful pull marketing strategies. Sales in the Consumer Gardens business group increased $9.2 million, or 12.4%, from the six months of fiscal 1999 to fiscal 2000, primarily due to strong volume in the specialty fertilizers and feeders product lines, as well as the introduction of new products such as Weed Prevent(R) introduced in fiscal 2000. Sales in the Consumer Growing Media business group increased $18.8 million, or 18.9%, from the six months of fiscal 1999, primarily due to increased demand for value-added products such as Miracle-Gro Potting Soils(R). On a proforma basis, sales in the Ortho business group increased 6.0% from the six months of fiscal 1999, reflecting improved volume at certain large retailers and increased investment in media advertising. Selling price changes did not have a material impact in the North American Consumer segment in the six months of fiscal 2000.</w:t>
      </w:r>
    </w:p>
    <w:p>
      <w:pPr>
        <w:spacing w:after="0" w:line="33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Professional segment sales of $65.2 million in the six months of fiscal 2000 were $8.2 million lower than the six months of fiscal 1999 sales of $73.4 million. The decrease in sales for the Professional segment was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 Sales of horticulture products within this segment were slightly improved in comparison to the prior year period.</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International segment sales of $196.8 million in the six months of fiscal 2000 were $14.0 million lower than sales for the six months of fiscal 1999 of $210.8 million. Excluding a $17.0 million adverse impact of changes in exchange rates, sales for the International segment increased slightly compared to the prior year period. The slight increase is primarily due to improved results in the segment's continental European consumer businesses, partially offset by decreases in the segment's U.K. consumer business. The results for the consumer U.K. business reflect a change in distribution methods that shift certain sales from the first and second quarters to the second and third quarters.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Gross profit increased to $387.0 million in the six months of fiscal 2000, an increase of 16.0% over fiscal 1999 gross profit of $333.6 million. As a percentage of sales, gross profit was 42.4% of sales for fiscal 2000 compared to 40.9% of sales for the six months of fiscal 1999. This increase in profitability on sales was driven by a successful shift to direct distribution, higher production levels and improved efficiencies in the Company's production plants, and a shift in sales mix toward higher margin products, particularly within the Consumer Lawns and Consumer Growing Media business groups.</w:t>
      </w:r>
    </w:p>
    <w:p>
      <w:pPr>
        <w:spacing w:after="0" w:line="33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"commission earned from agency agreement" in the six months of fiscal 2000 represents gross commission of $9.2 million, compared to $17.6 million in the six months of fiscal 1999. In the prior year, we recorded commission based on our estimated pro-rata share of Roundup(R) EBIT for the six months. In fiscal 2000, in accordance with revenue recognition guidance recently put forward by the SEC, we did not record commission under the Roundup(R) agency agreement until minimum EBIT thresholds as required by the agreement were achieved. The decrease in commission is primarily due to a reduction in trade inventory levels as compared to the prior year. We do not expect that this policy will have any effect on the recognition of commission on a full-year basis. Costs associated with the agency agreement of $5.7 million recorded in the six months of fiscal 2000 represent amortization of $3.2 million related to amortization of the marketing fee paid to Monsanto and $2.5 million related to the fiscal 2000 contribution payment due to Monsanto as required by the marketing agreement.</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restated our financial statements as of and for the six months ended April 1, 2000. In connection with the Agency and Marketing Agreement with Monsanto for consumer Roundup products, we were required to pay a marketing fee of $32 million. The earnings originally reported for the six months ended April 1, 2000 reflected amortization of the marketing fee over a period of 20 years. However, we believe that it is unlikely that this agreement will continue beyond ten years. Accordingly, the financial statements as of and for the six months ended April 1, 2000 have been restated to correct for the error in the amortization period and now reflect amortization of the marketing fee over a period of ten years. A more detailed discussion of the restatement and the Roundup agreement is presented in Notes 2 and 3 to the quarterly financial statements.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Advertising and promotion expenses for the six months of fiscal 2000 were $121.9 million, an increase of $19.2 million, or 18.7%, over fiscal 1999 advertising and promotion expenses of $102.7 million. This increase was primarily due to advertising and promotion expenses for the Ortho business, support of the increase in sales within the North American Consumer segment and investments in advertising and promotion to drive future sales growth in the International segment.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in the six months of fiscal 2000 were $153.1 million, an increase of $26.7 million, or 21.1%, over similar expenses in the six months of fiscal 1999 of $126.4 million. As a percentage of sales, selling, general and administrative expenses were 16.7% for the six months of fiscal 2000 compared to 15.5% for fiscal 1999. The increase in selling, general and administrative expenses was primarily related to additional selling and administrative costs needed to support the increased sales levels in the Consumer Lawns business group, infrastructure expenses within the International segment, and selling, general and administrative expenses for the Ortho business group which were not incurred in the first quarter of fiscal 1999 due to the timing of the acquisition in January 1999.</w:t>
      </w:r>
    </w:p>
    <w:p>
      <w:pPr>
        <w:spacing w:after="0" w:line="34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Amortization of goodwill and other intangibles increased to $13.0 million in the six months of fiscal 2000, compared to $9.4 million in the prior year, due to additional intangibles resulting from the Ortho acquisition.</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Restructuring and other charges were $1.4 million in the six months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substantially all payments have been made.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income for the six months of fiscal 2000 was $1.9 million compared to other expense of $0.3 million in the prior year. The increase in income was primarily due to increases in royalty income compared to the prior year stemming from additional royalty arrangements in fiscal 2000.</w:t>
      </w:r>
    </w:p>
    <w:p>
      <w:pPr>
        <w:spacing w:after="0" w:line="34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Income from operations for the six months of fiscal 2000 was $104.4 million compared to $110.2 million for the six months of fiscal 1999. The decrease was primarily due to a reduction in Roundup(R) commission as discussed above, partially offset by the improved sales and margins described above.</w:t>
      </w:r>
    </w:p>
    <w:p>
      <w:pPr>
        <w:spacing w:after="0" w:line="34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Interest expense for the six months of fiscal 2000 was $49.6 million, an increase of $15.2 million over fiscal 1999 interest expense of $34.4 million. The increase in interest expense was due to increased borrowings to fund the Ortho acquisition and an increase in average borrowing rates under our credit facility, partially offset by reduced working capital requirements.</w:t>
      </w:r>
    </w:p>
    <w:p>
      <w:pPr>
        <w:spacing w:after="0" w:line="33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Income tax expense was $22.2 million for fiscal 2000 compared to a $31.1 million in the prior year due to reduced income recognized in the six months of fiscal 2000. The Company's effective tax rate did not change significantly from fiscal 2000 to fiscal 1999.</w:t>
      </w:r>
    </w:p>
    <w:p>
      <w:pPr>
        <w:sectPr>
          <w:pgSz w:w="11900" w:h="16838" w:orient="portrait"/>
          <w:cols w:equalWidth="0" w:num="1">
            <w:col w:w="10239"/>
          </w:cols>
          <w:pgMar w:left="220" w:top="281" w:right="1440" w:bottom="0" w:gutter="0" w:footer="0" w:header="0"/>
        </w:sectPr>
      </w:pPr>
    </w:p>
    <w:bookmarkStart w:id="31" w:name="page32"/>
    <w:bookmarkEnd w:id="31"/>
    <w:p>
      <w:pPr>
        <w:ind w:left="22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303"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34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reported net income of $32.6 million for the six months of fiscal 2000 (as restated), or $0.88 per common share on a diluted basis, compared to net income of $38.9 million for fiscal 1999, or $1.48 per common share on a diluted basis before the impact of extraordinary items. The diluted earnings per share for the six months of fiscal 2000 is net of a one-time reduction of $0.21 per share resulting from the early conversion of preferred stock in October 1999.</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used in operating activities totaled $214.3 million for the six months ended April 1, 2000 compared to a use of $260.1 million for the six months ended April 3,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used in operating activities for the six months of fiscal 2000 compared to the prior year is attributable to a significant decrease in the amount of working capital used during the period as well as the payment of Roundup(R) marketing fees made in the first quarter of fiscal 1999.</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used in investing activities was $19.1 million for the six months of fiscal 2000 compared to $525.4 million in the prior year. In the first quarter of fiscal 1999, we purchased the Rhone-Poulenc Jardin and Asef businesses for approximately $170 million (excluding consideration for rights acquired under an access rights agreement with Rhone-Poulenc Jardin). In the second quarter of fiscal 1999, we purchased from Monsanto the assets of its worldwide consumer lawn and garden businesses, exclusive of the Roundup(R) business, for $300 million plus an amount for normalized working capital. Additionally, capital investments decreased by $6.5 million to $20.1 million in the six months of fiscal 2000 compared to $26.6 million in the six months of fiscal 1999.</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Financing activities generated cash of $234.4 million for the six months ended April 1, 2000 compared to $794.3 million in the prior year. In the first quarter of fiscal 1999, Scotts borrowed funds under its credit facility in order to purchase the Rhne-Poulenc Jardin and Asef businesses, to pay marketing fees associated with the Roundup(R) agency agreement, to pay financing fees associated with the new credit facility and to settle the then outstanding interest rate locks (as described below). In the second quarter of fiscal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9 7/8% Senior Subordinated Notes due August 2004.</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Total debt was $1,197.9 million as of April 1, 2000, an increase of $247.9 million compared with debt at September 30, 1999 and a decrease of $19.0 compared with debt levels at April 3, 1999. The decrease in debt compared to April 3, 1999 was primarily due to the reduction in working capital levels as described above.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1998, our Board of Directors authorized the repurchase of up to $100 million of our common shares on the open market or in privately negotiated transactions on or prior to September 30, 2001. As of April 1, 2000, 1,106,295 common shares (or $40.6 million) have been repurchased under this repurchase program limit. The timing and amount of any purchases under the repurchase program will be at our discretion and will depend upon market conditions and our operating performance and liquidity.</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was in violation of the minimum net worth covenant measured as of January 1, 2000. The violation was reported to the administrative agent on February 11, 2000, as required by the credit facility. On February 15, 2000, the Company obtained a waiver of this covenant violation from its bank group for the first quarter violation only. The Company was in compliance with all its debt covenants as of April 1, 2000.</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and six months ended April 1, 2000 and in the 1999 Annual Report on Form 10-K under "ITEM 1. BUSINESS</w:t>
      </w:r>
    </w:p>
    <w:p>
      <w:pPr>
        <w:spacing w:after="0" w:line="6" w:lineRule="exact"/>
        <w:rPr>
          <w:sz w:val="20"/>
          <w:szCs w:val="20"/>
          <w:color w:val="auto"/>
        </w:rPr>
      </w:pPr>
    </w:p>
    <w:p>
      <w:pPr>
        <w:ind w:right="3139" w:firstLine="10"/>
        <w:spacing w:after="0" w:line="234" w:lineRule="auto"/>
        <w:tabs>
          <w:tab w:leader="none" w:pos="1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ENVIRONMENTAL AND REGULATORY CONSIDERATIONS" and "ITEM 3. LEGAL PROCEEDINGS" sections.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YEAR 2000 READINESS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order to address issues surrounding the potential inability of our computer software applications and other business systems to properly identify the Year 2000, we established a readiness program to assess the extent and impact of potential business interruptions and other risks. The readiness program included a review of all significant information technology systems within the Company, as well as significant non-information technology business systems including machinery and equipment operating control systems, telecommunications systems, building air management systems, security and fire control systems and electrical and natural gas systems. Remediation, upgrade or replacement of the affected systems was made as necessary.</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readiness program also included evaluation of the year 2000 readiness of significant third-party suppliers through confirmation and follow-up procedures, including selected site assessments, where necessary.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Excluding the cost of internally dedicated resources, we incurred approximately $5.5 million to address potential year 2000 risks. These costs, with the exception of relatively small capital expenditures, were expensed as incurred and were funded through operating cash flows or from borrowings under our credit facility. We do not expect to incur any significant additional costs related to the year 2000 issue.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Through April 2000, we have not experienced any significant issues related to the ability of our information technology and business systems to recognize the year 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approximately $65 million, of which we expect 75% will be capitalized and depreciated over a period of four to eight years. SAP has been selected as the primary software provider for this project.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March 29, 2000, the Company signed a definitive agreement to sell its North American Professional Turf business. The Company expects the transaction to close in the third quarter of fiscal 2000. The Company will retain the professional horticulture and grass seed segments of its Professional Business Segment.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Results for the first six months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78" w:lineRule="exact"/>
        <w:rPr>
          <w:sz w:val="20"/>
          <w:szCs w:val="20"/>
          <w:color w:val="auto"/>
        </w:rPr>
      </w:pPr>
    </w:p>
    <w:p>
      <w:pPr>
        <w:ind w:left="880" w:right="3239"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77"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3"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world leadership in operations, leveraging technology and know-how to deliver outstanding customer service and quality.</w:t>
      </w:r>
    </w:p>
    <w:p>
      <w:pPr>
        <w:spacing w:after="0" w:line="160" w:lineRule="exact"/>
        <w:rPr>
          <w:sz w:val="20"/>
          <w:szCs w:val="20"/>
          <w:color w:val="auto"/>
        </w:rPr>
      </w:pPr>
    </w:p>
    <w:p>
      <w:pPr>
        <w:ind w:left="440" w:right="4019"/>
        <w:spacing w:after="0" w:line="261" w:lineRule="auto"/>
        <w:rPr>
          <w:sz w:val="20"/>
          <w:szCs w:val="20"/>
          <w:color w:val="auto"/>
        </w:rPr>
      </w:pPr>
      <w:r>
        <w:rPr>
          <w:rFonts w:ascii="Courier New" w:cs="Courier New" w:eastAsia="Courier New" w:hAnsi="Courier New"/>
          <w:sz w:val="14"/>
          <w:szCs w:val="14"/>
          <w:color w:val="auto"/>
        </w:rPr>
        <w:t>As part of our ongoing strategic plans, management has established challenging, but realistic, financial goals, including:</w:t>
      </w:r>
    </w:p>
    <w:p>
      <w:pPr>
        <w:spacing w:after="0" w:line="153"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10% per year;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1/2 to 1% per year;</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compounded annual earnings per share growth of 15% to 20%; and</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 of 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880" w:right="383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OUR FINANCIAL RESULTS.</w:t>
      </w:r>
    </w:p>
    <w:p>
      <w:pPr>
        <w:spacing w:after="0" w:line="17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MAKE INTEREST PAYMENTS ON INDEBTEDNESS.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64"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66"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SUBSTANTIAL INDEBTEDNESS COULD ADVERSELY AFFECT OUR FINANCIAL HEALTH AND PREVENT US FROM FULFILLING OUR OBLIGATIONS.</w:t>
      </w:r>
    </w:p>
    <w:p>
      <w:pPr>
        <w:spacing w:after="0" w:line="1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Our substantial indebtedness could:</w:t>
      </w:r>
    </w:p>
    <w:p>
      <w:pPr>
        <w:spacing w:after="0" w:line="166" w:lineRule="exact"/>
        <w:rPr>
          <w:sz w:val="20"/>
          <w:szCs w:val="20"/>
          <w:color w:val="auto"/>
        </w:rPr>
      </w:pPr>
    </w:p>
    <w:p>
      <w:pPr>
        <w:ind w:left="1760" w:hanging="438"/>
        <w:spacing w:after="0"/>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2" w:lineRule="exact"/>
        <w:rPr>
          <w:rFonts w:ascii="Courier New" w:cs="Courier New" w:eastAsia="Courier New" w:hAnsi="Courier New"/>
          <w:sz w:val="15"/>
          <w:szCs w:val="15"/>
          <w:color w:val="auto"/>
        </w:rPr>
      </w:pPr>
    </w:p>
    <w:p>
      <w:pPr>
        <w:ind w:left="1760" w:right="3399" w:hanging="438"/>
        <w:spacing w:after="0" w:line="234"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1760" w:right="3499" w:hanging="438"/>
        <w:spacing w:after="0" w:line="235"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3"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1760" w:right="3759" w:hanging="438"/>
        <w:spacing w:after="0" w:line="235"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1760" w:right="3759" w:hanging="438"/>
        <w:spacing w:after="0" w:line="234" w:lineRule="auto"/>
        <w:tabs>
          <w:tab w:leader="none" w:pos="17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ind w:left="1480" w:hanging="438"/>
        <w:spacing w:after="0"/>
        <w:tabs>
          <w:tab w:leader="none" w:pos="14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3" w:lineRule="exact"/>
        <w:rPr>
          <w:sz w:val="20"/>
          <w:szCs w:val="20"/>
          <w:color w:val="auto"/>
        </w:rPr>
      </w:pPr>
    </w:p>
    <w:p>
      <w:pPr>
        <w:ind w:left="1040" w:right="3239"/>
        <w:spacing w:after="0" w:line="256" w:lineRule="auto"/>
        <w:rPr>
          <w:sz w:val="20"/>
          <w:szCs w:val="20"/>
          <w:color w:val="auto"/>
        </w:rPr>
      </w:pPr>
      <w:r>
        <w:rPr>
          <w:rFonts w:ascii="Courier New" w:cs="Courier New" w:eastAsia="Courier New" w:hAnsi="Courier New"/>
          <w:sz w:val="14"/>
          <w:szCs w:val="14"/>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63" w:lineRule="exact"/>
        <w:rPr>
          <w:sz w:val="20"/>
          <w:szCs w:val="20"/>
          <w:color w:val="auto"/>
        </w:rPr>
      </w:pPr>
    </w:p>
    <w:p>
      <w:pPr>
        <w:ind w:left="1040" w:right="3239" w:hanging="873"/>
        <w:spacing w:after="0" w:line="234"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173" w:lineRule="exact"/>
        <w:rPr>
          <w:rFonts w:ascii="Courier New" w:cs="Courier New" w:eastAsia="Courier New" w:hAnsi="Courier New"/>
          <w:sz w:val="15"/>
          <w:szCs w:val="15"/>
          <w:color w:val="auto"/>
        </w:rPr>
      </w:pPr>
    </w:p>
    <w:p>
      <w:pPr>
        <w:ind w:left="10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74" w:lineRule="exact"/>
        <w:rPr>
          <w:rFonts w:ascii="Courier New" w:cs="Courier New" w:eastAsia="Courier New" w:hAnsi="Courier New"/>
          <w:sz w:val="15"/>
          <w:szCs w:val="15"/>
          <w:color w:val="auto"/>
        </w:rPr>
      </w:pPr>
    </w:p>
    <w:p>
      <w:pPr>
        <w:ind w:left="1040" w:right="3499" w:hanging="873"/>
        <w:spacing w:after="0" w:line="234"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173"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332" w:lineRule="exact"/>
        <w:rPr>
          <w:rFonts w:ascii="Courier New" w:cs="Courier New" w:eastAsia="Courier New" w:hAnsi="Courier New"/>
          <w:sz w:val="15"/>
          <w:szCs w:val="15"/>
          <w:color w:val="auto"/>
        </w:rPr>
      </w:pPr>
    </w:p>
    <w:p>
      <w:pPr>
        <w:jc w:val="both"/>
        <w:ind w:left="1040" w:right="3499" w:hanging="873"/>
        <w:spacing w:after="0" w:line="235"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3" w:lineRule="exact"/>
        <w:rPr>
          <w:rFonts w:ascii="Courier New" w:cs="Courier New" w:eastAsia="Courier New" w:hAnsi="Courier New"/>
          <w:sz w:val="15"/>
          <w:szCs w:val="15"/>
          <w:color w:val="auto"/>
        </w:rPr>
      </w:pPr>
    </w:p>
    <w:p>
      <w:pPr>
        <w:ind w:left="10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3" w:lineRule="exact"/>
        <w:rPr>
          <w:rFonts w:ascii="Courier New" w:cs="Courier New" w:eastAsia="Courier New" w:hAnsi="Courier New"/>
          <w:sz w:val="15"/>
          <w:szCs w:val="15"/>
          <w:color w:val="auto"/>
        </w:rPr>
      </w:pPr>
    </w:p>
    <w:p>
      <w:pPr>
        <w:ind w:left="1040" w:right="3319" w:hanging="873"/>
        <w:spacing w:after="0" w:line="235" w:lineRule="auto"/>
        <w:tabs>
          <w:tab w:leader="none" w:pos="10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4" w:lineRule="exact"/>
        <w:rPr>
          <w:sz w:val="20"/>
          <w:szCs w:val="20"/>
          <w:color w:val="auto"/>
        </w:rPr>
      </w:pPr>
    </w:p>
    <w:p>
      <w:pPr>
        <w:jc w:val="both"/>
        <w:ind w:left="1040" w:right="3839"/>
        <w:spacing w:after="0" w:line="235"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left="1040" w:right="3399"/>
        <w:spacing w:after="0" w:line="236" w:lineRule="auto"/>
        <w:rPr>
          <w:sz w:val="20"/>
          <w:szCs w:val="20"/>
          <w:color w:val="auto"/>
        </w:rPr>
      </w:pPr>
      <w:r>
        <w:rPr>
          <w:rFonts w:ascii="Courier New" w:cs="Courier New" w:eastAsia="Courier New" w:hAnsi="Courier New"/>
          <w:sz w:val="15"/>
          <w:szCs w:val="15"/>
          <w:color w:val="auto"/>
        </w:rPr>
        <w:t>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69" w:lineRule="exact"/>
        <w:rPr>
          <w:sz w:val="20"/>
          <w:szCs w:val="20"/>
          <w:color w:val="auto"/>
        </w:rPr>
      </w:pPr>
    </w:p>
    <w:p>
      <w:pPr>
        <w:ind w:left="1480" w:hanging="438"/>
        <w:spacing w:after="0"/>
        <w:tabs>
          <w:tab w:leader="none" w:pos="14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year fiscal year period; or</w:t>
      </w:r>
    </w:p>
    <w:p>
      <w:pPr>
        <w:spacing w:after="0" w:line="166"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14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74" w:lineRule="exact"/>
        <w:rPr>
          <w:rFonts w:ascii="Courier New" w:cs="Courier New" w:eastAsia="Courier New" w:hAnsi="Courier New"/>
          <w:sz w:val="15"/>
          <w:szCs w:val="15"/>
          <w:color w:val="auto"/>
        </w:rPr>
      </w:pPr>
    </w:p>
    <w:p>
      <w:pPr>
        <w:ind w:left="1040" w:right="3239" w:hanging="873"/>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3"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taxes.</w:t>
      </w:r>
    </w:p>
    <w:p>
      <w:pPr>
        <w:spacing w:after="0" w:line="165"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79" w:lineRule="exact"/>
        <w:rPr>
          <w:rFonts w:ascii="Courier New" w:cs="Courier New" w:eastAsia="Courier New" w:hAnsi="Courier New"/>
          <w:sz w:val="15"/>
          <w:szCs w:val="15"/>
          <w:color w:val="auto"/>
        </w:rPr>
      </w:pPr>
    </w:p>
    <w:p>
      <w:pPr>
        <w:ind w:left="1040" w:right="3839" w:hanging="873"/>
        <w:spacing w:after="0" w:line="234"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THE FORMER MIRACLE-GRO SHAREHOLDERS COULD CONFLICT WITH THOSE OF OUR OTHER SHAREHOLDERS.</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78" w:lineRule="exact"/>
        <w:rPr>
          <w:rFonts w:ascii="Courier New" w:cs="Courier New" w:eastAsia="Courier New" w:hAnsi="Courier New"/>
          <w:sz w:val="15"/>
          <w:szCs w:val="15"/>
          <w:color w:val="auto"/>
        </w:rPr>
      </w:pPr>
    </w:p>
    <w:p>
      <w:pPr>
        <w:ind w:left="1040" w:right="3239" w:hanging="873"/>
        <w:spacing w:after="0" w:line="234"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rFonts w:ascii="Courier New" w:cs="Courier New" w:eastAsia="Courier New" w:hAnsi="Courier New"/>
          <w:sz w:val="15"/>
          <w:szCs w:val="15"/>
          <w:color w:val="auto"/>
        </w:rPr>
      </w:pPr>
    </w:p>
    <w:p>
      <w:pPr>
        <w:ind w:left="104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U.S.</w:t>
      </w:r>
    </w:p>
    <w:p>
      <w:pPr>
        <w:spacing w:after="0" w:line="1" w:lineRule="exact"/>
        <w:rPr>
          <w:rFonts w:ascii="Courier New" w:cs="Courier New" w:eastAsia="Courier New" w:hAnsi="Courier New"/>
          <w:sz w:val="15"/>
          <w:szCs w:val="15"/>
          <w:color w:val="auto"/>
        </w:rPr>
      </w:pPr>
    </w:p>
    <w:p>
      <w:pPr>
        <w:ind w:left="10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5"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w:t>
      </w:r>
    </w:p>
    <w:p>
      <w:pPr>
        <w:sectPr>
          <w:pgSz w:w="11900" w:h="16838" w:orient="portrait"/>
          <w:cols w:equalWidth="0" w:num="1">
            <w:col w:w="9959"/>
          </w:cols>
          <w:pgMar w:left="500" w:top="281" w:right="1440" w:bottom="1440" w:gutter="0" w:footer="0" w:header="0"/>
        </w:sectPr>
      </w:pP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81"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jc w:val="both"/>
        <w:ind w:left="1040" w:right="3759"/>
        <w:spacing w:after="0" w:line="254" w:lineRule="auto"/>
        <w:rPr>
          <w:sz w:val="20"/>
          <w:szCs w:val="20"/>
          <w:color w:val="auto"/>
        </w:rPr>
      </w:pPr>
      <w:r>
        <w:rPr>
          <w:rFonts w:ascii="Courier New" w:cs="Courier New" w:eastAsia="Courier New" w:hAnsi="Courier New"/>
          <w:sz w:val="14"/>
          <w:szCs w:val="14"/>
          <w:color w:val="auto"/>
        </w:rPr>
        <w:t>which are also used on foods, will be evaluated by the U.S. Environmental Protection Agency as part of this non-dietary exposure risk assessment. It is possible that the U.S.</w:t>
      </w:r>
    </w:p>
    <w:p>
      <w:pPr>
        <w:spacing w:after="0" w:line="1" w:lineRule="exact"/>
        <w:rPr>
          <w:sz w:val="20"/>
          <w:szCs w:val="20"/>
          <w:color w:val="auto"/>
        </w:rPr>
      </w:pPr>
    </w:p>
    <w:p>
      <w:pPr>
        <w:ind w:left="1040" w:right="3399"/>
        <w:spacing w:after="0" w:line="236" w:lineRule="auto"/>
        <w:rPr>
          <w:sz w:val="20"/>
          <w:szCs w:val="20"/>
          <w:color w:val="auto"/>
        </w:rPr>
      </w:pPr>
      <w:r>
        <w:rPr>
          <w:rFonts w:ascii="Courier New" w:cs="Courier New" w:eastAsia="Courier New" w:hAnsi="Courier New"/>
          <w:sz w:val="15"/>
          <w:szCs w:val="15"/>
          <w:color w:val="auto"/>
        </w:rPr>
        <w:t>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177" w:lineRule="exact"/>
        <w:rPr>
          <w:sz w:val="20"/>
          <w:szCs w:val="20"/>
          <w:color w:val="auto"/>
        </w:rPr>
      </w:pPr>
    </w:p>
    <w:p>
      <w:pPr>
        <w:ind w:left="1040" w:right="3239"/>
        <w:spacing w:after="0" w:line="237" w:lineRule="auto"/>
        <w:rPr>
          <w:sz w:val="20"/>
          <w:szCs w:val="20"/>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4" w:lineRule="exact"/>
        <w:rPr>
          <w:sz w:val="20"/>
          <w:szCs w:val="20"/>
          <w:color w:val="auto"/>
        </w:rPr>
      </w:pPr>
    </w:p>
    <w:p>
      <w:pPr>
        <w:ind w:left="1040" w:right="3399"/>
        <w:spacing w:after="0" w:line="254"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its intended use.</w:t>
      </w:r>
    </w:p>
    <w:p>
      <w:pPr>
        <w:spacing w:after="0" w:line="1" w:lineRule="exact"/>
        <w:rPr>
          <w:sz w:val="20"/>
          <w:szCs w:val="20"/>
          <w:color w:val="auto"/>
        </w:rPr>
      </w:pPr>
    </w:p>
    <w:p>
      <w:pPr>
        <w:ind w:left="1040" w:right="3239"/>
        <w:spacing w:after="0" w:line="255" w:lineRule="auto"/>
        <w:rPr>
          <w:sz w:val="20"/>
          <w:szCs w:val="20"/>
          <w:color w:val="auto"/>
        </w:rPr>
      </w:pPr>
      <w:r>
        <w:rPr>
          <w:rFonts w:ascii="Courier New" w:cs="Courier New" w:eastAsia="Courier New" w:hAnsi="Courier New"/>
          <w:sz w:val="14"/>
          <w:szCs w:val="14"/>
          <w:color w:val="auto"/>
        </w:rPr>
        <w:t>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 impact our results of operations, financial position or cash flows.</w:t>
      </w:r>
    </w:p>
    <w:p>
      <w:pPr>
        <w:spacing w:after="0" w:line="164" w:lineRule="exact"/>
        <w:rPr>
          <w:sz w:val="20"/>
          <w:szCs w:val="20"/>
          <w:color w:val="auto"/>
        </w:rPr>
      </w:pPr>
    </w:p>
    <w:p>
      <w:pPr>
        <w:ind w:left="1040" w:right="3239"/>
        <w:spacing w:after="0" w:line="255"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63" w:lineRule="exact"/>
        <w:rPr>
          <w:sz w:val="20"/>
          <w:szCs w:val="20"/>
          <w:color w:val="auto"/>
        </w:rPr>
      </w:pPr>
    </w:p>
    <w:p>
      <w:pPr>
        <w:ind w:left="1040" w:right="3239"/>
        <w:spacing w:after="0" w:line="23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180" w:lineRule="exact"/>
        <w:rPr>
          <w:sz w:val="20"/>
          <w:szCs w:val="20"/>
          <w:color w:val="auto"/>
        </w:rPr>
      </w:pPr>
    </w:p>
    <w:p>
      <w:pPr>
        <w:ind w:left="1040" w:right="3239" w:hanging="873"/>
        <w:spacing w:after="0" w:line="258"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INABILITY, OR THE INABILITY OF OUR SUPPLIERS OR CUSTOMERS, TO RECOGNIZE AND ADDRESS ISSUES RELATED TO THE YEAR 2000 WHICH HAVE YET TO BE ENCOUNTERED, COULD ADVERSELY AFFECT OUR OPERATIONS.</w:t>
      </w:r>
    </w:p>
    <w:p>
      <w:pPr>
        <w:spacing w:after="0" w:line="161" w:lineRule="exact"/>
        <w:rPr>
          <w:rFonts w:ascii="Courier New" w:cs="Courier New" w:eastAsia="Courier New" w:hAnsi="Courier New"/>
          <w:sz w:val="14"/>
          <w:szCs w:val="14"/>
          <w:color w:val="auto"/>
        </w:rPr>
      </w:pPr>
    </w:p>
    <w:p>
      <w:pPr>
        <w:ind w:left="10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Through April 2000, we have not experienced any significant issues related to the ability of our information technology and business systems to recognize the year 2000. In addition, we have not experienced any significant supply difficulties related to our venders' year 2000 readiness. While we believe that we have taken adequate precautions against year 2000 systems issues, there can be no</w:t>
      </w:r>
    </w:p>
    <w:p>
      <w:pPr>
        <w:sectPr>
          <w:pgSz w:w="11900" w:h="16838" w:orient="portrait"/>
          <w:cols w:equalWidth="0" w:num="1">
            <w:col w:w="9959"/>
          </w:cols>
          <w:pgMar w:left="500" w:top="281" w:right="1440" w:bottom="685" w:gutter="0" w:footer="0" w:header="0"/>
        </w:sectPr>
      </w:pP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81" w:right="1440" w:bottom="685"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left="1040" w:right="3579"/>
        <w:spacing w:after="0" w:line="234" w:lineRule="auto"/>
        <w:rPr>
          <w:sz w:val="20"/>
          <w:szCs w:val="20"/>
          <w:color w:val="auto"/>
        </w:rPr>
      </w:pPr>
      <w:r>
        <w:rPr>
          <w:rFonts w:ascii="Courier New" w:cs="Courier New" w:eastAsia="Courier New" w:hAnsi="Courier New"/>
          <w:sz w:val="15"/>
          <w:szCs w:val="15"/>
          <w:color w:val="auto"/>
        </w:rPr>
        <w:t>assurance that we will not encounter business interruption or other issues related to the year 2000 in the future.</w:t>
      </w:r>
    </w:p>
    <w:p>
      <w:pPr>
        <w:spacing w:after="0" w:line="173" w:lineRule="exact"/>
        <w:rPr>
          <w:sz w:val="20"/>
          <w:szCs w:val="20"/>
          <w:color w:val="auto"/>
        </w:rPr>
      </w:pPr>
    </w:p>
    <w:p>
      <w:pPr>
        <w:ind w:left="1040" w:right="3839" w:hanging="873"/>
        <w:spacing w:after="0" w:line="261" w:lineRule="auto"/>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EURO CURRENCY IN SOME EUROPEAN COUNTRIES BETWEEN 1999 AND 2002 COULD ADVERSELY AFFECT US.</w:t>
      </w:r>
    </w:p>
    <w:p>
      <w:pPr>
        <w:spacing w:after="0" w:line="159" w:lineRule="exact"/>
        <w:rPr>
          <w:rFonts w:ascii="Courier New" w:cs="Courier New" w:eastAsia="Courier New" w:hAnsi="Courier New"/>
          <w:sz w:val="14"/>
          <w:szCs w:val="14"/>
          <w:color w:val="auto"/>
        </w:rPr>
      </w:pPr>
    </w:p>
    <w:p>
      <w:pPr>
        <w:ind w:left="10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163" w:lineRule="exact"/>
        <w:rPr>
          <w:rFonts w:ascii="Courier New" w:cs="Courier New" w:eastAsia="Courier New" w:hAnsi="Courier New"/>
          <w:sz w:val="14"/>
          <w:szCs w:val="14"/>
          <w:color w:val="auto"/>
        </w:rPr>
      </w:pPr>
    </w:p>
    <w:p>
      <w:pPr>
        <w:ind w:left="1040" w:right="3239" w:hanging="873"/>
        <w:spacing w:after="0" w:line="235" w:lineRule="auto"/>
        <w:tabs>
          <w:tab w:leader="none" w:pos="10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71"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480" w:right="357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480" w:right="393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480" w:right="3399" w:hanging="438"/>
        <w:spacing w:after="0" w:line="234" w:lineRule="auto"/>
        <w:tabs>
          <w:tab w:leader="none" w:pos="148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left="1040" w:right="3239"/>
        <w:spacing w:after="0" w:line="261" w:lineRule="auto"/>
        <w:rPr>
          <w:sz w:val="20"/>
          <w:szCs w:val="20"/>
          <w:color w:val="auto"/>
        </w:rPr>
      </w:pPr>
      <w:r>
        <w:rPr>
          <w:rFonts w:ascii="Courier New" w:cs="Courier New" w:eastAsia="Courier New" w:hAnsi="Courier New"/>
          <w:sz w:val="14"/>
          <w:szCs w:val="14"/>
          <w:color w:val="auto"/>
        </w:rPr>
        <w:t>The costs related to our international operations could adversely affect our operations and financial results in the future.</w:t>
      </w:r>
    </w:p>
    <w:p>
      <w:pPr>
        <w:spacing w:after="0" w:line="160" w:lineRule="exact"/>
        <w:rPr>
          <w:sz w:val="20"/>
          <w:szCs w:val="20"/>
          <w:color w:val="auto"/>
        </w:rPr>
      </w:pPr>
    </w:p>
    <w:p>
      <w:pPr>
        <w:ind w:left="1040" w:right="3399" w:hanging="873"/>
        <w:spacing w:after="0" w:line="234" w:lineRule="auto"/>
        <w:tabs>
          <w:tab w:leader="none" w:pos="10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COULD EXPERIENCE DIFFICULTIES WITH OUR IMPLEMENTATION OF SAP THAT COULD ADVERSELY AFFECT OUR OPERATIONS.</w:t>
      </w:r>
    </w:p>
    <w:p>
      <w:pPr>
        <w:spacing w:after="0" w:line="173" w:lineRule="exact"/>
        <w:rPr>
          <w:rFonts w:ascii="Courier New" w:cs="Courier New" w:eastAsia="Courier New" w:hAnsi="Courier New"/>
          <w:sz w:val="15"/>
          <w:szCs w:val="15"/>
          <w:color w:val="auto"/>
        </w:rPr>
      </w:pPr>
    </w:p>
    <w:p>
      <w:pPr>
        <w:ind w:left="10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implementation of SAP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40</w:t>
      </w:r>
    </w:p>
    <w:p>
      <w:pPr>
        <w:ind w:left="2380"/>
        <w:spacing w:after="0" w:line="237" w:lineRule="auto"/>
        <w:rPr>
          <w:sz w:val="20"/>
          <w:szCs w:val="20"/>
          <w:color w:val="auto"/>
        </w:rPr>
      </w:pPr>
      <w:r>
        <w:rPr>
          <w:rFonts w:ascii="Courier New" w:cs="Courier New" w:eastAsia="Courier New" w:hAnsi="Courier New"/>
          <w:sz w:val="15"/>
          <w:szCs w:val="15"/>
          <w:color w:val="auto"/>
        </w:rPr>
        <w:t>PART II - OTHER INFORMATION</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See Footnote 10 to the Condensed, Consolidated Financial Statements.</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980" w:right="3839"/>
        <w:spacing w:after="0" w:line="261" w:lineRule="auto"/>
        <w:rPr>
          <w:sz w:val="20"/>
          <w:szCs w:val="20"/>
          <w:color w:val="auto"/>
        </w:rPr>
      </w:pPr>
      <w:r>
        <w:rPr>
          <w:rFonts w:ascii="Courier New" w:cs="Courier New" w:eastAsia="Courier New" w:hAnsi="Courier New"/>
          <w:sz w:val="14"/>
          <w:szCs w:val="14"/>
          <w:color w:val="auto"/>
        </w:rPr>
        <w:t>The Annual Meeting of shareholders of the Company (the "Annual Meeting") was held in Columbus, Ohio on February 15, 2000.</w:t>
      </w:r>
    </w:p>
    <w:p>
      <w:pPr>
        <w:spacing w:after="0" w:line="160" w:lineRule="exact"/>
        <w:rPr>
          <w:sz w:val="20"/>
          <w:szCs w:val="20"/>
          <w:color w:val="auto"/>
        </w:rPr>
      </w:pPr>
    </w:p>
    <w:p>
      <w:pPr>
        <w:ind w:left="980" w:right="3239"/>
        <w:spacing w:after="0" w:line="258" w:lineRule="auto"/>
        <w:rPr>
          <w:sz w:val="20"/>
          <w:szCs w:val="20"/>
          <w:color w:val="auto"/>
        </w:rPr>
      </w:pPr>
      <w:r>
        <w:rPr>
          <w:rFonts w:ascii="Courier New" w:cs="Courier New" w:eastAsia="Courier New" w:hAnsi="Courier New"/>
          <w:sz w:val="14"/>
          <w:szCs w:val="14"/>
          <w:color w:val="auto"/>
        </w:rPr>
        <w:t>The result of the vote of the shareholders for the matter of the election of three directors, for terms of three years each, submitted to the shareholders at the Annual Meeting, is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NOMINEE</w:t>
            </w:r>
          </w:p>
        </w:tc>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rPr>
              <w:t>VOTES FOR</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w w:val="94"/>
              </w:rPr>
              <w:t>WITHHELD</w:t>
            </w:r>
          </w:p>
        </w:tc>
      </w:tr>
      <w:tr>
        <w:trPr>
          <w:trHeight w:val="168"/>
        </w:trPr>
        <w:tc>
          <w:tcPr>
            <w:tcW w:w="380" w:type="dxa"/>
            <w:vAlign w:val="bottom"/>
          </w:tcPr>
          <w:p>
            <w:pPr>
              <w:spacing w:after="0"/>
              <w:rPr>
                <w:sz w:val="14"/>
                <w:szCs w:val="14"/>
                <w:color w:val="auto"/>
              </w:rPr>
            </w:pP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Kenlon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25,637,513</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585,464</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 Sullivan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25,632,279</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590,698</w:t>
            </w:r>
          </w:p>
        </w:tc>
      </w:tr>
      <w:tr>
        <w:trPr>
          <w:trHeight w:val="168"/>
        </w:trPr>
        <w:tc>
          <w:tcPr>
            <w:tcW w:w="2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2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25,633,475</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589,502</w:t>
            </w:r>
          </w:p>
        </w:tc>
      </w:tr>
    </w:tbl>
    <w:p>
      <w:pPr>
        <w:spacing w:after="0" w:line="173" w:lineRule="exact"/>
        <w:rPr>
          <w:sz w:val="20"/>
          <w:szCs w:val="20"/>
          <w:color w:val="auto"/>
        </w:rPr>
      </w:pPr>
    </w:p>
    <w:p>
      <w:pPr>
        <w:ind w:left="980" w:right="3319"/>
        <w:spacing w:after="0" w:line="256" w:lineRule="auto"/>
        <w:rPr>
          <w:sz w:val="20"/>
          <w:szCs w:val="20"/>
          <w:color w:val="auto"/>
        </w:rPr>
      </w:pPr>
      <w:r>
        <w:rPr>
          <w:rFonts w:ascii="Courier New" w:cs="Courier New" w:eastAsia="Courier New" w:hAnsi="Courier New"/>
          <w:sz w:val="14"/>
          <w:szCs w:val="14"/>
          <w:color w:val="auto"/>
        </w:rPr>
        <w:t>Each of the nominees was elected. The other directors whose terms of office continue after the Annual Meeting are Joseph P. Flannery, Horace Hagedorn, Albert E. Harris, Patrick J. Norton, Charles M. Berger, James Hagedorn, Karen G. Mills and John Walker, Ph.D.</w:t>
      </w:r>
    </w:p>
    <w:p>
      <w:pPr>
        <w:spacing w:after="0" w:line="164" w:lineRule="exact"/>
        <w:rPr>
          <w:sz w:val="20"/>
          <w:szCs w:val="20"/>
          <w:color w:val="auto"/>
        </w:rPr>
      </w:pPr>
    </w:p>
    <w:p>
      <w:pPr>
        <w:ind w:left="980" w:right="3499"/>
        <w:spacing w:after="0" w:line="235" w:lineRule="auto"/>
        <w:rPr>
          <w:sz w:val="20"/>
          <w:szCs w:val="20"/>
          <w:color w:val="auto"/>
        </w:rPr>
      </w:pPr>
      <w:r>
        <w:rPr>
          <w:rFonts w:ascii="Courier New" w:cs="Courier New" w:eastAsia="Courier New" w:hAnsi="Courier New"/>
          <w:sz w:val="15"/>
          <w:szCs w:val="15"/>
          <w:color w:val="auto"/>
        </w:rPr>
        <w:t>The result of the vote of the shareholders for the matter of the amendment to the Company's Amended Articles of Incorporation, to increase the authorized number of common shares from 50,000,000 to 100,000,000, is as follows:</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VOTES FOR</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VOTES AGAINST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ABSTAIN</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NOT VOTED</w:t>
            </w:r>
          </w:p>
        </w:tc>
      </w:tr>
      <w:tr>
        <w:trPr>
          <w:trHeight w:val="168"/>
        </w:trPr>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24,245,392</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1,954,792</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22,793</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w w:val="93"/>
              </w:rPr>
              <w:t>2,298,029</w:t>
            </w:r>
          </w:p>
        </w:tc>
      </w:tr>
    </w:tbl>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proposal to amend the Company's Amended Articles of</w:t>
      </w:r>
    </w:p>
    <w:p>
      <w:pPr>
        <w:ind w:left="980"/>
        <w:spacing w:after="0" w:line="237" w:lineRule="auto"/>
        <w:rPr>
          <w:sz w:val="20"/>
          <w:szCs w:val="20"/>
          <w:color w:val="auto"/>
        </w:rPr>
      </w:pPr>
      <w:r>
        <w:rPr>
          <w:rFonts w:ascii="Courier New" w:cs="Courier New" w:eastAsia="Courier New" w:hAnsi="Courier New"/>
          <w:sz w:val="15"/>
          <w:szCs w:val="15"/>
          <w:color w:val="auto"/>
        </w:rPr>
        <w:t>Incorporation, was adopted.</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3" w:lineRule="exact"/>
        <w:rPr>
          <w:sz w:val="20"/>
          <w:szCs w:val="20"/>
          <w:color w:val="auto"/>
        </w:rPr>
      </w:pPr>
    </w:p>
    <w:p>
      <w:pPr>
        <w:ind w:left="980" w:right="3319" w:hanging="8"/>
        <w:spacing w:after="0" w:line="234" w:lineRule="auto"/>
        <w:tabs>
          <w:tab w:leader="none" w:pos="13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 at page 42 for a list of the exhibits included herewith.</w:t>
      </w:r>
    </w:p>
    <w:p>
      <w:pPr>
        <w:spacing w:after="0" w:line="173" w:lineRule="exact"/>
        <w:rPr>
          <w:rFonts w:ascii="Courier New" w:cs="Courier New" w:eastAsia="Courier New" w:hAnsi="Courier New"/>
          <w:sz w:val="15"/>
          <w:szCs w:val="15"/>
          <w:color w:val="auto"/>
        </w:rPr>
      </w:pPr>
    </w:p>
    <w:p>
      <w:pPr>
        <w:ind w:left="980" w:right="3759" w:hanging="8"/>
        <w:spacing w:after="0" w:line="234" w:lineRule="auto"/>
        <w:tabs>
          <w:tab w:leader="none" w:pos="13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for the quarter covered by this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16, 2000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37" w:lineRule="auto"/>
        <w:rPr>
          <w:sz w:val="20"/>
          <w:szCs w:val="20"/>
          <w:color w:val="auto"/>
        </w:rPr>
      </w:pPr>
      <w:r>
        <w:rPr>
          <w:rFonts w:ascii="Courier New" w:cs="Courier New" w:eastAsia="Courier New" w:hAnsi="Courier New"/>
          <w:sz w:val="15"/>
          <w:szCs w:val="15"/>
          <w:color w:val="auto"/>
        </w:rPr>
        <w:t>Vice President and Corporate</w:t>
      </w:r>
    </w:p>
    <w:p>
      <w:pPr>
        <w:spacing w:after="0" w:line="238" w:lineRule="auto"/>
        <w:rPr>
          <w:sz w:val="20"/>
          <w:szCs w:val="20"/>
          <w:color w:val="auto"/>
        </w:rPr>
      </w:pPr>
      <w:r>
        <w:rPr>
          <w:rFonts w:ascii="Courier New" w:cs="Courier New" w:eastAsia="Courier New" w:hAnsi="Courier New"/>
          <w:sz w:val="15"/>
          <w:szCs w:val="15"/>
          <w:color w:val="auto"/>
        </w:rPr>
        <w:t>Controller</w:t>
      </w:r>
    </w:p>
    <w:p>
      <w:pPr>
        <w:spacing w:after="0" w:line="200" w:lineRule="exact"/>
        <w:rPr>
          <w:sz w:val="20"/>
          <w:szCs w:val="20"/>
          <w:color w:val="auto"/>
        </w:rPr>
      </w:pPr>
    </w:p>
    <w:p>
      <w:pPr>
        <w:sectPr>
          <w:pgSz w:w="11900" w:h="16838" w:orient="portrait"/>
          <w:cols w:equalWidth="0" w:num="2">
            <w:col w:w="3220" w:space="720"/>
            <w:col w:w="629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47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THE SCOTTS COMPANY</w:t>
            </w:r>
          </w:p>
        </w:tc>
        <w:tc>
          <w:tcPr>
            <w:tcW w:w="108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47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QUARTERLY REPORT ON FORM 10-Q FOR</w:t>
            </w:r>
          </w:p>
        </w:tc>
        <w:tc>
          <w:tcPr>
            <w:tcW w:w="10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FISCAL QUARTER ENDED APRIL 1, 2000</w:t>
            </w:r>
          </w:p>
        </w:tc>
        <w:tc>
          <w:tcPr>
            <w:tcW w:w="108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478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EXHIBIT INDEX</w:t>
            </w:r>
          </w:p>
        </w:tc>
        <w:tc>
          <w:tcPr>
            <w:tcW w:w="108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780" w:type="dxa"/>
            <w:vAlign w:val="bottom"/>
          </w:tcPr>
          <w:p>
            <w:pPr>
              <w:spacing w:after="0"/>
              <w:rPr>
                <w:sz w:val="24"/>
                <w:szCs w:val="2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47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DESCRIPTION</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7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3(d)</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Certificate of Amendment by Shareholders to</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Articles of the Registrant as filed with the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Ohio Secretary of State on February 25,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3(e)</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Amended Articles of Incorporation of the</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Registrant (reflecting amendments through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25, 2000) [for SEC reporting</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compliance purposes only -- not filed with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Ohio Secretary of State]</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4(h)</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Waiver No. 2, dated as of</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14, 2000, to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Credit Agreement, dated as of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4, 1998, as amended by</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Waiver, dated as of January</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 1999, and the Amendment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 1 and Consent, dated as of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October 13, 1999, among the Registrant;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OM Scott International Investments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Miracle Garden Care Limited, Scotts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Holdings Limited, Hyponex Corporation,</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Miracle-Gro Products, Inc.,</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Scotts-Sierra Horticultural Products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Republic Tool &amp; Manufacturing</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 Scotts-Sierra Investments, Inc.,</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France Holdings SARL, Scotts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Holding GmbH, Scotts Celaflor GmbH &amp; Co.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KG, Scotts France SARL, Scotts Asef</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BVBA (fka Scotts Belgium 2 BVBA),</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Scotts Company (UK)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Scotts Canada Ltd., Scotts Europe B.V.,</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ASEF B.V., Scotts Australia PTY Ltd.,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other subsidiaries of the Registrant who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are also borrowers from time to time;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lenders party thereto; The Chase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Manhattan Bank as Administrative Agent;</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Salomon Smith Barney, Inc. as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Syndication Agent; Credit Lyonnais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Chicago Branch and Bank One, Michigan,</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successor to NBD Bank, as</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Co-Documentation Agents; and Chase</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Inc., as Lead Arranger and</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Book Manager</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10(b)</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1992 Long Term</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Incentive Plan (as amended through</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10(d)</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1996 Stock Option</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 (as amended through 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10(l)</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Specimen form of Stock Option Agreement for</w:t>
            </w:r>
          </w:p>
        </w:tc>
        <w:tc>
          <w:tcPr>
            <w:tcW w:w="10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Non-Qualified Stock Options granted to</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employees under The Scotts Company 1996 Stock</w:t>
            </w: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 Plan (as amended through May 15, 2000)</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10(w)</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The Scotts Company Millennium Growth Plan</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(effective October 1, 1999)</w:t>
            </w:r>
          </w:p>
        </w:tc>
        <w:tc>
          <w:tcPr>
            <w:tcW w:w="1080" w:type="dxa"/>
            <w:vAlign w:val="bottom"/>
          </w:tcPr>
          <w:p>
            <w:pPr>
              <w:spacing w:after="0"/>
              <w:rPr>
                <w:sz w:val="14"/>
                <w:szCs w:val="14"/>
                <w:color w:val="auto"/>
              </w:rPr>
            </w:pPr>
          </w:p>
        </w:tc>
      </w:tr>
      <w:tr>
        <w:trPr>
          <w:trHeight w:val="336"/>
        </w:trPr>
        <w:tc>
          <w:tcPr>
            <w:tcW w:w="114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88"/>
              </w:rPr>
              <w:t>27</w:t>
            </w:r>
          </w:p>
        </w:tc>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Financial Data Schedule</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sectPr>
      <w:pgSz w:w="11900" w:h="16838" w:orient="portrait"/>
      <w:cols w:equalWidth="0" w:num="1">
        <w:col w:w="10239"/>
      </w:cols>
      <w:pgMar w:left="220" w:top="28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3"/>
    </w:lvl>
  </w:abstractNum>
  <w:abstractNum w:abstractNumId="13">
    <w:nsid w:val="62BBD95A"/>
    <w:multiLevelType w:val="hybridMultilevel"/>
    <w:lvl w:ilvl="0">
      <w:lvlJc w:val="left"/>
      <w:lvlText w:val="%1."/>
      <w:numFmt w:val="decimal"/>
      <w:start w:val="16"/>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lvl w:ilvl="1">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2019-12-11T18:43:33Z</dcterms:created>
  <dcterms:modified xsi:type="dcterms:W3CDTF">2019-12-11T18:43:33Z</dcterms:modified>
</cp:coreProperties>
</file>