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4"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18"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8-K/A</w:t>
      </w:r>
    </w:p>
    <w:p>
      <w:pPr>
        <w:spacing w:after="0" w:line="174"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CURRENT REPORT</w:t>
      </w:r>
    </w:p>
    <w:p>
      <w:pPr>
        <w:spacing w:after="0" w:line="2"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2" w:lineRule="exact"/>
        <w:rPr>
          <w:sz w:val="24"/>
          <w:szCs w:val="24"/>
          <w:color w:val="auto"/>
        </w:rPr>
      </w:pPr>
    </w:p>
    <w:p>
      <w:pPr>
        <w:ind w:left="2220"/>
        <w:spacing w:after="0"/>
        <w:rPr>
          <w:sz w:val="20"/>
          <w:szCs w:val="20"/>
          <w:color w:val="auto"/>
        </w:rPr>
      </w:pPr>
      <w:r>
        <w:rPr>
          <w:rFonts w:ascii="Courier New" w:cs="Courier New" w:eastAsia="Courier New" w:hAnsi="Courier New"/>
          <w:sz w:val="15"/>
          <w:szCs w:val="15"/>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Date of Report (Date of earliest event reported): March 31, 2000 (October 7, 1998)</w:t>
      </w:r>
    </w:p>
    <w:p>
      <w:pPr>
        <w:spacing w:after="0" w:line="13" w:lineRule="exact"/>
        <w:rPr>
          <w:sz w:val="24"/>
          <w:szCs w:val="24"/>
          <w:color w:val="auto"/>
        </w:rPr>
      </w:pPr>
    </w:p>
    <w:p>
      <w:pPr>
        <w:ind w:left="44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28"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ind w:left="1060"/>
              <w:spacing w:after="0"/>
              <w:rPr>
                <w:sz w:val="20"/>
                <w:szCs w:val="20"/>
                <w:color w:val="auto"/>
              </w:rPr>
            </w:pPr>
            <w:r>
              <w:rPr>
                <w:rFonts w:ascii="Courier New" w:cs="Courier New" w:eastAsia="Courier New" w:hAnsi="Courier New"/>
                <w:sz w:val="15"/>
                <w:szCs w:val="15"/>
                <w:color w:val="auto"/>
              </w:rPr>
              <w:t>OHIO</w:t>
            </w:r>
          </w:p>
        </w:tc>
        <w:tc>
          <w:tcPr>
            <w:tcW w:w="2200" w:type="dxa"/>
            <w:vAlign w:val="bottom"/>
          </w:tcPr>
          <w:p>
            <w:pPr>
              <w:ind w:left="720"/>
              <w:spacing w:after="0"/>
              <w:rPr>
                <w:sz w:val="20"/>
                <w:szCs w:val="20"/>
                <w:color w:val="auto"/>
              </w:rPr>
            </w:pPr>
            <w:r>
              <w:rPr>
                <w:rFonts w:ascii="Courier New" w:cs="Courier New" w:eastAsia="Courier New" w:hAnsi="Courier New"/>
                <w:sz w:val="15"/>
                <w:szCs w:val="15"/>
                <w:color w:val="auto"/>
              </w:rPr>
              <w:t>1-11593</w:t>
            </w:r>
          </w:p>
        </w:tc>
        <w:tc>
          <w:tcPr>
            <w:tcW w:w="21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31-1414921</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(State or other jurisdiction</w:t>
            </w: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(Commission File</w:t>
            </w:r>
          </w:p>
        </w:tc>
        <w:tc>
          <w:tcPr>
            <w:tcW w:w="218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(IRS Employer</w:t>
            </w:r>
          </w:p>
        </w:tc>
      </w:tr>
      <w:tr>
        <w:trPr>
          <w:trHeight w:val="172"/>
        </w:trPr>
        <w:tc>
          <w:tcPr>
            <w:tcW w:w="2940" w:type="dxa"/>
            <w:vAlign w:val="bottom"/>
          </w:tcPr>
          <w:p>
            <w:pPr>
              <w:ind w:left="520"/>
              <w:spacing w:after="0"/>
              <w:rPr>
                <w:sz w:val="20"/>
                <w:szCs w:val="20"/>
                <w:color w:val="auto"/>
              </w:rPr>
            </w:pPr>
            <w:r>
              <w:rPr>
                <w:rFonts w:ascii="Courier New" w:cs="Courier New" w:eastAsia="Courier New" w:hAnsi="Courier New"/>
                <w:sz w:val="15"/>
                <w:szCs w:val="15"/>
                <w:color w:val="auto"/>
              </w:rPr>
              <w:t>of incorporation)</w:t>
            </w:r>
          </w:p>
        </w:tc>
        <w:tc>
          <w:tcPr>
            <w:tcW w:w="2200" w:type="dxa"/>
            <w:vAlign w:val="bottom"/>
          </w:tcPr>
          <w:p>
            <w:pPr>
              <w:ind w:left="720"/>
              <w:spacing w:after="0"/>
              <w:rPr>
                <w:sz w:val="20"/>
                <w:szCs w:val="20"/>
                <w:color w:val="auto"/>
              </w:rPr>
            </w:pPr>
            <w:r>
              <w:rPr>
                <w:rFonts w:ascii="Courier New" w:cs="Courier New" w:eastAsia="Courier New" w:hAnsi="Courier New"/>
                <w:sz w:val="15"/>
                <w:szCs w:val="15"/>
                <w:color w:val="auto"/>
              </w:rPr>
              <w:t>Number)</w:t>
            </w:r>
          </w:p>
        </w:tc>
        <w:tc>
          <w:tcPr>
            <w:tcW w:w="21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Identification No.)</w:t>
            </w:r>
          </w:p>
        </w:tc>
      </w:tr>
    </w:tbl>
    <w:p>
      <w:pPr>
        <w:spacing w:after="0" w:line="346"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41 South High Street, Suite 3500, Columbus, Ohio 43215</w:t>
      </w:r>
    </w:p>
    <w:p>
      <w:pPr>
        <w:spacing w:after="0" w:line="2"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340"/>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346"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Registrant's telephone number, including area code (614) 719-5500</w:t>
      </w:r>
    </w:p>
    <w:p>
      <w:pPr>
        <w:spacing w:after="0" w:line="2" w:lineRule="exact"/>
        <w:rPr>
          <w:sz w:val="24"/>
          <w:szCs w:val="24"/>
          <w:color w:val="auto"/>
        </w:rPr>
      </w:pPr>
    </w:p>
    <w:p>
      <w:pPr>
        <w:ind w:left="526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NOT APPLICABLE</w:t>
      </w:r>
    </w:p>
    <w:p>
      <w:pPr>
        <w:spacing w:after="0" w:line="2"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pacing w:after="0" w:line="174"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Index to Exhibits is on Page 26.</w:t>
      </w:r>
    </w:p>
    <w:p>
      <w:pPr>
        <w:sectPr>
          <w:pgSz w:w="11900" w:h="16838" w:orient="portrait"/>
          <w:cols w:equalWidth="0" w:num="1">
            <w:col w:w="10219"/>
          </w:cols>
          <w:pgMar w:left="240" w:top="231" w:right="1440" w:bottom="1440" w:gutter="0" w:footer="0" w:header="0"/>
        </w:sectPr>
      </w:pPr>
    </w:p>
    <w:bookmarkStart w:id="1" w:name="page2"/>
    <w:bookmarkEnd w:id="1"/>
    <w:p>
      <w:pPr>
        <w:ind w:left="268"/>
        <w:spacing w:after="0"/>
        <w:rPr>
          <w:sz w:val="20"/>
          <w:szCs w:val="20"/>
          <w:color w:val="auto"/>
        </w:rPr>
      </w:pPr>
      <w:r>
        <w:rPr>
          <w:rFonts w:ascii="Courier New" w:cs="Courier New" w:eastAsia="Courier New" w:hAnsi="Courier New"/>
          <w:sz w:val="15"/>
          <w:szCs w:val="15"/>
          <w:color w:val="auto"/>
        </w:rPr>
        <w:t>2</w:t>
      </w:r>
    </w:p>
    <w:p>
      <w:pPr>
        <w:spacing w:after="0" w:line="4" w:lineRule="exact"/>
        <w:rPr>
          <w:sz w:val="20"/>
          <w:szCs w:val="20"/>
          <w:color w:val="auto"/>
        </w:rPr>
      </w:pPr>
    </w:p>
    <w:p>
      <w:pPr>
        <w:ind w:left="8" w:right="3079" w:firstLine="1252"/>
        <w:spacing w:after="0" w:line="242" w:lineRule="auto"/>
        <w:rPr>
          <w:sz w:val="20"/>
          <w:szCs w:val="20"/>
          <w:color w:val="auto"/>
        </w:rPr>
      </w:pPr>
      <w:r>
        <w:rPr>
          <w:rFonts w:ascii="Courier New" w:cs="Courier New" w:eastAsia="Courier New" w:hAnsi="Courier New"/>
          <w:sz w:val="15"/>
          <w:szCs w:val="15"/>
          <w:color w:val="auto"/>
        </w:rPr>
        <w:t>This Current Report on Form 8-K/A of The Scotts Company (the "Registrant") furnishes the financial statements and the pro forma financial information which were omitted from the Current Report on Form 8-K of the Registrant filed with the Securities and Exchange Commission (the "Commission") on October 22, 1998 (the "Registrant's October 1998 Form 8-K") in accordance with Items 7(a)(4) and 7(b)(2) of Form 8-K which allow the Registrant a 60-day extension of the time for the filing of such financial statements and pro forma financial information. The financial statements and pro forma financial information relate to the purchase by Scotts France Holdings SARL and Scotts France SARL, wholly-owned indirect subsidiaries of the Registrant, of all of the outstanding shares of Rhone-Poulenc Jardin SAS from Rhone-Poulenc Agro ("RPA"); Scotts Celaflor GmbH &amp; Co. KG, a wholly-owned indirect subsidiary of the Registrant, of all of the outstanding shares of Celaflor GmbH from Rhone-Poulenc Agro Europe GmbH ("RPAEG"); "David" Sechsundfunfzigste Beteiligungs und Verwaltungsgesellschaft GmbH (now known as Scotts Holding GmbH), a wholly-owned indirect subsidiary of the Registrant, of all of the outstanding shares of Celaflor Handelsgesellschaft m.b.H.; and Scotts Belgium 2 B.V.B.A., a wholly-owned indirect subsidiary of the Registrant, from Rhone-Poulenc Agro S.A. ("RPA S.A.") of the home and garden business of RPA S.A. in Belgium and the assets related thereto (collectively, the "RPJ Acquisition"), as described in Item 2 of the Registrant's October 1998 Form 8-K.</w:t>
      </w:r>
    </w:p>
    <w:p>
      <w:pPr>
        <w:spacing w:after="0" w:line="185" w:lineRule="exact"/>
        <w:rPr>
          <w:sz w:val="20"/>
          <w:szCs w:val="20"/>
          <w:color w:val="auto"/>
        </w:rPr>
      </w:pPr>
    </w:p>
    <w:p>
      <w:pPr>
        <w:ind w:left="8"/>
        <w:spacing w:after="0"/>
        <w:tabs>
          <w:tab w:leader="none" w:pos="1228"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2" w:lineRule="exact"/>
        <w:rPr>
          <w:sz w:val="20"/>
          <w:szCs w:val="20"/>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968" w:hanging="716"/>
        <w:spacing w:after="0"/>
        <w:tabs>
          <w:tab w:leader="none" w:pos="1968"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Businesses Acquired:</w:t>
      </w:r>
    </w:p>
    <w:p>
      <w:pPr>
        <w:spacing w:after="0" w:line="2" w:lineRule="exact"/>
        <w:rPr>
          <w:rFonts w:ascii="Courier New" w:cs="Courier New" w:eastAsia="Courier New" w:hAnsi="Courier New"/>
          <w:sz w:val="15"/>
          <w:szCs w:val="15"/>
          <w:color w:val="auto"/>
        </w:rPr>
      </w:pPr>
    </w:p>
    <w:p>
      <w:pPr>
        <w:ind w:left="19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1968" w:right="34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Please see Index to Financial Statements and Pro Forma Financial Information at page 5.</w:t>
      </w:r>
    </w:p>
    <w:p>
      <w:pPr>
        <w:spacing w:after="0" w:line="174" w:lineRule="exact"/>
        <w:rPr>
          <w:rFonts w:ascii="Courier New" w:cs="Courier New" w:eastAsia="Courier New" w:hAnsi="Courier New"/>
          <w:sz w:val="15"/>
          <w:szCs w:val="15"/>
          <w:color w:val="auto"/>
        </w:rPr>
      </w:pPr>
    </w:p>
    <w:p>
      <w:pPr>
        <w:ind w:left="1968" w:hanging="716"/>
        <w:spacing w:after="0"/>
        <w:tabs>
          <w:tab w:leader="none" w:pos="1968"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2" w:lineRule="exact"/>
        <w:rPr>
          <w:rFonts w:ascii="Courier New" w:cs="Courier New" w:eastAsia="Courier New" w:hAnsi="Courier New"/>
          <w:sz w:val="15"/>
          <w:szCs w:val="15"/>
          <w:color w:val="auto"/>
        </w:rPr>
      </w:pPr>
    </w:p>
    <w:p>
      <w:pPr>
        <w:ind w:left="19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1968" w:right="34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Please see Index to Financial Statements and Pro Forma Financial Information at page 5.</w:t>
      </w:r>
    </w:p>
    <w:p>
      <w:pPr>
        <w:spacing w:after="0" w:line="174" w:lineRule="exact"/>
        <w:rPr>
          <w:rFonts w:ascii="Courier New" w:cs="Courier New" w:eastAsia="Courier New" w:hAnsi="Courier New"/>
          <w:sz w:val="15"/>
          <w:szCs w:val="15"/>
          <w:color w:val="auto"/>
        </w:rPr>
      </w:pPr>
    </w:p>
    <w:p>
      <w:pPr>
        <w:ind w:left="1968" w:hanging="716"/>
        <w:spacing w:after="0"/>
        <w:tabs>
          <w:tab w:leader="none" w:pos="1968"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2" w:lineRule="exact"/>
        <w:rPr>
          <w:rFonts w:ascii="Courier New" w:cs="Courier New" w:eastAsia="Courier New" w:hAnsi="Courier New"/>
          <w:sz w:val="15"/>
          <w:szCs w:val="15"/>
          <w:color w:val="auto"/>
        </w:rPr>
      </w:pPr>
    </w:p>
    <w:p>
      <w:pPr>
        <w:ind w:left="19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The following documents were filed as exhibits to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Registrant's October 1998 Form 8-K:</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808"/>
        <w:spacing w:after="0"/>
        <w:rPr>
          <w:sz w:val="20"/>
          <w:szCs w:val="20"/>
          <w:color w:val="auto"/>
        </w:rPr>
      </w:pPr>
      <w:r>
        <w:rPr>
          <w:rFonts w:ascii="Courier New" w:cs="Courier New" w:eastAsia="Courier New" w:hAnsi="Courier New"/>
          <w:sz w:val="14"/>
          <w:szCs w:val="14"/>
          <w:color w:val="auto"/>
        </w:rPr>
        <w:t>Exhibit No.</w:t>
      </w:r>
    </w:p>
    <w:p>
      <w:pPr>
        <w:spacing w:after="0" w:line="13" w:lineRule="exact"/>
        <w:rPr>
          <w:sz w:val="20"/>
          <w:szCs w:val="20"/>
          <w:color w:val="auto"/>
        </w:rPr>
      </w:pPr>
    </w:p>
    <w:p>
      <w:pPr>
        <w:ind w:left="80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2">
            <w:col w:w="3308" w:space="720"/>
            <w:col w:w="6199"/>
          </w:cols>
          <w:pgMar w:left="232" w:top="289" w:right="1440" w:bottom="1440" w:gutter="0" w:footer="0" w:header="0"/>
          <w:type w:val="continuous"/>
        </w:sectPr>
      </w:pPr>
    </w:p>
    <w:p>
      <w:pPr>
        <w:ind w:left="2048" w:right="3079" w:hanging="796"/>
        <w:spacing w:after="0" w:line="242" w:lineRule="auto"/>
        <w:tabs>
          <w:tab w:leader="none" w:pos="20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Master Contract, dated September 30, 1998, by and between Rhone-Poulenc Agro; The Scotts Company; Scotts Celaflor GmbH &amp; Co. K.G.; "David" Sechsundfunfzigste Beteiligungs und Verwaltungsgesellschaft GmbH; Rhone-Poulenc Agro Europe GmbH; Scotts France Holdings S.A.R.L.; Scotts France S.A.R.L.; and Scotts Belgium 2 B.V.B.A. (the "Master Contract")</w:t>
      </w:r>
    </w:p>
    <w:p>
      <w:pPr>
        <w:spacing w:after="0" w:line="175" w:lineRule="exact"/>
        <w:rPr>
          <w:sz w:val="20"/>
          <w:szCs w:val="20"/>
          <w:color w:val="auto"/>
        </w:rPr>
      </w:pPr>
    </w:p>
    <w:p>
      <w:pPr>
        <w:ind w:left="2048" w:hanging="796"/>
        <w:spacing w:after="0"/>
        <w:tabs>
          <w:tab w:leader="none" w:pos="20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Accountants</w:t>
      </w:r>
    </w:p>
    <w:p>
      <w:pPr>
        <w:spacing w:after="0" w:line="174" w:lineRule="exact"/>
        <w:rPr>
          <w:rFonts w:ascii="Courier New" w:cs="Courier New" w:eastAsia="Courier New" w:hAnsi="Courier New"/>
          <w:sz w:val="15"/>
          <w:szCs w:val="15"/>
          <w:color w:val="auto"/>
        </w:rPr>
      </w:pPr>
    </w:p>
    <w:p>
      <w:pPr>
        <w:ind w:left="2048" w:hanging="796"/>
        <w:spacing w:after="0"/>
        <w:tabs>
          <w:tab w:leader="none" w:pos="20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Press Release issued October 7, 1998</w:t>
      </w:r>
    </w:p>
    <w:p>
      <w:pPr>
        <w:spacing w:after="0" w:line="176"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Schedules to the Master Contract were not filed. A list of the omitted Schedules was attached to the Master Contract briefly identifying their content. The Registrant agreed, and hereby agrees, to furnish supplementally a copy of any omitted Schedule to the Securities and Exchange Commission upon its request.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89"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following document is being filed as an additional exhibit to this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Report on Form 8-K/A:</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Exhibit No.</w:t>
      </w:r>
    </w:p>
    <w:p>
      <w:pPr>
        <w:spacing w:after="0" w:line="1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2">
            <w:col w:w="3300" w:space="720"/>
            <w:col w:w="6199"/>
          </w:cols>
          <w:pgMar w:left="240" w:top="289" w:right="1440" w:bottom="1440" w:gutter="0" w:footer="0" w:header="0"/>
          <w:type w:val="continuous"/>
        </w:sectPr>
      </w:pPr>
    </w:p>
    <w:p>
      <w:pPr>
        <w:jc w:val="center"/>
        <w:ind w:left="3480" w:right="5119" w:hanging="2236"/>
        <w:spacing w:after="0" w:line="483" w:lineRule="auto"/>
        <w:tabs>
          <w:tab w:leader="none" w:pos="20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Accountants 3</w:t>
      </w:r>
    </w:p>
    <w:p>
      <w:pPr>
        <w:sectPr>
          <w:pgSz w:w="11900" w:h="16838" w:orient="portrait"/>
          <w:cols w:equalWidth="0" w:num="1">
            <w:col w:w="10219"/>
          </w:cols>
          <w:pgMar w:left="240" w:top="289"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Pursuant to the requirements of the Securities Exchange Act of 1934,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Registrant has duly caused this report</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w w:val="98"/>
              </w:rPr>
              <w:t>to be signed on its behalf by the</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undersigned hereunto duly authorized.</w:t>
            </w:r>
          </w:p>
        </w:tc>
        <w:tc>
          <w:tcPr>
            <w:tcW w:w="40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516"/>
        </w:trPr>
        <w:tc>
          <w:tcPr>
            <w:tcW w:w="340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SCOTTS COMPANY</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Date:  June 9, 2000</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By:</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/s/ Christopher L. Nagel</w:t>
            </w:r>
          </w:p>
        </w:tc>
      </w:tr>
    </w:tbl>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Christopher L. Nagel</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Vice President and Principal</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Accounting Officer</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INDEX TO FINANCIAL STATEMENTS</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Page(s)</w:t>
            </w:r>
          </w:p>
        </w:tc>
      </w:tr>
      <w:tr>
        <w:trPr>
          <w:trHeight w:val="172"/>
        </w:trPr>
        <w:tc>
          <w:tcPr>
            <w:tcW w:w="57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760" w:type="dxa"/>
            <w:vAlign w:val="bottom"/>
          </w:tcPr>
          <w:p>
            <w:pPr>
              <w:spacing w:after="0"/>
              <w:rPr>
                <w:sz w:val="20"/>
                <w:szCs w:val="20"/>
                <w:color w:val="auto"/>
              </w:rPr>
            </w:pPr>
            <w:r>
              <w:rPr>
                <w:rFonts w:ascii="Courier New" w:cs="Courier New" w:eastAsia="Courier New" w:hAnsi="Courier New"/>
                <w:sz w:val="15"/>
                <w:szCs w:val="15"/>
                <w:color w:val="auto"/>
              </w:rPr>
              <w:t>Item 7(a) Financial Statements of Businesses Acquired:</w:t>
            </w:r>
          </w:p>
        </w:tc>
        <w:tc>
          <w:tcPr>
            <w:tcW w:w="1300" w:type="dxa"/>
            <w:vAlign w:val="bottom"/>
          </w:tcPr>
          <w:p>
            <w:pPr>
              <w:spacing w:after="0"/>
              <w:rPr>
                <w:sz w:val="24"/>
                <w:szCs w:val="24"/>
                <w:color w:val="auto"/>
              </w:rPr>
            </w:pPr>
          </w:p>
        </w:tc>
      </w:tr>
      <w:tr>
        <w:trPr>
          <w:trHeight w:val="172"/>
        </w:trPr>
        <w:tc>
          <w:tcPr>
            <w:tcW w:w="5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spacing w:after="0"/>
              <w:rPr>
                <w:sz w:val="14"/>
                <w:szCs w:val="14"/>
                <w:color w:val="auto"/>
              </w:rPr>
            </w:pPr>
          </w:p>
        </w:tc>
      </w:tr>
      <w:tr>
        <w:trPr>
          <w:trHeight w:val="516"/>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Report of Independent Accountants</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w:t>
            </w:r>
          </w:p>
        </w:tc>
      </w:tr>
      <w:tr>
        <w:trPr>
          <w:trHeight w:val="344"/>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Rhone-Poulenc Jardin Combined Balance Sheets</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w:t>
            </w: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as of December 31, 1997, September 30,</w:t>
            </w:r>
          </w:p>
        </w:tc>
        <w:tc>
          <w:tcPr>
            <w:tcW w:w="1300" w:type="dxa"/>
            <w:vAlign w:val="bottom"/>
          </w:tcPr>
          <w:p>
            <w:pPr>
              <w:spacing w:after="0"/>
              <w:rPr>
                <w:sz w:val="14"/>
                <w:szCs w:val="14"/>
                <w:color w:val="auto"/>
              </w:rPr>
            </w:pP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1998 and September 30, 1997 (in</w:t>
            </w:r>
          </w:p>
        </w:tc>
        <w:tc>
          <w:tcPr>
            <w:tcW w:w="1300" w:type="dxa"/>
            <w:vAlign w:val="bottom"/>
          </w:tcPr>
          <w:p>
            <w:pPr>
              <w:spacing w:after="0"/>
              <w:rPr>
                <w:sz w:val="14"/>
                <w:szCs w:val="14"/>
                <w:color w:val="auto"/>
              </w:rPr>
            </w:pP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thousands of French Francs)</w:t>
            </w:r>
          </w:p>
        </w:tc>
        <w:tc>
          <w:tcPr>
            <w:tcW w:w="1300" w:type="dxa"/>
            <w:vAlign w:val="bottom"/>
          </w:tcPr>
          <w:p>
            <w:pPr>
              <w:spacing w:after="0"/>
              <w:rPr>
                <w:sz w:val="14"/>
                <w:szCs w:val="14"/>
                <w:color w:val="auto"/>
              </w:rPr>
            </w:pPr>
          </w:p>
        </w:tc>
      </w:tr>
      <w:tr>
        <w:trPr>
          <w:trHeight w:val="344"/>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Rhone-Poulenc Jardin Combined Statements of</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w:t>
            </w: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of Operations for the year ended</w:t>
            </w:r>
          </w:p>
        </w:tc>
        <w:tc>
          <w:tcPr>
            <w:tcW w:w="1300" w:type="dxa"/>
            <w:vAlign w:val="bottom"/>
          </w:tcPr>
          <w:p>
            <w:pPr>
              <w:spacing w:after="0"/>
              <w:rPr>
                <w:sz w:val="14"/>
                <w:szCs w:val="14"/>
                <w:color w:val="auto"/>
              </w:rPr>
            </w:pP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December 31, 1997 and the nine months</w:t>
            </w:r>
          </w:p>
        </w:tc>
        <w:tc>
          <w:tcPr>
            <w:tcW w:w="1300" w:type="dxa"/>
            <w:vAlign w:val="bottom"/>
          </w:tcPr>
          <w:p>
            <w:pPr>
              <w:spacing w:after="0"/>
              <w:rPr>
                <w:sz w:val="14"/>
                <w:szCs w:val="14"/>
                <w:color w:val="auto"/>
              </w:rPr>
            </w:pP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ended September 30, 1998 and September 30,</w:t>
            </w:r>
          </w:p>
        </w:tc>
        <w:tc>
          <w:tcPr>
            <w:tcW w:w="1300" w:type="dxa"/>
            <w:vAlign w:val="bottom"/>
          </w:tcPr>
          <w:p>
            <w:pPr>
              <w:spacing w:after="0"/>
              <w:rPr>
                <w:sz w:val="14"/>
                <w:szCs w:val="14"/>
                <w:color w:val="auto"/>
              </w:rPr>
            </w:pP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1997 (in thousands of French Francs)</w:t>
            </w:r>
          </w:p>
        </w:tc>
        <w:tc>
          <w:tcPr>
            <w:tcW w:w="1300" w:type="dxa"/>
            <w:vAlign w:val="bottom"/>
          </w:tcPr>
          <w:p>
            <w:pPr>
              <w:spacing w:after="0"/>
              <w:rPr>
                <w:sz w:val="14"/>
                <w:szCs w:val="14"/>
                <w:color w:val="auto"/>
              </w:rPr>
            </w:pPr>
          </w:p>
        </w:tc>
      </w:tr>
      <w:tr>
        <w:trPr>
          <w:trHeight w:val="344"/>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Rhone-Poulenc Jardin Combined Statements of</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w:t>
            </w: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Cash Flows for the year ended December</w:t>
            </w:r>
          </w:p>
        </w:tc>
        <w:tc>
          <w:tcPr>
            <w:tcW w:w="1300" w:type="dxa"/>
            <w:vAlign w:val="bottom"/>
          </w:tcPr>
          <w:p>
            <w:pPr>
              <w:spacing w:after="0"/>
              <w:rPr>
                <w:sz w:val="14"/>
                <w:szCs w:val="14"/>
                <w:color w:val="auto"/>
              </w:rPr>
            </w:pP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31, 1997 and the nine months ended</w:t>
            </w:r>
          </w:p>
        </w:tc>
        <w:tc>
          <w:tcPr>
            <w:tcW w:w="1300" w:type="dxa"/>
            <w:vAlign w:val="bottom"/>
          </w:tcPr>
          <w:p>
            <w:pPr>
              <w:spacing w:after="0"/>
              <w:rPr>
                <w:sz w:val="14"/>
                <w:szCs w:val="14"/>
                <w:color w:val="auto"/>
              </w:rPr>
            </w:pP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September 30, 1998 and September 30,</w:t>
            </w:r>
          </w:p>
        </w:tc>
        <w:tc>
          <w:tcPr>
            <w:tcW w:w="1300" w:type="dxa"/>
            <w:vAlign w:val="bottom"/>
          </w:tcPr>
          <w:p>
            <w:pPr>
              <w:spacing w:after="0"/>
              <w:rPr>
                <w:sz w:val="14"/>
                <w:szCs w:val="14"/>
                <w:color w:val="auto"/>
              </w:rPr>
            </w:pP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1997 (in thousands of French Francs)</w:t>
            </w:r>
          </w:p>
        </w:tc>
        <w:tc>
          <w:tcPr>
            <w:tcW w:w="1300" w:type="dxa"/>
            <w:vAlign w:val="bottom"/>
          </w:tcPr>
          <w:p>
            <w:pPr>
              <w:spacing w:after="0"/>
              <w:rPr>
                <w:sz w:val="14"/>
                <w:szCs w:val="14"/>
                <w:color w:val="auto"/>
              </w:rPr>
            </w:pPr>
          </w:p>
        </w:tc>
      </w:tr>
      <w:tr>
        <w:trPr>
          <w:trHeight w:val="344"/>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Rhone-Poulenc Jardin Combined Statements of</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w:t>
            </w: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Divisional Equity for the year ended</w:t>
            </w:r>
          </w:p>
        </w:tc>
        <w:tc>
          <w:tcPr>
            <w:tcW w:w="1300" w:type="dxa"/>
            <w:vAlign w:val="bottom"/>
          </w:tcPr>
          <w:p>
            <w:pPr>
              <w:spacing w:after="0"/>
              <w:rPr>
                <w:sz w:val="14"/>
                <w:szCs w:val="14"/>
                <w:color w:val="auto"/>
              </w:rPr>
            </w:pP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December 31, 1997 and the nine months</w:t>
            </w:r>
          </w:p>
        </w:tc>
        <w:tc>
          <w:tcPr>
            <w:tcW w:w="1300" w:type="dxa"/>
            <w:vAlign w:val="bottom"/>
          </w:tcPr>
          <w:p>
            <w:pPr>
              <w:spacing w:after="0"/>
              <w:rPr>
                <w:sz w:val="14"/>
                <w:szCs w:val="14"/>
                <w:color w:val="auto"/>
              </w:rPr>
            </w:pP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ended September 30, 1998 and September 30,</w:t>
            </w:r>
          </w:p>
        </w:tc>
        <w:tc>
          <w:tcPr>
            <w:tcW w:w="1300" w:type="dxa"/>
            <w:vAlign w:val="bottom"/>
          </w:tcPr>
          <w:p>
            <w:pPr>
              <w:spacing w:after="0"/>
              <w:rPr>
                <w:sz w:val="14"/>
                <w:szCs w:val="14"/>
                <w:color w:val="auto"/>
              </w:rPr>
            </w:pP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1997 (in thousands of French Francs)</w:t>
            </w:r>
          </w:p>
        </w:tc>
        <w:tc>
          <w:tcPr>
            <w:tcW w:w="1300" w:type="dxa"/>
            <w:vAlign w:val="bottom"/>
          </w:tcPr>
          <w:p>
            <w:pPr>
              <w:spacing w:after="0"/>
              <w:rPr>
                <w:sz w:val="14"/>
                <w:szCs w:val="14"/>
                <w:color w:val="auto"/>
              </w:rPr>
            </w:pPr>
          </w:p>
        </w:tc>
      </w:tr>
      <w:tr>
        <w:trPr>
          <w:trHeight w:val="516"/>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Rhone-Poulenc Jardin Notes to Combined</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11-20</w:t>
            </w: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Financial Statements</w:t>
            </w:r>
          </w:p>
        </w:tc>
        <w:tc>
          <w:tcPr>
            <w:tcW w:w="1300" w:type="dxa"/>
            <w:vAlign w:val="bottom"/>
          </w:tcPr>
          <w:p>
            <w:pPr>
              <w:spacing w:after="0"/>
              <w:rPr>
                <w:sz w:val="14"/>
                <w:szCs w:val="14"/>
                <w:color w:val="auto"/>
              </w:rPr>
            </w:pPr>
          </w:p>
        </w:tc>
      </w:tr>
      <w:tr>
        <w:trPr>
          <w:trHeight w:val="344"/>
        </w:trPr>
        <w:tc>
          <w:tcPr>
            <w:tcW w:w="5760" w:type="dxa"/>
            <w:vAlign w:val="bottom"/>
          </w:tcPr>
          <w:p>
            <w:pPr>
              <w:spacing w:after="0"/>
              <w:rPr>
                <w:sz w:val="20"/>
                <w:szCs w:val="20"/>
                <w:color w:val="auto"/>
              </w:rPr>
            </w:pPr>
            <w:r>
              <w:rPr>
                <w:rFonts w:ascii="Courier New" w:cs="Courier New" w:eastAsia="Courier New" w:hAnsi="Courier New"/>
                <w:sz w:val="15"/>
                <w:szCs w:val="15"/>
                <w:color w:val="auto"/>
              </w:rPr>
              <w:t>Item 7(b) Pro Forma Financial Information:</w:t>
            </w:r>
          </w:p>
        </w:tc>
        <w:tc>
          <w:tcPr>
            <w:tcW w:w="1300" w:type="dxa"/>
            <w:vAlign w:val="bottom"/>
          </w:tcPr>
          <w:p>
            <w:pPr>
              <w:spacing w:after="0"/>
              <w:rPr>
                <w:sz w:val="24"/>
                <w:szCs w:val="24"/>
                <w:color w:val="auto"/>
              </w:rPr>
            </w:pPr>
          </w:p>
        </w:tc>
      </w:tr>
      <w:tr>
        <w:trPr>
          <w:trHeight w:val="172"/>
        </w:trPr>
        <w:tc>
          <w:tcPr>
            <w:tcW w:w="5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spacing w:after="0"/>
              <w:rPr>
                <w:sz w:val="14"/>
                <w:szCs w:val="14"/>
                <w:color w:val="auto"/>
              </w:rPr>
            </w:pPr>
          </w:p>
        </w:tc>
      </w:tr>
      <w:tr>
        <w:trPr>
          <w:trHeight w:val="344"/>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The Scotts Company Unaudited Pro Forma</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w:t>
            </w: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Combined Financial Information</w:t>
            </w:r>
          </w:p>
        </w:tc>
        <w:tc>
          <w:tcPr>
            <w:tcW w:w="1300" w:type="dxa"/>
            <w:vAlign w:val="bottom"/>
          </w:tcPr>
          <w:p>
            <w:pPr>
              <w:spacing w:after="0"/>
              <w:rPr>
                <w:sz w:val="14"/>
                <w:szCs w:val="14"/>
                <w:color w:val="auto"/>
              </w:rPr>
            </w:pPr>
          </w:p>
        </w:tc>
      </w:tr>
      <w:tr>
        <w:trPr>
          <w:trHeight w:val="344"/>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The Scotts Company Unaudited Pro Forma</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w:t>
            </w: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Combined Statement of Operations for</w:t>
            </w:r>
          </w:p>
        </w:tc>
        <w:tc>
          <w:tcPr>
            <w:tcW w:w="1300" w:type="dxa"/>
            <w:vAlign w:val="bottom"/>
          </w:tcPr>
          <w:p>
            <w:pPr>
              <w:spacing w:after="0"/>
              <w:rPr>
                <w:sz w:val="14"/>
                <w:szCs w:val="14"/>
                <w:color w:val="auto"/>
              </w:rPr>
            </w:pP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the twelve months ended September 30,</w:t>
            </w:r>
          </w:p>
        </w:tc>
        <w:tc>
          <w:tcPr>
            <w:tcW w:w="1300" w:type="dxa"/>
            <w:vAlign w:val="bottom"/>
          </w:tcPr>
          <w:p>
            <w:pPr>
              <w:spacing w:after="0"/>
              <w:rPr>
                <w:sz w:val="14"/>
                <w:szCs w:val="14"/>
                <w:color w:val="auto"/>
              </w:rPr>
            </w:pP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1998 (in millions)</w:t>
            </w:r>
          </w:p>
        </w:tc>
        <w:tc>
          <w:tcPr>
            <w:tcW w:w="1300" w:type="dxa"/>
            <w:vAlign w:val="bottom"/>
          </w:tcPr>
          <w:p>
            <w:pPr>
              <w:spacing w:after="0"/>
              <w:rPr>
                <w:sz w:val="14"/>
                <w:szCs w:val="14"/>
                <w:color w:val="auto"/>
              </w:rPr>
            </w:pPr>
          </w:p>
        </w:tc>
      </w:tr>
      <w:tr>
        <w:trPr>
          <w:trHeight w:val="344"/>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The Scotts Company Notes to the Unaudited</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w:t>
            </w: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Pro Forma Combined Statement of</w:t>
            </w:r>
          </w:p>
        </w:tc>
        <w:tc>
          <w:tcPr>
            <w:tcW w:w="1300" w:type="dxa"/>
            <w:vAlign w:val="bottom"/>
          </w:tcPr>
          <w:p>
            <w:pPr>
              <w:spacing w:after="0"/>
              <w:rPr>
                <w:sz w:val="14"/>
                <w:szCs w:val="14"/>
                <w:color w:val="auto"/>
              </w:rPr>
            </w:pP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Operations (in millions)</w:t>
            </w:r>
          </w:p>
        </w:tc>
        <w:tc>
          <w:tcPr>
            <w:tcW w:w="1300" w:type="dxa"/>
            <w:vAlign w:val="bottom"/>
          </w:tcPr>
          <w:p>
            <w:pPr>
              <w:spacing w:after="0"/>
              <w:rPr>
                <w:sz w:val="14"/>
                <w:szCs w:val="14"/>
                <w:color w:val="auto"/>
              </w:rPr>
            </w:pPr>
          </w:p>
        </w:tc>
      </w:tr>
      <w:tr>
        <w:trPr>
          <w:trHeight w:val="344"/>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The Scotts Company Unaudited Pro Forma</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w:t>
            </w: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Combined Balance Sheet as of September</w:t>
            </w:r>
          </w:p>
        </w:tc>
        <w:tc>
          <w:tcPr>
            <w:tcW w:w="1300" w:type="dxa"/>
            <w:vAlign w:val="bottom"/>
          </w:tcPr>
          <w:p>
            <w:pPr>
              <w:spacing w:after="0"/>
              <w:rPr>
                <w:sz w:val="14"/>
                <w:szCs w:val="14"/>
                <w:color w:val="auto"/>
              </w:rPr>
            </w:pP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30, 1998 (in millions)</w:t>
            </w:r>
          </w:p>
        </w:tc>
        <w:tc>
          <w:tcPr>
            <w:tcW w:w="1300" w:type="dxa"/>
            <w:vAlign w:val="bottom"/>
          </w:tcPr>
          <w:p>
            <w:pPr>
              <w:spacing w:after="0"/>
              <w:rPr>
                <w:sz w:val="14"/>
                <w:szCs w:val="14"/>
                <w:color w:val="auto"/>
              </w:rPr>
            </w:pPr>
          </w:p>
        </w:tc>
      </w:tr>
      <w:tr>
        <w:trPr>
          <w:trHeight w:val="344"/>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The Scotts Company Notes to the Unaudited</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w:t>
            </w: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Pro Forma Combined Balance Sheet</w:t>
            </w:r>
          </w:p>
        </w:tc>
        <w:tc>
          <w:tcPr>
            <w:tcW w:w="1300" w:type="dxa"/>
            <w:vAlign w:val="bottom"/>
          </w:tcPr>
          <w:p>
            <w:pPr>
              <w:spacing w:after="0"/>
              <w:rPr>
                <w:sz w:val="14"/>
                <w:szCs w:val="14"/>
                <w:color w:val="auto"/>
              </w:rPr>
            </w:pPr>
          </w:p>
        </w:tc>
      </w:tr>
      <w:tr>
        <w:trPr>
          <w:trHeight w:val="172"/>
        </w:trPr>
        <w:tc>
          <w:tcPr>
            <w:tcW w:w="5760" w:type="dxa"/>
            <w:vAlign w:val="bottom"/>
          </w:tcPr>
          <w:p>
            <w:pPr>
              <w:ind w:left="1340"/>
              <w:spacing w:after="0"/>
              <w:rPr>
                <w:sz w:val="20"/>
                <w:szCs w:val="20"/>
                <w:color w:val="auto"/>
              </w:rPr>
            </w:pPr>
            <w:r>
              <w:rPr>
                <w:rFonts w:ascii="Courier New" w:cs="Courier New" w:eastAsia="Courier New" w:hAnsi="Courier New"/>
                <w:sz w:val="15"/>
                <w:szCs w:val="15"/>
                <w:color w:val="auto"/>
              </w:rPr>
              <w:t>(in millions)</w:t>
            </w:r>
          </w:p>
        </w:tc>
        <w:tc>
          <w:tcPr>
            <w:tcW w:w="1300" w:type="dxa"/>
            <w:vAlign w:val="bottom"/>
          </w:tcPr>
          <w:p>
            <w:pPr>
              <w:spacing w:after="0"/>
              <w:rPr>
                <w:sz w:val="14"/>
                <w:szCs w:val="14"/>
                <w:color w:val="auto"/>
              </w:rPr>
            </w:pPr>
          </w:p>
        </w:tc>
      </w:tr>
      <w:tr>
        <w:trPr>
          <w:trHeight w:val="516"/>
        </w:trPr>
        <w:tc>
          <w:tcPr>
            <w:tcW w:w="5760" w:type="dxa"/>
            <w:vAlign w:val="bottom"/>
          </w:tcPr>
          <w:p>
            <w:pPr>
              <w:ind w:left="3480"/>
              <w:spacing w:after="0"/>
              <w:rPr>
                <w:sz w:val="20"/>
                <w:szCs w:val="20"/>
                <w:color w:val="auto"/>
              </w:rPr>
            </w:pPr>
            <w:r>
              <w:rPr>
                <w:rFonts w:ascii="Courier New" w:cs="Courier New" w:eastAsia="Courier New" w:hAnsi="Courier New"/>
                <w:sz w:val="15"/>
                <w:szCs w:val="15"/>
                <w:color w:val="auto"/>
              </w:rPr>
              <w:t>5</w:t>
            </w:r>
          </w:p>
        </w:tc>
        <w:tc>
          <w:tcPr>
            <w:tcW w:w="13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Rhone-Poulenc Jardin</w:t>
      </w:r>
    </w:p>
    <w:p>
      <w:pPr>
        <w:spacing w:after="0" w:line="348"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We have audited the accompanying combined balance sheet of Rhone-Poulenc Jardin, a business line of Rhone-Poulenc Agro, as of December 31, 1997, and the related combined statements of operations, divisional equity, and cash flows for the year then ended. These historical combined financial statements are derived from the historical financial statements of Rhone-Poulenc Jardin SA, Celaflor GmbH and Celaflor Handelsgesellschaft. Non-operating transactions with Rhone-Poulenc Group Companies have been omitted. These combined financial statements are the responsibility of Rhone-Poulenc Jardin's management. Our responsibility is to express an opinion on these combined financial statements based on our audit.</w:t>
      </w:r>
    </w:p>
    <w:p>
      <w:pPr>
        <w:spacing w:after="0" w:line="16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conducted our audit in accordance with United States generally accepted auditing standards. Those standards require that we plan and perform the audit to obtain reasonable assurance about whether the financial statements are free from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our opinion, based on our audit, the combined financial statements referred to above present fairly, in all material respects, the combined financial position of Rhone-Poulenc Jardin as of December 31, 1997, and the combined results of its operations and its cash flows for the year then ended in conformity with United States generally accepted accounting principles.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Audit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Lyons, France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11, 1998</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Financial Statements of Businesses Acquired</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RHONE-POULENC JARDIN</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COMBINED BALANCE SHEETS</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AS OF DECEMBER 31, 1997,</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SEPTEMBER 30, 1998 AND SEPTEMBER 30, 1997</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(in thousands of French Francs)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ind w:left="280"/>
              <w:spacing w:after="0"/>
              <w:rPr>
                <w:sz w:val="20"/>
                <w:szCs w:val="20"/>
                <w:color w:val="auto"/>
              </w:rPr>
            </w:pPr>
            <w:r>
              <w:rPr>
                <w:rFonts w:ascii="Courier New" w:cs="Courier New" w:eastAsia="Courier New" w:hAnsi="Courier New"/>
                <w:sz w:val="15"/>
                <w:szCs w:val="15"/>
                <w:color w:val="auto"/>
              </w:rPr>
              <w:t>September 30,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December 31,</w:t>
            </w:r>
          </w:p>
        </w:tc>
        <w:tc>
          <w:tcPr>
            <w:tcW w:w="16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1998</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320" w:type="dxa"/>
            <w:vAlign w:val="bottom"/>
          </w:tcPr>
          <w:p>
            <w:pPr>
              <w:spacing w:after="0"/>
              <w:rPr>
                <w:sz w:val="14"/>
                <w:szCs w:val="14"/>
                <w:color w:val="auto"/>
              </w:rPr>
            </w:pP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1997</w:t>
            </w:r>
          </w:p>
        </w:tc>
        <w:tc>
          <w:tcPr>
            <w:tcW w:w="1660" w:type="dxa"/>
            <w:vAlign w:val="bottom"/>
          </w:tcPr>
          <w:p>
            <w:pPr>
              <w:ind w:left="280"/>
              <w:spacing w:after="0"/>
              <w:rPr>
                <w:sz w:val="20"/>
                <w:szCs w:val="20"/>
                <w:color w:val="auto"/>
              </w:rPr>
            </w:pPr>
            <w:r>
              <w:rPr>
                <w:rFonts w:ascii="Courier New" w:cs="Courier New" w:eastAsia="Courier New" w:hAnsi="Courier New"/>
                <w:sz w:val="15"/>
                <w:szCs w:val="15"/>
                <w:color w:val="auto"/>
              </w:rPr>
              <w:t>(unaudited)</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4320" w:type="dxa"/>
            <w:vAlign w:val="bottom"/>
          </w:tcPr>
          <w:p>
            <w:pPr>
              <w:spacing w:after="0"/>
              <w:rPr>
                <w:sz w:val="14"/>
                <w:szCs w:val="14"/>
                <w:color w:val="auto"/>
              </w:rPr>
            </w:pPr>
          </w:p>
        </w:tc>
        <w:tc>
          <w:tcPr>
            <w:tcW w:w="1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32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780</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1,703</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6,156</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Cash pool amounts due from affiliates</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142,189</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191,147</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138,304</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Marketable securities</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525</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480</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Trade accounts receivable, net</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201,464</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92,186</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86,334</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Receivable from Rhone-Poulenc Group companies</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2,089</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2,437</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1,986</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Inventories, net</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179,662</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165,555</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164,544</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Deferred tax asset</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8,116</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23,808</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10,456</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38,546</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32,688</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39,081</w:t>
            </w:r>
          </w:p>
        </w:tc>
      </w:tr>
      <w:tr>
        <w:trPr>
          <w:trHeight w:val="172"/>
        </w:trPr>
        <w:tc>
          <w:tcPr>
            <w:tcW w:w="4320" w:type="dxa"/>
            <w:vAlign w:val="bottom"/>
          </w:tcPr>
          <w:p>
            <w:pPr>
              <w:spacing w:after="0"/>
              <w:rPr>
                <w:sz w:val="14"/>
                <w:szCs w:val="14"/>
                <w:color w:val="auto"/>
              </w:rPr>
            </w:pP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Total current assets</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573,371</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509,524</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447,341</w:t>
            </w:r>
          </w:p>
        </w:tc>
      </w:tr>
      <w:tr>
        <w:trPr>
          <w:trHeight w:val="344"/>
        </w:trPr>
        <w:tc>
          <w:tcPr>
            <w:tcW w:w="43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26,810</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24,642</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26,753</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471,779</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459,659</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476,232</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21,200</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4,667</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26,860</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8,021</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7,778</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7,235</w:t>
            </w:r>
          </w:p>
        </w:tc>
      </w:tr>
      <w:tr>
        <w:trPr>
          <w:trHeight w:val="172"/>
        </w:trPr>
        <w:tc>
          <w:tcPr>
            <w:tcW w:w="4320" w:type="dxa"/>
            <w:vAlign w:val="bottom"/>
          </w:tcPr>
          <w:p>
            <w:pPr>
              <w:spacing w:after="0"/>
              <w:rPr>
                <w:sz w:val="14"/>
                <w:szCs w:val="14"/>
                <w:color w:val="auto"/>
              </w:rPr>
            </w:pP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1,101,181</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1,006,270</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984,421</w:t>
            </w:r>
          </w:p>
        </w:tc>
      </w:tr>
      <w:tr>
        <w:trPr>
          <w:trHeight w:val="344"/>
        </w:trPr>
        <w:tc>
          <w:tcPr>
            <w:tcW w:w="4320" w:type="dxa"/>
            <w:vAlign w:val="bottom"/>
          </w:tcPr>
          <w:p>
            <w:pPr>
              <w:spacing w:after="0"/>
              <w:rPr>
                <w:sz w:val="20"/>
                <w:szCs w:val="20"/>
                <w:color w:val="auto"/>
              </w:rPr>
            </w:pPr>
            <w:r>
              <w:rPr>
                <w:rFonts w:ascii="Courier New" w:cs="Courier New" w:eastAsia="Courier New" w:hAnsi="Courier New"/>
                <w:sz w:val="15"/>
                <w:szCs w:val="15"/>
                <w:color w:val="auto"/>
              </w:rPr>
              <w:t>LIABILITIES AND DIVISIONAL EQUITY</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44"/>
        </w:trPr>
        <w:tc>
          <w:tcPr>
            <w:tcW w:w="43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179,379</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13,916</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55,896</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Cash pool amounts due to affiliates</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94,808</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136,096</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168,781</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Trade accounts payable</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114,595</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115,187</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75,996</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Payable to Rhone-Poulenc Group companies</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6,618</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11,141</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6,417</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Other current liabilities</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54,985</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67,002</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35,667</w:t>
            </w:r>
          </w:p>
        </w:tc>
      </w:tr>
      <w:tr>
        <w:trPr>
          <w:trHeight w:val="172"/>
        </w:trPr>
        <w:tc>
          <w:tcPr>
            <w:tcW w:w="4320" w:type="dxa"/>
            <w:vAlign w:val="bottom"/>
          </w:tcPr>
          <w:p>
            <w:pPr>
              <w:spacing w:after="0"/>
              <w:rPr>
                <w:sz w:val="14"/>
                <w:szCs w:val="14"/>
                <w:color w:val="auto"/>
              </w:rPr>
            </w:pP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Total current liabilities</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450,385</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343,342</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342,757</w:t>
            </w:r>
          </w:p>
        </w:tc>
      </w:tr>
      <w:tr>
        <w:trPr>
          <w:trHeight w:val="344"/>
        </w:trPr>
        <w:tc>
          <w:tcPr>
            <w:tcW w:w="432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48,556</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51,601</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48,647</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Accrued pension liability</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51,869</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58,183</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51,427</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Other provisions and long-term liabilities</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19,242</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19,935</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15,861</w:t>
            </w:r>
          </w:p>
        </w:tc>
      </w:tr>
      <w:tr>
        <w:trPr>
          <w:trHeight w:val="172"/>
        </w:trPr>
        <w:tc>
          <w:tcPr>
            <w:tcW w:w="4320" w:type="dxa"/>
            <w:vAlign w:val="bottom"/>
          </w:tcPr>
          <w:p>
            <w:pPr>
              <w:spacing w:after="0"/>
              <w:rPr>
                <w:sz w:val="14"/>
                <w:szCs w:val="14"/>
                <w:color w:val="auto"/>
              </w:rPr>
            </w:pP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570,052</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473,061</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458,692</w:t>
            </w:r>
          </w:p>
        </w:tc>
      </w:tr>
      <w:tr>
        <w:trPr>
          <w:trHeight w:val="344"/>
        </w:trPr>
        <w:tc>
          <w:tcPr>
            <w:tcW w:w="4320" w:type="dxa"/>
            <w:vAlign w:val="bottom"/>
          </w:tcPr>
          <w:p>
            <w:pPr>
              <w:spacing w:after="0"/>
              <w:rPr>
                <w:sz w:val="20"/>
                <w:szCs w:val="20"/>
                <w:color w:val="auto"/>
              </w:rPr>
            </w:pPr>
            <w:r>
              <w:rPr>
                <w:rFonts w:ascii="Courier New" w:cs="Courier New" w:eastAsia="Courier New" w:hAnsi="Courier New"/>
                <w:sz w:val="15"/>
                <w:szCs w:val="15"/>
                <w:color w:val="auto"/>
              </w:rPr>
              <w:t>Commitments and contingent liabilities</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44"/>
        </w:trPr>
        <w:tc>
          <w:tcPr>
            <w:tcW w:w="4320" w:type="dxa"/>
            <w:vAlign w:val="bottom"/>
          </w:tcPr>
          <w:p>
            <w:pPr>
              <w:spacing w:after="0"/>
              <w:rPr>
                <w:sz w:val="20"/>
                <w:szCs w:val="20"/>
                <w:color w:val="auto"/>
              </w:rPr>
            </w:pPr>
            <w:r>
              <w:rPr>
                <w:rFonts w:ascii="Courier New" w:cs="Courier New" w:eastAsia="Courier New" w:hAnsi="Courier New"/>
                <w:sz w:val="15"/>
                <w:szCs w:val="15"/>
                <w:color w:val="auto"/>
              </w:rPr>
              <w:t>Divisional equity</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536,186</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537,616</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529,620</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Cumulative foreign translation adjustment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(5,057)</w:t>
            </w:r>
          </w:p>
        </w:tc>
        <w:tc>
          <w:tcPr>
            <w:tcW w:w="16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(4,407)</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(3,891)</w:t>
            </w:r>
          </w:p>
        </w:tc>
      </w:tr>
      <w:tr>
        <w:trPr>
          <w:trHeight w:val="172"/>
        </w:trPr>
        <w:tc>
          <w:tcPr>
            <w:tcW w:w="4320" w:type="dxa"/>
            <w:vAlign w:val="bottom"/>
          </w:tcPr>
          <w:p>
            <w:pPr>
              <w:spacing w:after="0"/>
              <w:rPr>
                <w:sz w:val="14"/>
                <w:szCs w:val="14"/>
                <w:color w:val="auto"/>
              </w:rPr>
            </w:pP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Total divisional equity</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531,129</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533,209</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525,729</w:t>
            </w:r>
          </w:p>
        </w:tc>
      </w:tr>
      <w:tr>
        <w:trPr>
          <w:trHeight w:val="172"/>
        </w:trPr>
        <w:tc>
          <w:tcPr>
            <w:tcW w:w="4320" w:type="dxa"/>
            <w:vAlign w:val="bottom"/>
          </w:tcPr>
          <w:p>
            <w:pPr>
              <w:spacing w:after="0"/>
              <w:rPr>
                <w:sz w:val="14"/>
                <w:szCs w:val="14"/>
                <w:color w:val="auto"/>
              </w:rPr>
            </w:pP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 and divisional equity</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1,101,181</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1,006,270</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984,421</w:t>
            </w:r>
          </w:p>
        </w:tc>
      </w:tr>
      <w:tr>
        <w:trPr>
          <w:trHeight w:val="172"/>
        </w:trPr>
        <w:tc>
          <w:tcPr>
            <w:tcW w:w="4320" w:type="dxa"/>
            <w:vAlign w:val="bottom"/>
          </w:tcPr>
          <w:p>
            <w:pPr>
              <w:spacing w:after="0"/>
              <w:rPr>
                <w:sz w:val="14"/>
                <w:szCs w:val="14"/>
                <w:color w:val="auto"/>
              </w:rPr>
            </w:pP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59"/>
        <w:spacing w:after="0"/>
        <w:rPr>
          <w:sz w:val="20"/>
          <w:szCs w:val="20"/>
          <w:color w:val="auto"/>
        </w:rPr>
      </w:pPr>
      <w:r>
        <w:rPr>
          <w:rFonts w:ascii="Courier New" w:cs="Courier New" w:eastAsia="Courier New" w:hAnsi="Courier New"/>
          <w:sz w:val="15"/>
          <w:szCs w:val="15"/>
          <w:color w:val="auto"/>
        </w:rPr>
        <w:t>The accompanying notes are an integral part of the combined financial statements.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RHONE-POULENC JARDIN</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COMBINED STATEMENTS OF OPERATIONS</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FOR THE YEAR ENDED DECEMBER 31, 1997 AND</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NINE MONTHS ENDED SEPTEMBER 30, 1998 AND SEPTEMBER 30, 1997</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gridSpan w:val="2"/>
          </w:tcPr>
          <w:p>
            <w:pPr>
              <w:jc w:val="right"/>
              <w:ind w:right="785"/>
              <w:spacing w:after="0"/>
              <w:rPr>
                <w:sz w:val="20"/>
                <w:szCs w:val="20"/>
                <w:color w:val="auto"/>
              </w:rPr>
            </w:pPr>
            <w:r>
              <w:rPr>
                <w:rFonts w:ascii="Courier New" w:cs="Courier New" w:eastAsia="Courier New" w:hAnsi="Courier New"/>
                <w:sz w:val="15"/>
                <w:szCs w:val="15"/>
                <w:color w:val="auto"/>
              </w:rPr>
              <w:t>(in thousands of French Francs)</w:t>
            </w:r>
          </w:p>
        </w:tc>
        <w:tc>
          <w:tcPr>
            <w:tcW w:w="18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860"/>
        </w:trPr>
        <w:tc>
          <w:tcPr>
            <w:tcW w:w="4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Nine Months ended</w:t>
            </w:r>
          </w:p>
        </w:tc>
        <w:tc>
          <w:tcPr>
            <w:tcW w:w="184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Nine Months ended</w:t>
            </w:r>
          </w:p>
        </w:tc>
      </w:tr>
      <w:tr>
        <w:trPr>
          <w:trHeight w:val="172"/>
        </w:trPr>
        <w:tc>
          <w:tcPr>
            <w:tcW w:w="4320" w:type="dxa"/>
            <w:vAlign w:val="bottom"/>
          </w:tcPr>
          <w:p>
            <w:pPr>
              <w:spacing w:after="0"/>
              <w:rPr>
                <w:sz w:val="14"/>
                <w:szCs w:val="14"/>
                <w:color w:val="auto"/>
              </w:rPr>
            </w:pPr>
          </w:p>
        </w:tc>
        <w:tc>
          <w:tcPr>
            <w:tcW w:w="1540" w:type="dxa"/>
            <w:vAlign w:val="bottom"/>
          </w:tcPr>
          <w:p>
            <w:pPr>
              <w:ind w:left="420"/>
              <w:spacing w:after="0"/>
              <w:rPr>
                <w:sz w:val="20"/>
                <w:szCs w:val="20"/>
                <w:color w:val="auto"/>
              </w:rPr>
            </w:pPr>
            <w:r>
              <w:rPr>
                <w:rFonts w:ascii="Courier New" w:cs="Courier New" w:eastAsia="Courier New" w:hAnsi="Courier New"/>
                <w:sz w:val="15"/>
                <w:szCs w:val="15"/>
                <w:color w:val="auto"/>
              </w:rPr>
              <w:t>Year ended</w:t>
            </w:r>
          </w:p>
        </w:tc>
        <w:tc>
          <w:tcPr>
            <w:tcW w:w="1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September 30,</w:t>
            </w:r>
          </w:p>
        </w:tc>
        <w:tc>
          <w:tcPr>
            <w:tcW w:w="184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September 30,</w:t>
            </w:r>
          </w:p>
        </w:tc>
      </w:tr>
      <w:tr>
        <w:trPr>
          <w:trHeight w:val="172"/>
        </w:trPr>
        <w:tc>
          <w:tcPr>
            <w:tcW w:w="4320" w:type="dxa"/>
            <w:vAlign w:val="bottom"/>
          </w:tcPr>
          <w:p>
            <w:pPr>
              <w:spacing w:after="0"/>
              <w:rPr>
                <w:sz w:val="14"/>
                <w:szCs w:val="14"/>
                <w:color w:val="auto"/>
              </w:rPr>
            </w:pPr>
          </w:p>
        </w:tc>
        <w:tc>
          <w:tcPr>
            <w:tcW w:w="1540" w:type="dxa"/>
            <w:vAlign w:val="bottom"/>
          </w:tcPr>
          <w:p>
            <w:pPr>
              <w:ind w:left="420"/>
              <w:spacing w:after="0"/>
              <w:rPr>
                <w:sz w:val="20"/>
                <w:szCs w:val="20"/>
                <w:color w:val="auto"/>
              </w:rPr>
            </w:pPr>
            <w:r>
              <w:rPr>
                <w:rFonts w:ascii="Courier New" w:cs="Courier New" w:eastAsia="Courier New" w:hAnsi="Courier New"/>
                <w:sz w:val="15"/>
                <w:szCs w:val="15"/>
                <w:color w:val="auto"/>
              </w:rPr>
              <w:t>December 31,</w:t>
            </w:r>
          </w:p>
        </w:tc>
        <w:tc>
          <w:tcPr>
            <w:tcW w:w="18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1998</w:t>
            </w:r>
          </w:p>
        </w:tc>
        <w:tc>
          <w:tcPr>
            <w:tcW w:w="18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320" w:type="dxa"/>
            <w:vAlign w:val="bottom"/>
          </w:tcPr>
          <w:p>
            <w:pPr>
              <w:spacing w:after="0"/>
              <w:rPr>
                <w:sz w:val="14"/>
                <w:szCs w:val="14"/>
                <w:color w:val="auto"/>
              </w:rPr>
            </w:pPr>
          </w:p>
        </w:tc>
        <w:tc>
          <w:tcPr>
            <w:tcW w:w="15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18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(unaudited)</w:t>
            </w:r>
          </w:p>
        </w:tc>
        <w:tc>
          <w:tcPr>
            <w:tcW w:w="1840" w:type="dxa"/>
            <w:vAlign w:val="bottom"/>
          </w:tcPr>
          <w:p>
            <w:pPr>
              <w:jc w:val="center"/>
              <w:ind w:left="265"/>
              <w:spacing w:after="0"/>
              <w:rPr>
                <w:sz w:val="20"/>
                <w:szCs w:val="20"/>
                <w:color w:val="auto"/>
              </w:rPr>
            </w:pPr>
            <w:r>
              <w:rPr>
                <w:rFonts w:ascii="Courier New" w:cs="Courier New" w:eastAsia="Courier New" w:hAnsi="Courier New"/>
                <w:sz w:val="15"/>
                <w:szCs w:val="15"/>
                <w:color w:val="auto"/>
                <w:w w:val="98"/>
              </w:rPr>
              <w:t>(unaudited)</w:t>
            </w:r>
          </w:p>
        </w:tc>
      </w:tr>
      <w:tr>
        <w:trPr>
          <w:trHeight w:val="172"/>
        </w:trPr>
        <w:tc>
          <w:tcPr>
            <w:tcW w:w="4320" w:type="dxa"/>
            <w:vAlign w:val="bottom"/>
          </w:tcPr>
          <w:p>
            <w:pPr>
              <w:spacing w:after="0"/>
              <w:rPr>
                <w:sz w:val="14"/>
                <w:szCs w:val="14"/>
                <w:color w:val="auto"/>
              </w:rPr>
            </w:pP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43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824,357</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670,521</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633,686</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426,466</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352,509</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328,979</w:t>
            </w:r>
          </w:p>
        </w:tc>
      </w:tr>
      <w:tr>
        <w:trPr>
          <w:trHeight w:val="172"/>
        </w:trPr>
        <w:tc>
          <w:tcPr>
            <w:tcW w:w="4320" w:type="dxa"/>
            <w:vAlign w:val="bottom"/>
          </w:tcPr>
          <w:p>
            <w:pPr>
              <w:spacing w:after="0"/>
              <w:rPr>
                <w:sz w:val="14"/>
                <w:szCs w:val="14"/>
                <w:color w:val="auto"/>
              </w:rPr>
            </w:pP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Gross profit</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397,891</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318,012</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304,707</w:t>
            </w:r>
          </w:p>
        </w:tc>
      </w:tr>
      <w:tr>
        <w:trPr>
          <w:trHeight w:val="344"/>
        </w:trPr>
        <w:tc>
          <w:tcPr>
            <w:tcW w:w="43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292,196</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239,124</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217,035</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15,571</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13,111</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10,600</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13,996</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10,487</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10,501</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Restructuring expenses</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2,044</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8,977</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456</w:t>
            </w:r>
          </w:p>
        </w:tc>
      </w:tr>
      <w:tr>
        <w:trPr>
          <w:trHeight w:val="172"/>
        </w:trPr>
        <w:tc>
          <w:tcPr>
            <w:tcW w:w="4320" w:type="dxa"/>
            <w:vAlign w:val="bottom"/>
          </w:tcPr>
          <w:p>
            <w:pPr>
              <w:spacing w:after="0"/>
              <w:rPr>
                <w:sz w:val="14"/>
                <w:szCs w:val="14"/>
                <w:color w:val="auto"/>
              </w:rPr>
            </w:pP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Income from operations</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74,084</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46,313</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66,115</w:t>
            </w:r>
          </w:p>
        </w:tc>
      </w:tr>
      <w:tr>
        <w:trPr>
          <w:trHeight w:val="344"/>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4,033</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485</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3,327</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Net foreign currency transaction gains</w:t>
            </w:r>
          </w:p>
        </w:tc>
        <w:tc>
          <w:tcPr>
            <w:tcW w:w="15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w:t>
            </w:r>
          </w:p>
        </w:tc>
        <w:tc>
          <w:tcPr>
            <w:tcW w:w="18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(97)</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Other expense, net</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2,450</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2,293</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2,005</w:t>
            </w:r>
          </w:p>
        </w:tc>
      </w:tr>
      <w:tr>
        <w:trPr>
          <w:trHeight w:val="172"/>
        </w:trPr>
        <w:tc>
          <w:tcPr>
            <w:tcW w:w="4320" w:type="dxa"/>
            <w:vAlign w:val="bottom"/>
          </w:tcPr>
          <w:p>
            <w:pPr>
              <w:spacing w:after="0"/>
              <w:rPr>
                <w:sz w:val="14"/>
                <w:szCs w:val="14"/>
                <w:color w:val="auto"/>
              </w:rPr>
            </w:pP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Income before income taxes</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67,653</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43,632</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60,776</w:t>
            </w:r>
          </w:p>
        </w:tc>
      </w:tr>
      <w:tr>
        <w:trPr>
          <w:trHeight w:val="344"/>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33,386</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23,052</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22,802</w:t>
            </w:r>
          </w:p>
        </w:tc>
      </w:tr>
      <w:tr>
        <w:trPr>
          <w:trHeight w:val="172"/>
        </w:trPr>
        <w:tc>
          <w:tcPr>
            <w:tcW w:w="4320" w:type="dxa"/>
            <w:vAlign w:val="bottom"/>
          </w:tcPr>
          <w:p>
            <w:pPr>
              <w:spacing w:after="0"/>
              <w:rPr>
                <w:sz w:val="14"/>
                <w:szCs w:val="14"/>
                <w:color w:val="auto"/>
              </w:rPr>
            </w:pP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34,267</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20,580</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37,974</w:t>
            </w:r>
          </w:p>
        </w:tc>
      </w:tr>
      <w:tr>
        <w:trPr>
          <w:trHeight w:val="172"/>
        </w:trPr>
        <w:tc>
          <w:tcPr>
            <w:tcW w:w="4320" w:type="dxa"/>
            <w:vAlign w:val="bottom"/>
          </w:tcPr>
          <w:p>
            <w:pPr>
              <w:spacing w:after="0"/>
              <w:rPr>
                <w:sz w:val="14"/>
                <w:szCs w:val="14"/>
                <w:color w:val="auto"/>
              </w:rPr>
            </w:pP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59"/>
        <w:spacing w:after="0"/>
        <w:rPr>
          <w:sz w:val="20"/>
          <w:szCs w:val="20"/>
          <w:color w:val="auto"/>
        </w:rPr>
      </w:pPr>
      <w:r>
        <w:rPr>
          <w:rFonts w:ascii="Courier New" w:cs="Courier New" w:eastAsia="Courier New" w:hAnsi="Courier New"/>
          <w:sz w:val="15"/>
          <w:szCs w:val="15"/>
          <w:color w:val="auto"/>
        </w:rPr>
        <w:t>The accompanying notes are an integral part of the combined financial statements.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RHONE-POULENC JARDIN</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COMBINED STATEMENTS OF CASH FLOWS</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FOR THE YEAR ENDED DECEMBER 31, 1997 AND</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NINE MONTHS ENDED SEPTEMBER 30, 1998 AND SEPTEMBER 30, 1997</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(in thousands of French Francs)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Nine Months</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ended</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Nine Months</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ended</w:t>
            </w:r>
          </w:p>
        </w:tc>
      </w:tr>
      <w:tr>
        <w:trPr>
          <w:trHeight w:val="172"/>
        </w:trPr>
        <w:tc>
          <w:tcPr>
            <w:tcW w:w="6480" w:type="dxa"/>
            <w:vAlign w:val="bottom"/>
          </w:tcPr>
          <w:p>
            <w:pPr>
              <w:spacing w:after="0"/>
              <w:rPr>
                <w:sz w:val="14"/>
                <w:szCs w:val="14"/>
                <w:color w:val="auto"/>
              </w:rPr>
            </w:pP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Year ended</w:t>
            </w:r>
          </w:p>
        </w:tc>
        <w:tc>
          <w:tcPr>
            <w:tcW w:w="180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September 30,</w:t>
            </w:r>
          </w:p>
        </w:tc>
        <w:tc>
          <w:tcPr>
            <w:tcW w:w="168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6480" w:type="dxa"/>
            <w:vAlign w:val="bottom"/>
          </w:tcPr>
          <w:p>
            <w:pPr>
              <w:spacing w:after="0"/>
              <w:rPr>
                <w:sz w:val="14"/>
                <w:szCs w:val="14"/>
                <w:color w:val="auto"/>
              </w:rPr>
            </w:pP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64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14"/>
                <w:szCs w:val="14"/>
                <w:color w:val="auto"/>
              </w:rPr>
            </w:pP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80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w w:val="98"/>
              </w:rPr>
              <w:t>(unaudited)</w:t>
            </w:r>
          </w:p>
        </w:tc>
        <w:tc>
          <w:tcPr>
            <w:tcW w:w="168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w w:val="98"/>
              </w:rPr>
              <w:t>(unaudited)</w:t>
            </w:r>
          </w:p>
        </w:tc>
      </w:tr>
      <w:tr>
        <w:trPr>
          <w:trHeight w:val="172"/>
        </w:trPr>
        <w:tc>
          <w:tcPr>
            <w:tcW w:w="6480" w:type="dxa"/>
            <w:vAlign w:val="bottom"/>
          </w:tcPr>
          <w:p>
            <w:pPr>
              <w:spacing w:after="0"/>
              <w:rPr>
                <w:sz w:val="14"/>
                <w:szCs w:val="14"/>
                <w:color w:val="auto"/>
              </w:rPr>
            </w:pP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34,267</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20,580</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37,974</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6480" w:type="dxa"/>
            <w:vAlign w:val="bottom"/>
          </w:tcPr>
          <w:p>
            <w:pPr>
              <w:ind w:left="80"/>
              <w:spacing w:after="0"/>
              <w:rPr>
                <w:sz w:val="20"/>
                <w:szCs w:val="20"/>
                <w:color w:val="auto"/>
              </w:rPr>
            </w:pPr>
            <w:r>
              <w:rPr>
                <w:rFonts w:ascii="Courier New" w:cs="Courier New" w:eastAsia="Courier New" w:hAnsi="Courier New"/>
                <w:sz w:val="15"/>
                <w:szCs w:val="15"/>
                <w:color w:val="auto"/>
              </w:rPr>
              <w:t>provided by operating activities</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24,804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20,803</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18,481</w:t>
            </w:r>
          </w:p>
        </w:tc>
        <w:tc>
          <w:tcPr>
            <w:tcW w:w="440" w:type="dxa"/>
            <w:vAlign w:val="bottom"/>
          </w:tcPr>
          <w:p>
            <w:pPr>
              <w:spacing w:after="0"/>
              <w:rPr>
                <w:sz w:val="14"/>
                <w:szCs w:val="14"/>
                <w:color w:val="auto"/>
              </w:rPr>
            </w:pPr>
          </w:p>
        </w:tc>
      </w:tr>
      <w:tr>
        <w:trPr>
          <w:trHeight w:val="172"/>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Change in reserve for inventory</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514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c>
          <w:tcPr>
            <w:tcW w:w="6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(3,303)</w:t>
            </w:r>
          </w:p>
        </w:tc>
        <w:tc>
          <w:tcPr>
            <w:tcW w:w="440" w:type="dxa"/>
            <w:vAlign w:val="bottom"/>
          </w:tcPr>
          <w:p>
            <w:pPr>
              <w:spacing w:after="0"/>
              <w:rPr>
                <w:sz w:val="14"/>
                <w:szCs w:val="14"/>
                <w:color w:val="auto"/>
              </w:rPr>
            </w:pPr>
          </w:p>
        </w:tc>
      </w:tr>
      <w:tr>
        <w:trPr>
          <w:trHeight w:val="172"/>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Change in allowance for doubtful accounts</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590</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w:t>
            </w:r>
          </w:p>
        </w:tc>
        <w:tc>
          <w:tcPr>
            <w:tcW w:w="440" w:type="dxa"/>
            <w:vAlign w:val="bottom"/>
          </w:tcPr>
          <w:p>
            <w:pPr>
              <w:spacing w:after="0"/>
              <w:rPr>
                <w:sz w:val="14"/>
                <w:szCs w:val="14"/>
                <w:color w:val="auto"/>
              </w:rPr>
            </w:pPr>
          </w:p>
        </w:tc>
      </w:tr>
      <w:tr>
        <w:trPr>
          <w:trHeight w:val="172"/>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Changes in long-term provisions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12,371</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6,522</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8,519</w:t>
            </w:r>
          </w:p>
        </w:tc>
        <w:tc>
          <w:tcPr>
            <w:tcW w:w="440" w:type="dxa"/>
            <w:vAlign w:val="bottom"/>
          </w:tcPr>
          <w:p>
            <w:pPr>
              <w:spacing w:after="0"/>
              <w:rPr>
                <w:sz w:val="14"/>
                <w:szCs w:val="14"/>
                <w:color w:val="auto"/>
              </w:rPr>
            </w:pPr>
          </w:p>
        </w:tc>
      </w:tr>
      <w:tr>
        <w:trPr>
          <w:trHeight w:val="172"/>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30,312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3,779</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20,157</w:t>
            </w:r>
          </w:p>
        </w:tc>
        <w:tc>
          <w:tcPr>
            <w:tcW w:w="440" w:type="dxa"/>
            <w:vAlign w:val="bottom"/>
          </w:tcPr>
          <w:p>
            <w:pPr>
              <w:spacing w:after="0"/>
              <w:rPr>
                <w:sz w:val="14"/>
                <w:szCs w:val="14"/>
                <w:color w:val="auto"/>
              </w:rPr>
            </w:pPr>
          </w:p>
        </w:tc>
      </w:tr>
      <w:tr>
        <w:trPr>
          <w:trHeight w:val="172"/>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Loss on sales of property, plant and equipment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c>
          <w:tcPr>
            <w:tcW w:w="440" w:type="dxa"/>
            <w:vAlign w:val="bottom"/>
          </w:tcPr>
          <w:p>
            <w:pPr>
              <w:spacing w:after="0"/>
              <w:rPr>
                <w:sz w:val="14"/>
                <w:szCs w:val="14"/>
                <w:color w:val="auto"/>
              </w:rPr>
            </w:pPr>
          </w:p>
        </w:tc>
      </w:tr>
      <w:tr>
        <w:trPr>
          <w:trHeight w:val="172"/>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Increase/decrease in operating assets and liabilities:</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trade accounts receivable</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(4,069)</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108,688</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110,776</w:t>
            </w:r>
          </w:p>
        </w:tc>
        <w:tc>
          <w:tcPr>
            <w:tcW w:w="440" w:type="dxa"/>
            <w:vAlign w:val="bottom"/>
          </w:tcPr>
          <w:p>
            <w:pPr>
              <w:spacing w:after="0"/>
              <w:rPr>
                <w:sz w:val="14"/>
                <w:szCs w:val="14"/>
                <w:color w:val="auto"/>
              </w:rPr>
            </w:pPr>
          </w:p>
        </w:tc>
      </w:tr>
      <w:tr>
        <w:trPr>
          <w:trHeight w:val="172"/>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(Increase) in receivable from affiliates</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(1,962)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(348)</w:t>
            </w:r>
          </w:p>
        </w:tc>
        <w:tc>
          <w:tcPr>
            <w:tcW w:w="6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(1,859)</w:t>
            </w:r>
          </w:p>
        </w:tc>
        <w:tc>
          <w:tcPr>
            <w:tcW w:w="440" w:type="dxa"/>
            <w:vAlign w:val="bottom"/>
          </w:tcPr>
          <w:p>
            <w:pPr>
              <w:spacing w:after="0"/>
              <w:rPr>
                <w:sz w:val="14"/>
                <w:szCs w:val="14"/>
                <w:color w:val="auto"/>
              </w:rPr>
            </w:pPr>
          </w:p>
        </w:tc>
      </w:tr>
      <w:tr>
        <w:trPr>
          <w:trHeight w:val="172"/>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Decrease in inventories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17,945</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14,610</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36,880</w:t>
            </w:r>
          </w:p>
        </w:tc>
        <w:tc>
          <w:tcPr>
            <w:tcW w:w="440" w:type="dxa"/>
            <w:vAlign w:val="bottom"/>
          </w:tcPr>
          <w:p>
            <w:pPr>
              <w:spacing w:after="0"/>
              <w:rPr>
                <w:sz w:val="14"/>
                <w:szCs w:val="14"/>
                <w:color w:val="auto"/>
              </w:rPr>
            </w:pPr>
          </w:p>
        </w:tc>
      </w:tr>
      <w:tr>
        <w:trPr>
          <w:trHeight w:val="172"/>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other current assets</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(5,572)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5,858</w:t>
            </w:r>
          </w:p>
        </w:tc>
        <w:tc>
          <w:tcPr>
            <w:tcW w:w="6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(6,933)</w:t>
            </w:r>
          </w:p>
        </w:tc>
        <w:tc>
          <w:tcPr>
            <w:tcW w:w="440" w:type="dxa"/>
            <w:vAlign w:val="bottom"/>
          </w:tcPr>
          <w:p>
            <w:pPr>
              <w:spacing w:after="0"/>
              <w:rPr>
                <w:sz w:val="14"/>
                <w:szCs w:val="14"/>
                <w:color w:val="auto"/>
              </w:rPr>
            </w:pPr>
          </w:p>
        </w:tc>
      </w:tr>
      <w:tr>
        <w:trPr>
          <w:trHeight w:val="172"/>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trade accounts payable</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17,491</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592</w:t>
            </w:r>
          </w:p>
        </w:tc>
        <w:tc>
          <w:tcPr>
            <w:tcW w:w="6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(21,108)</w:t>
            </w:r>
          </w:p>
        </w:tc>
        <w:tc>
          <w:tcPr>
            <w:tcW w:w="440" w:type="dxa"/>
            <w:vAlign w:val="bottom"/>
          </w:tcPr>
          <w:p>
            <w:pPr>
              <w:spacing w:after="0"/>
              <w:rPr>
                <w:sz w:val="14"/>
                <w:szCs w:val="14"/>
                <w:color w:val="auto"/>
              </w:rPr>
            </w:pPr>
          </w:p>
        </w:tc>
      </w:tr>
      <w:tr>
        <w:trPr>
          <w:trHeight w:val="172"/>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payable to Rhone-Poulenc Group companies</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(5,333)</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4,523</w:t>
            </w:r>
          </w:p>
        </w:tc>
        <w:tc>
          <w:tcPr>
            <w:tcW w:w="6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(5,534)</w:t>
            </w:r>
          </w:p>
        </w:tc>
        <w:tc>
          <w:tcPr>
            <w:tcW w:w="440" w:type="dxa"/>
            <w:vAlign w:val="bottom"/>
          </w:tcPr>
          <w:p>
            <w:pPr>
              <w:spacing w:after="0"/>
              <w:rPr>
                <w:sz w:val="14"/>
                <w:szCs w:val="14"/>
                <w:color w:val="auto"/>
              </w:rPr>
            </w:pPr>
          </w:p>
        </w:tc>
      </w:tr>
      <w:tr>
        <w:trPr>
          <w:trHeight w:val="172"/>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Increase in other current liabilities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19,780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12,017</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462</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14"/>
                <w:szCs w:val="14"/>
                <w:color w:val="auto"/>
              </w:rPr>
            </w:pP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72"/>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140,388</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197,754</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194,637</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14"/>
                <w:szCs w:val="14"/>
                <w:color w:val="auto"/>
              </w:rPr>
            </w:pP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344"/>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Acquisitions of marketable securities</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Acquisitions of property, plant and equipment</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(4,048)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(3,487)</w:t>
            </w:r>
          </w:p>
        </w:tc>
        <w:tc>
          <w:tcPr>
            <w:tcW w:w="6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(2,019)</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Acquisitions of intangible assets</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(5,109)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(2,302)</w:t>
            </w:r>
          </w:p>
        </w:tc>
        <w:tc>
          <w:tcPr>
            <w:tcW w:w="6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(4,571)</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Proceeds from sales of marketable securities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525</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Proceeds from sales of property, plant and equipment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Proceeds from sale of investment in Rhone-Poulenc Group companies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41,407</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Disbursement for loans</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(3,574)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6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(1,736)</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Reimbursements of loans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1,730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1,286</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1,333</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Reimbursement of French value added taxes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570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288</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570</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14"/>
                <w:szCs w:val="14"/>
                <w:color w:val="auto"/>
              </w:rPr>
            </w:pP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72"/>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30,942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(3,806)</w:t>
            </w:r>
          </w:p>
        </w:tc>
        <w:tc>
          <w:tcPr>
            <w:tcW w:w="6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(6,403)</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14"/>
                <w:szCs w:val="14"/>
                <w:color w:val="auto"/>
              </w:rPr>
            </w:pP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344"/>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Net increase (decrease) in short-term borrowings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7,042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(165,463)</w:t>
            </w:r>
          </w:p>
        </w:tc>
        <w:tc>
          <w:tcPr>
            <w:tcW w:w="6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(116,441)</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Decrease in cash pool amounts due to affiliates</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(92,144)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41,288</w:t>
            </w:r>
          </w:p>
        </w:tc>
        <w:tc>
          <w:tcPr>
            <w:tcW w:w="6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(18,171)</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Increase in cash pool amounts due from affiliates</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(52,009)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(48,958)</w:t>
            </w:r>
          </w:p>
        </w:tc>
        <w:tc>
          <w:tcPr>
            <w:tcW w:w="6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(48,124)</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(24,616)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(10,650)</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Withholding tax paid on dividends</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(9,049)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(8,500)</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14"/>
                <w:szCs w:val="14"/>
                <w:color w:val="auto"/>
              </w:rPr>
            </w:pP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72"/>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NET CASH (USED IN) FINANCING ACTIVITIES</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(170,776)</w:t>
            </w:r>
          </w:p>
        </w:tc>
        <w:tc>
          <w:tcPr>
            <w:tcW w:w="180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rPr>
              <w:t>(192,283)</w:t>
            </w:r>
          </w:p>
        </w:tc>
        <w:tc>
          <w:tcPr>
            <w:tcW w:w="168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rPr>
              <w:t>(182,736)</w:t>
            </w:r>
          </w:p>
        </w:tc>
      </w:tr>
      <w:tr>
        <w:trPr>
          <w:trHeight w:val="172"/>
        </w:trPr>
        <w:tc>
          <w:tcPr>
            <w:tcW w:w="6480" w:type="dxa"/>
            <w:vAlign w:val="bottom"/>
          </w:tcPr>
          <w:p>
            <w:pPr>
              <w:spacing w:after="0"/>
              <w:rPr>
                <w:sz w:val="14"/>
                <w:szCs w:val="14"/>
                <w:color w:val="auto"/>
              </w:rPr>
            </w:pP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344"/>
        </w:trPr>
        <w:tc>
          <w:tcPr>
            <w:tcW w:w="6480" w:type="dxa"/>
            <w:vAlign w:val="bottom"/>
          </w:tcPr>
          <w:p>
            <w:pPr>
              <w:spacing w:after="0"/>
              <w:rPr>
                <w:sz w:val="20"/>
                <w:szCs w:val="20"/>
                <w:color w:val="auto"/>
              </w:rPr>
            </w:pPr>
            <w:r>
              <w:rPr>
                <w:rFonts w:ascii="Courier New" w:cs="Courier New" w:eastAsia="Courier New" w:hAnsi="Courier New"/>
                <w:sz w:val="15"/>
                <w:szCs w:val="15"/>
                <w:color w:val="auto"/>
              </w:rPr>
              <w:t>Net effect of exchange rate changes on cash</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(1,013)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(742)</w:t>
            </w:r>
          </w:p>
        </w:tc>
        <w:tc>
          <w:tcPr>
            <w:tcW w:w="6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(581)</w:t>
            </w:r>
          </w:p>
        </w:tc>
        <w:tc>
          <w:tcPr>
            <w:tcW w:w="440" w:type="dxa"/>
            <w:vAlign w:val="bottom"/>
          </w:tcPr>
          <w:p>
            <w:pPr>
              <w:spacing w:after="0"/>
              <w:rPr>
                <w:sz w:val="24"/>
                <w:szCs w:val="24"/>
                <w:color w:val="auto"/>
              </w:rPr>
            </w:pPr>
          </w:p>
        </w:tc>
      </w:tr>
      <w:tr>
        <w:trPr>
          <w:trHeight w:val="172"/>
        </w:trPr>
        <w:tc>
          <w:tcPr>
            <w:tcW w:w="6480" w:type="dxa"/>
            <w:vAlign w:val="bottom"/>
          </w:tcPr>
          <w:p>
            <w:pPr>
              <w:spacing w:after="0"/>
              <w:rPr>
                <w:sz w:val="14"/>
                <w:szCs w:val="14"/>
                <w:color w:val="auto"/>
              </w:rPr>
            </w:pP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344"/>
        </w:trPr>
        <w:tc>
          <w:tcPr>
            <w:tcW w:w="648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(459)</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923</w:t>
            </w:r>
          </w:p>
        </w:tc>
        <w:tc>
          <w:tcPr>
            <w:tcW w:w="6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4,917</w:t>
            </w:r>
          </w:p>
        </w:tc>
        <w:tc>
          <w:tcPr>
            <w:tcW w:w="440" w:type="dxa"/>
            <w:vAlign w:val="bottom"/>
          </w:tcPr>
          <w:p>
            <w:pPr>
              <w:spacing w:after="0"/>
              <w:rPr>
                <w:sz w:val="24"/>
                <w:szCs w:val="2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beginning of period</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1,239</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780</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1,239</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14"/>
                <w:szCs w:val="14"/>
                <w:color w:val="auto"/>
              </w:rPr>
            </w:pP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END OF PERIOD</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780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1,703</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6,156</w:t>
            </w:r>
          </w:p>
        </w:tc>
        <w:tc>
          <w:tcPr>
            <w:tcW w:w="440" w:type="dxa"/>
            <w:vAlign w:val="bottom"/>
          </w:tcPr>
          <w:p>
            <w:pPr>
              <w:spacing w:after="0"/>
              <w:rPr>
                <w:sz w:val="14"/>
                <w:szCs w:val="14"/>
                <w:color w:val="auto"/>
              </w:rPr>
            </w:pPr>
          </w:p>
        </w:tc>
      </w:tr>
      <w:tr>
        <w:trPr>
          <w:trHeight w:val="172"/>
        </w:trPr>
        <w:tc>
          <w:tcPr>
            <w:tcW w:w="6480" w:type="dxa"/>
            <w:vAlign w:val="bottom"/>
          </w:tcPr>
          <w:p>
            <w:pPr>
              <w:spacing w:after="0"/>
              <w:rPr>
                <w:sz w:val="14"/>
                <w:szCs w:val="14"/>
                <w:color w:val="auto"/>
              </w:rPr>
            </w:pP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bl>
    <w:p>
      <w:pPr>
        <w:spacing w:after="0" w:line="200" w:lineRule="exact"/>
        <w:rPr>
          <w:sz w:val="20"/>
          <w:szCs w:val="20"/>
          <w:color w:val="auto"/>
        </w:rPr>
      </w:pPr>
    </w:p>
    <w:p>
      <w:pPr>
        <w:spacing w:after="0" w:line="320" w:lineRule="exact"/>
        <w:rPr>
          <w:sz w:val="20"/>
          <w:szCs w:val="20"/>
          <w:color w:val="auto"/>
        </w:rPr>
      </w:pPr>
    </w:p>
    <w:p>
      <w:pPr>
        <w:ind w:right="5360"/>
        <w:spacing w:after="0"/>
        <w:rPr>
          <w:sz w:val="20"/>
          <w:szCs w:val="20"/>
          <w:color w:val="auto"/>
        </w:rPr>
      </w:pPr>
      <w:r>
        <w:rPr>
          <w:rFonts w:ascii="Courier New" w:cs="Courier New" w:eastAsia="Courier New" w:hAnsi="Courier New"/>
          <w:sz w:val="15"/>
          <w:szCs w:val="15"/>
          <w:color w:val="auto"/>
        </w:rPr>
        <w:t>The accompanying notes are an integral part of the combined financial statements.</w:t>
      </w:r>
    </w:p>
    <w:p>
      <w:pPr>
        <w:sectPr>
          <w:pgSz w:w="11900" w:h="16838" w:orient="portrait"/>
          <w:cols w:equalWidth="0" w:num="1">
            <w:col w:w="11520"/>
          </w:cols>
          <w:pgMar w:left="240" w:top="289" w:right="1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1520"/>
          </w:cols>
          <w:pgMar w:left="240" w:top="289" w:right="139"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RHONE-POULENC JARDIN</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COMBINED STATEMENTS OF DIVISIONAL EQUITY</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YEAR ENDED DECEMBER 31, 1997 AND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NINE MONTHS ENDED SEPTEMBER 30, 1998</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(in thousands of French Francs)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Cumulative</w:t>
            </w:r>
          </w:p>
        </w:tc>
        <w:tc>
          <w:tcPr>
            <w:tcW w:w="1300" w:type="dxa"/>
            <w:vAlign w:val="bottom"/>
          </w:tcPr>
          <w:p>
            <w:pPr>
              <w:spacing w:after="0"/>
              <w:rPr>
                <w:sz w:val="14"/>
                <w:szCs w:val="14"/>
                <w:color w:val="auto"/>
              </w:rPr>
            </w:pPr>
          </w:p>
        </w:tc>
      </w:tr>
      <w:tr>
        <w:trPr>
          <w:trHeight w:val="172"/>
        </w:trPr>
        <w:tc>
          <w:tcPr>
            <w:tcW w:w="4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Foreign</w:t>
            </w:r>
          </w:p>
        </w:tc>
        <w:tc>
          <w:tcPr>
            <w:tcW w:w="1300" w:type="dxa"/>
            <w:vAlign w:val="bottom"/>
          </w:tcPr>
          <w:p>
            <w:pPr>
              <w:spacing w:after="0"/>
              <w:rPr>
                <w:sz w:val="14"/>
                <w:szCs w:val="14"/>
                <w:color w:val="auto"/>
              </w:rPr>
            </w:pPr>
          </w:p>
        </w:tc>
      </w:tr>
      <w:tr>
        <w:trPr>
          <w:trHeight w:val="172"/>
        </w:trPr>
        <w:tc>
          <w:tcPr>
            <w:tcW w:w="4320" w:type="dxa"/>
            <w:vAlign w:val="bottom"/>
          </w:tcPr>
          <w:p>
            <w:pPr>
              <w:spacing w:after="0"/>
              <w:rPr>
                <w:sz w:val="14"/>
                <w:szCs w:val="14"/>
                <w:color w:val="auto"/>
              </w:rPr>
            </w:pPr>
          </w:p>
        </w:tc>
        <w:tc>
          <w:tcPr>
            <w:tcW w:w="140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7"/>
              </w:rPr>
              <w:t>Divisional</w:t>
            </w:r>
          </w:p>
        </w:tc>
        <w:tc>
          <w:tcPr>
            <w:tcW w:w="20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Translation</w:t>
            </w:r>
          </w:p>
        </w:tc>
        <w:tc>
          <w:tcPr>
            <w:tcW w:w="1300" w:type="dxa"/>
            <w:vAlign w:val="bottom"/>
          </w:tcPr>
          <w:p>
            <w:pPr>
              <w:spacing w:after="0"/>
              <w:rPr>
                <w:sz w:val="14"/>
                <w:szCs w:val="14"/>
                <w:color w:val="auto"/>
              </w:rPr>
            </w:pPr>
          </w:p>
        </w:tc>
      </w:tr>
      <w:tr>
        <w:trPr>
          <w:trHeight w:val="172"/>
        </w:trPr>
        <w:tc>
          <w:tcPr>
            <w:tcW w:w="4320" w:type="dxa"/>
            <w:vAlign w:val="bottom"/>
          </w:tcPr>
          <w:p>
            <w:pPr>
              <w:spacing w:after="0"/>
              <w:rPr>
                <w:sz w:val="14"/>
                <w:szCs w:val="14"/>
                <w:color w:val="auto"/>
              </w:rPr>
            </w:pPr>
          </w:p>
        </w:tc>
        <w:tc>
          <w:tcPr>
            <w:tcW w:w="14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Equity</w:t>
            </w:r>
          </w:p>
        </w:tc>
        <w:tc>
          <w:tcPr>
            <w:tcW w:w="20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Adjustment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4320" w:type="dxa"/>
            <w:vAlign w:val="bottom"/>
          </w:tcPr>
          <w:p>
            <w:pPr>
              <w:spacing w:after="0"/>
              <w:rPr>
                <w:sz w:val="14"/>
                <w:szCs w:val="14"/>
                <w:color w:val="auto"/>
              </w:rPr>
            </w:pPr>
          </w:p>
        </w:tc>
        <w:tc>
          <w:tcPr>
            <w:tcW w:w="140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7"/>
              </w:rPr>
              <w:t>----------</w:t>
            </w:r>
          </w:p>
        </w:tc>
        <w:tc>
          <w:tcPr>
            <w:tcW w:w="20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32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1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1996</w:t>
            </w: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535,376</w:t>
            </w:r>
          </w:p>
        </w:tc>
        <w:tc>
          <w:tcPr>
            <w:tcW w:w="20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(2,739)</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532,637</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34,267</w:t>
            </w:r>
          </w:p>
        </w:tc>
        <w:tc>
          <w:tcPr>
            <w:tcW w:w="20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34,267</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(33,457)</w:t>
            </w:r>
          </w:p>
        </w:tc>
        <w:tc>
          <w:tcPr>
            <w:tcW w:w="20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(33,457)</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Change in foreign translation adjustment</w:t>
            </w: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w:t>
            </w:r>
          </w:p>
        </w:tc>
        <w:tc>
          <w:tcPr>
            <w:tcW w:w="20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(2,318)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(2,318)</w:t>
            </w:r>
          </w:p>
        </w:tc>
      </w:tr>
      <w:tr>
        <w:trPr>
          <w:trHeight w:val="172"/>
        </w:trPr>
        <w:tc>
          <w:tcPr>
            <w:tcW w:w="4320" w:type="dxa"/>
            <w:vAlign w:val="bottom"/>
          </w:tcPr>
          <w:p>
            <w:pPr>
              <w:spacing w:after="0"/>
              <w:rPr>
                <w:sz w:val="14"/>
                <w:szCs w:val="14"/>
                <w:color w:val="auto"/>
              </w:rPr>
            </w:pP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1997</w:t>
            </w: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536,186</w:t>
            </w:r>
          </w:p>
        </w:tc>
        <w:tc>
          <w:tcPr>
            <w:tcW w:w="20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(5,057)</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531,129</w:t>
            </w:r>
          </w:p>
        </w:tc>
      </w:tr>
      <w:tr>
        <w:trPr>
          <w:trHeight w:val="344"/>
        </w:trPr>
        <w:tc>
          <w:tcPr>
            <w:tcW w:w="4320" w:type="dxa"/>
            <w:vAlign w:val="bottom"/>
          </w:tcPr>
          <w:p>
            <w:pPr>
              <w:spacing w:after="0"/>
              <w:rPr>
                <w:sz w:val="20"/>
                <w:szCs w:val="20"/>
                <w:color w:val="auto"/>
              </w:rPr>
            </w:pPr>
            <w:r>
              <w:rPr>
                <w:rFonts w:ascii="Courier New" w:cs="Courier New" w:eastAsia="Courier New" w:hAnsi="Courier New"/>
                <w:sz w:val="15"/>
                <w:szCs w:val="15"/>
                <w:color w:val="auto"/>
                <w:w w:val="99"/>
              </w:rPr>
              <w:t>Nine months ended September 30, 1998 (unaudited)</w:t>
            </w:r>
          </w:p>
        </w:tc>
        <w:tc>
          <w:tcPr>
            <w:tcW w:w="1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Net income for nine month period (unaudited)</w:t>
            </w: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20,580</w:t>
            </w:r>
          </w:p>
        </w:tc>
        <w:tc>
          <w:tcPr>
            <w:tcW w:w="20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20,580</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Dividends paid (unaudited)</w:t>
            </w: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(19,150)</w:t>
            </w:r>
          </w:p>
        </w:tc>
        <w:tc>
          <w:tcPr>
            <w:tcW w:w="20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(19,150)</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Change in foreign translation</w:t>
            </w:r>
          </w:p>
        </w:tc>
        <w:tc>
          <w:tcPr>
            <w:tcW w:w="1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adjustment (unaudited)</w:t>
            </w: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w:t>
            </w:r>
          </w:p>
        </w:tc>
        <w:tc>
          <w:tcPr>
            <w:tcW w:w="20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650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650</w:t>
            </w:r>
          </w:p>
        </w:tc>
      </w:tr>
      <w:tr>
        <w:trPr>
          <w:trHeight w:val="172"/>
        </w:trPr>
        <w:tc>
          <w:tcPr>
            <w:tcW w:w="4320" w:type="dxa"/>
            <w:vAlign w:val="bottom"/>
          </w:tcPr>
          <w:p>
            <w:pPr>
              <w:spacing w:after="0"/>
              <w:rPr>
                <w:sz w:val="14"/>
                <w:szCs w:val="14"/>
                <w:color w:val="auto"/>
              </w:rPr>
            </w:pP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Balance as of September 30, 1998 (unaudited)</w:t>
            </w: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537,616</w:t>
            </w:r>
          </w:p>
        </w:tc>
        <w:tc>
          <w:tcPr>
            <w:tcW w:w="20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(4,407)</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533,209</w:t>
            </w:r>
          </w:p>
        </w:tc>
      </w:tr>
      <w:tr>
        <w:trPr>
          <w:trHeight w:val="172"/>
        </w:trPr>
        <w:tc>
          <w:tcPr>
            <w:tcW w:w="4320" w:type="dxa"/>
            <w:vAlign w:val="bottom"/>
          </w:tcPr>
          <w:p>
            <w:pPr>
              <w:spacing w:after="0"/>
              <w:rPr>
                <w:sz w:val="14"/>
                <w:szCs w:val="14"/>
                <w:color w:val="auto"/>
              </w:rPr>
            </w:pP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59"/>
        <w:spacing w:after="0"/>
        <w:rPr>
          <w:sz w:val="20"/>
          <w:szCs w:val="20"/>
          <w:color w:val="auto"/>
        </w:rPr>
      </w:pPr>
      <w:r>
        <w:rPr>
          <w:rFonts w:ascii="Courier New" w:cs="Courier New" w:eastAsia="Courier New" w:hAnsi="Courier New"/>
          <w:sz w:val="15"/>
          <w:szCs w:val="15"/>
          <w:color w:val="auto"/>
        </w:rPr>
        <w:t>The accompanying notes are an integral part of the combined financial statements.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10" w:name="page11"/>
    <w:bookmarkEnd w:id="10"/>
    <w:p>
      <w:pPr>
        <w:ind w:left="268"/>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RHONE-POULENC JARDIN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(All amounts are in thousands of French Francs unless otherwise noted)</w:t>
      </w:r>
    </w:p>
    <w:p>
      <w:pPr>
        <w:spacing w:after="0" w:line="346" w:lineRule="exact"/>
        <w:rPr>
          <w:sz w:val="20"/>
          <w:szCs w:val="20"/>
          <w:color w:val="auto"/>
        </w:rPr>
      </w:pPr>
    </w:p>
    <w:p>
      <w:pPr>
        <w:ind w:left="528" w:hanging="528"/>
        <w:spacing w:after="0"/>
        <w:tabs>
          <w:tab w:leader="none" w:pos="52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BASIS OF COMBINATION</w:t>
      </w:r>
    </w:p>
    <w:p>
      <w:pPr>
        <w:spacing w:after="0" w:line="4" w:lineRule="exact"/>
        <w:rPr>
          <w:sz w:val="20"/>
          <w:szCs w:val="20"/>
          <w:color w:val="auto"/>
        </w:rPr>
      </w:pPr>
    </w:p>
    <w:p>
      <w:pPr>
        <w:ind w:left="8" w:right="3079"/>
        <w:spacing w:after="0" w:line="267" w:lineRule="auto"/>
        <w:rPr>
          <w:sz w:val="20"/>
          <w:szCs w:val="20"/>
          <w:color w:val="auto"/>
        </w:rPr>
      </w:pPr>
      <w:r>
        <w:rPr>
          <w:rFonts w:ascii="Courier New" w:cs="Courier New" w:eastAsia="Courier New" w:hAnsi="Courier New"/>
          <w:sz w:val="14"/>
          <w:szCs w:val="14"/>
          <w:color w:val="auto"/>
        </w:rPr>
        <w:t>The combined financial statements of Rhone-Poulenc Jardin (the "Division") include the "carve-out" financial position, results of operations and cash flows of Rhone-Poulenc Jardin SA, Celaflor GmbH and Celaflor Handelsgesellschaft.</w:t>
      </w:r>
    </w:p>
    <w:p>
      <w:pPr>
        <w:spacing w:after="0" w:line="159"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These financial statements have been prepared as if the Division had operated as a stand-alone entity for the period presented, and include those assets, liabilities, and revenues and expenses directly attributable to the Division's operations. Non operating transactions with Rhone-Poulenc Group companies, outside the Division, have been omitted.</w:t>
      </w:r>
    </w:p>
    <w:p>
      <w:pPr>
        <w:spacing w:after="0" w:line="347" w:lineRule="exact"/>
        <w:rPr>
          <w:sz w:val="20"/>
          <w:szCs w:val="20"/>
          <w:color w:val="auto"/>
        </w:rPr>
      </w:pPr>
    </w:p>
    <w:p>
      <w:pPr>
        <w:ind w:left="8" w:right="3779"/>
        <w:spacing w:after="0"/>
        <w:rPr>
          <w:sz w:val="20"/>
          <w:szCs w:val="20"/>
          <w:color w:val="auto"/>
        </w:rPr>
      </w:pPr>
      <w:r>
        <w:rPr>
          <w:rFonts w:ascii="Courier New" w:cs="Courier New" w:eastAsia="Courier New" w:hAnsi="Courier New"/>
          <w:sz w:val="15"/>
          <w:szCs w:val="15"/>
          <w:color w:val="auto"/>
        </w:rPr>
        <w:t>All significant intercompany transactions and balances are eliminated in consolidation.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NATURE OF OPERATIONS</w:t>
      </w:r>
    </w:p>
    <w:p>
      <w:pPr>
        <w:spacing w:after="0" w:line="4"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The Division is in the lawn and garden care business. The Division's principal markets are in France, Germany and Austria.</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INVENTORIES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Inventories are stated at average cost.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PLANT AND EQUIPMENT</w:t>
      </w:r>
    </w:p>
    <w:p>
      <w:pPr>
        <w:spacing w:after="0" w:line="4" w:lineRule="exact"/>
        <w:rPr>
          <w:sz w:val="20"/>
          <w:szCs w:val="20"/>
          <w:color w:val="auto"/>
        </w:rPr>
      </w:pPr>
    </w:p>
    <w:p>
      <w:pPr>
        <w:ind w:left="8" w:right="3699"/>
        <w:spacing w:after="0" w:line="241" w:lineRule="auto"/>
        <w:rPr>
          <w:sz w:val="20"/>
          <w:szCs w:val="20"/>
          <w:color w:val="auto"/>
        </w:rPr>
      </w:pPr>
      <w:r>
        <w:rPr>
          <w:rFonts w:ascii="Courier New" w:cs="Courier New" w:eastAsia="Courier New" w:hAnsi="Courier New"/>
          <w:sz w:val="15"/>
          <w:szCs w:val="15"/>
          <w:color w:val="auto"/>
        </w:rPr>
        <w:t>Property, plant and equipment are recorded at cost. Maintenance costs are charged to operations as incurred. Depreciation is computed using the straight-line method over the estimated useful lives, as follows:</w:t>
      </w:r>
    </w:p>
    <w:p>
      <w:pPr>
        <w:spacing w:after="0" w:line="174"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Office furniture and equipment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bl>
    <w:p>
      <w:pPr>
        <w:spacing w:after="0" w:line="176" w:lineRule="exact"/>
        <w:rPr>
          <w:sz w:val="20"/>
          <w:szCs w:val="20"/>
          <w:color w:val="auto"/>
        </w:rPr>
      </w:pPr>
    </w:p>
    <w:p>
      <w:pPr>
        <w:jc w:val="both"/>
        <w:ind w:left="8" w:right="3259"/>
        <w:spacing w:after="0" w:line="241" w:lineRule="auto"/>
        <w:rPr>
          <w:sz w:val="20"/>
          <w:szCs w:val="20"/>
          <w:color w:val="auto"/>
        </w:rPr>
      </w:pPr>
      <w:r>
        <w:rPr>
          <w:rFonts w:ascii="Courier New" w:cs="Courier New" w:eastAsia="Courier New" w:hAnsi="Courier New"/>
          <w:sz w:val="15"/>
          <w:szCs w:val="15"/>
          <w:color w:val="auto"/>
        </w:rPr>
        <w:t>Upon sale or retirement of property, plant and equipment, the related cost and accumulated depreciation are removed from the accounts and any gain or loss is reflected in the statement of operations.</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289" w:right="1440" w:bottom="1440" w:gutter="0" w:footer="0" w:header="0"/>
        </w:sectPr>
      </w:pPr>
    </w:p>
    <w:bookmarkStart w:id="11" w:name="page12"/>
    <w:bookmarkEnd w:id="11"/>
    <w:p>
      <w:pPr>
        <w:ind w:left="268"/>
        <w:spacing w:after="0"/>
        <w:rPr>
          <w:sz w:val="20"/>
          <w:szCs w:val="20"/>
          <w:color w:val="auto"/>
        </w:rPr>
      </w:pPr>
      <w:r>
        <w:rPr>
          <w:rFonts w:ascii="Courier New" w:cs="Courier New" w:eastAsia="Courier New" w:hAnsi="Courier New"/>
          <w:sz w:val="15"/>
          <w:szCs w:val="15"/>
          <w:color w:val="auto"/>
        </w:rPr>
        <w:t>12</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INTANGIBLE ASSETS AND GOODWILL</w:t>
      </w:r>
    </w:p>
    <w:p>
      <w:pPr>
        <w:spacing w:after="0" w:line="4" w:lineRule="exact"/>
        <w:rPr>
          <w:sz w:val="20"/>
          <w:szCs w:val="20"/>
          <w:color w:val="auto"/>
        </w:rPr>
      </w:pPr>
    </w:p>
    <w:p>
      <w:pPr>
        <w:ind w:left="8" w:right="3439"/>
        <w:spacing w:after="0"/>
        <w:rPr>
          <w:sz w:val="20"/>
          <w:szCs w:val="20"/>
          <w:color w:val="auto"/>
        </w:rPr>
      </w:pPr>
      <w:r>
        <w:rPr>
          <w:rFonts w:ascii="Courier New" w:cs="Courier New" w:eastAsia="Courier New" w:hAnsi="Courier New"/>
          <w:sz w:val="15"/>
          <w:szCs w:val="15"/>
          <w:color w:val="auto"/>
        </w:rPr>
        <w:t>Intangible assets are recorded at cost. Amortization is calculated using the straight-line method over the estimated useful lives as follows:</w:t>
      </w:r>
    </w:p>
    <w:p>
      <w:pPr>
        <w:spacing w:after="0" w:line="174"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Patents, licenses and trademarks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bl>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Division investigates potential impairments of intangible assets on an exception basis where there is evidence that events or changes in circumstances have made recovery of an asset's carrying value unlikely. An impairment loss is recognized when the sum of the expected future net cash flows is less than the carrying amount of the asset.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DEFERRED INCOME TAXES</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Division recognizes deferred tax assets and liabilities for the expected future tax consequences of temporary differences between the carrying amounts and the tax bases of assets and liabilities. Valuation allowances are established, when necessary, to reduce deferred tax assets to the amount "more likely than not" to be realized in future tax returns.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RECOGNITION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from products is recognized when the products are shipped.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TRANSLATION OF FOREIGN CURRENCIES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translation of the financial statements has been completed as follows:</w:t>
      </w:r>
    </w:p>
    <w:p>
      <w:pPr>
        <w:spacing w:after="0" w:line="174"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assets and liabilities are translated at year-end exchange rates;</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shareholders' equity is translated at historical exchange rates;</w:t>
      </w:r>
    </w:p>
    <w:p>
      <w:pPr>
        <w:spacing w:after="0" w:line="175" w:lineRule="exact"/>
        <w:rPr>
          <w:rFonts w:ascii="Courier New" w:cs="Courier New" w:eastAsia="Courier New" w:hAnsi="Courier New"/>
          <w:sz w:val="15"/>
          <w:szCs w:val="15"/>
          <w:color w:val="auto"/>
        </w:rPr>
      </w:pPr>
    </w:p>
    <w:p>
      <w:pPr>
        <w:ind w:left="188" w:right="2899"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statement of operations items are translated at average exchange rates for the year;</w:t>
      </w:r>
    </w:p>
    <w:p>
      <w:pPr>
        <w:spacing w:after="0" w:line="176" w:lineRule="exact"/>
        <w:rPr>
          <w:rFonts w:ascii="Courier New" w:cs="Courier New" w:eastAsia="Courier New" w:hAnsi="Courier New"/>
          <w:sz w:val="15"/>
          <w:szCs w:val="15"/>
          <w:color w:val="auto"/>
        </w:rPr>
      </w:pPr>
    </w:p>
    <w:p>
      <w:pPr>
        <w:ind w:left="188" w:right="3779"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translation gains and losses are recorded in a separate component of shareholders' equity.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EARNINGS PER SHARE</w:t>
      </w:r>
    </w:p>
    <w:p>
      <w:pPr>
        <w:spacing w:after="0" w:line="4" w:lineRule="exact"/>
        <w:rPr>
          <w:sz w:val="20"/>
          <w:szCs w:val="20"/>
          <w:color w:val="auto"/>
        </w:rPr>
      </w:pPr>
    </w:p>
    <w:p>
      <w:pPr>
        <w:jc w:val="both"/>
        <w:ind w:left="8" w:right="3599"/>
        <w:spacing w:after="0" w:line="242" w:lineRule="auto"/>
        <w:rPr>
          <w:sz w:val="20"/>
          <w:szCs w:val="20"/>
          <w:color w:val="auto"/>
        </w:rPr>
      </w:pPr>
      <w:r>
        <w:rPr>
          <w:rFonts w:ascii="Courier New" w:cs="Courier New" w:eastAsia="Courier New" w:hAnsi="Courier New"/>
          <w:sz w:val="15"/>
          <w:szCs w:val="15"/>
          <w:color w:val="auto"/>
        </w:rPr>
        <w:t>As there is no separate capitalization, nor are there any shares of stock specifically attributable to the Division upon which an earnings per share calculation can be based, earnings per share data is not presented in the accompanying combined financial statements.</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MANAGEMENT'S USE OF ESTIMATES</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289" w:right="1440" w:bottom="1440" w:gutter="0" w:footer="0" w:header="0"/>
        </w:sectPr>
      </w:pPr>
    </w:p>
    <w:bookmarkStart w:id="12" w:name="page13"/>
    <w:bookmarkEnd w:id="12"/>
    <w:p>
      <w:pPr>
        <w:ind w:left="268"/>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left="528" w:hanging="528"/>
        <w:spacing w:after="0"/>
        <w:tabs>
          <w:tab w:leader="none" w:pos="52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POOL DUE FROM OR TO AFFILIATES</w:t>
      </w:r>
    </w:p>
    <w:p>
      <w:pPr>
        <w:spacing w:after="0" w:line="176"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Rhone-Poulenc Jardin SA and Celaflor GmbH have cash pooling arrangements with the Rhone-Poulenc Group. Debit balances with the Rhone-Poulenc Group are liquid and readily convertible. Detail of the cash pool amount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9"/>
              </w:rPr>
              <w:t>September 30,</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September 30,</w:t>
            </w:r>
          </w:p>
        </w:tc>
      </w:tr>
      <w:tr>
        <w:trPr>
          <w:trHeight w:val="172"/>
        </w:trPr>
        <w:tc>
          <w:tcPr>
            <w:tcW w:w="412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December 31,</w:t>
            </w:r>
          </w:p>
        </w:tc>
        <w:tc>
          <w:tcPr>
            <w:tcW w:w="15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120" w:type="dxa"/>
            <w:vAlign w:val="bottom"/>
          </w:tcPr>
          <w:p>
            <w:pPr>
              <w:spacing w:after="0"/>
              <w:rPr>
                <w:sz w:val="14"/>
                <w:szCs w:val="14"/>
                <w:color w:val="auto"/>
              </w:rPr>
            </w:pPr>
          </w:p>
        </w:tc>
        <w:tc>
          <w:tcPr>
            <w:tcW w:w="13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rPr>
              <w:t>(unaudited)</w:t>
            </w:r>
          </w:p>
        </w:tc>
        <w:tc>
          <w:tcPr>
            <w:tcW w:w="134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8"/>
              </w:rPr>
              <w:t>(unaudited)</w:t>
            </w:r>
          </w:p>
        </w:tc>
      </w:tr>
      <w:tr>
        <w:trPr>
          <w:trHeight w:val="172"/>
        </w:trPr>
        <w:tc>
          <w:tcPr>
            <w:tcW w:w="412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120" w:type="dxa"/>
            <w:vAlign w:val="bottom"/>
          </w:tcPr>
          <w:p>
            <w:pPr>
              <w:spacing w:after="0"/>
              <w:rPr>
                <w:sz w:val="20"/>
                <w:szCs w:val="20"/>
                <w:color w:val="auto"/>
              </w:rPr>
            </w:pPr>
            <w:r>
              <w:rPr>
                <w:rFonts w:ascii="Courier New" w:cs="Courier New" w:eastAsia="Courier New" w:hAnsi="Courier New"/>
                <w:sz w:val="15"/>
                <w:szCs w:val="15"/>
                <w:color w:val="auto"/>
              </w:rPr>
              <w:t>Celaflor GmbH cash pool with Rhone-Poulenc</w:t>
            </w: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Deutschland GmbH, debit balance</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142,189</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191,147</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138,304</w:t>
            </w: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Rhone-Poulenc Jardin SA cash pool with Rhone-</w:t>
            </w: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Poulenc Agro SA, credit balance</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(94,808)</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(136,096)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(168,781)</w:t>
            </w:r>
          </w:p>
        </w:tc>
      </w:tr>
      <w:tr>
        <w:trPr>
          <w:trHeight w:val="172"/>
        </w:trPr>
        <w:tc>
          <w:tcPr>
            <w:tcW w:w="4120" w:type="dxa"/>
            <w:vAlign w:val="bottom"/>
          </w:tcPr>
          <w:p>
            <w:pPr>
              <w:spacing w:after="0"/>
              <w:rPr>
                <w:sz w:val="14"/>
                <w:szCs w:val="14"/>
                <w:color w:val="auto"/>
              </w:rPr>
            </w:pP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Total cash pool</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47,381</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55,051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(30,477)</w:t>
            </w:r>
          </w:p>
        </w:tc>
      </w:tr>
      <w:tr>
        <w:trPr>
          <w:trHeight w:val="172"/>
        </w:trPr>
        <w:tc>
          <w:tcPr>
            <w:tcW w:w="4120" w:type="dxa"/>
            <w:vAlign w:val="bottom"/>
          </w:tcPr>
          <w:p>
            <w:pPr>
              <w:spacing w:after="0"/>
              <w:rPr>
                <w:sz w:val="14"/>
                <w:szCs w:val="14"/>
                <w:color w:val="auto"/>
              </w:rPr>
            </w:pP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Details of the cash pooling agreements are as follows:</w:t>
      </w:r>
    </w:p>
    <w:p>
      <w:pPr>
        <w:spacing w:after="0" w:line="176" w:lineRule="exact"/>
        <w:rPr>
          <w:sz w:val="20"/>
          <w:szCs w:val="20"/>
          <w:color w:val="auto"/>
        </w:rPr>
      </w:pPr>
    </w:p>
    <w:p>
      <w:pPr>
        <w:ind w:left="448" w:right="3079" w:hanging="448"/>
        <w:spacing w:after="0" w:line="242" w:lineRule="auto"/>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-Celaflor GmbH has a cash pooling agreement with Rhone-Poulenc Deutschland GmbH whereby Celaflor GmbH will advance funds to Rhone-Poulenc Deutschland GmbH as necessary up to the amount available at Celaflor GmbH. Interest accrues on the outstanding balance at the average monthly FIBOR rate (3.45% at December 31, 1997, September 30, 1998 and September 30, 1997).</w:t>
      </w:r>
    </w:p>
    <w:p>
      <w:pPr>
        <w:spacing w:after="0" w:line="175" w:lineRule="exact"/>
        <w:rPr>
          <w:rFonts w:ascii="Courier New" w:cs="Courier New" w:eastAsia="Courier New" w:hAnsi="Courier New"/>
          <w:sz w:val="15"/>
          <w:szCs w:val="15"/>
          <w:color w:val="auto"/>
        </w:rPr>
      </w:pPr>
    </w:p>
    <w:p>
      <w:pPr>
        <w:ind w:left="448" w:right="3079" w:hanging="448"/>
        <w:spacing w:after="0" w:line="260" w:lineRule="auto"/>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Rhone-Poulenc Jardin SA has a cash pooling agreement with Rhone-Poulenc Agro SA whereby Rhone-Poulenc Agro SA will advance funds to Rhone-Poulenc Jardin SA as necessary up to the amount available at Rhone-Poulenc Agro SA. Interest accrues on the outstanding balance at the TJJ daily rate + 0.1%</w:t>
      </w:r>
    </w:p>
    <w:p>
      <w:pPr>
        <w:ind w:left="448" w:right="30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(3.475% at December 31, 1997, and September 30, 1998 and 3.29% at September 30, 1997).</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Interest paid or received for the period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Nine months ended</w:t>
            </w:r>
          </w:p>
        </w:tc>
        <w:tc>
          <w:tcPr>
            <w:tcW w:w="166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Nine months ended</w:t>
            </w:r>
          </w:p>
        </w:tc>
      </w:tr>
      <w:tr>
        <w:trPr>
          <w:trHeight w:val="172"/>
        </w:trPr>
        <w:tc>
          <w:tcPr>
            <w:tcW w:w="4460" w:type="dxa"/>
            <w:vAlign w:val="bottom"/>
          </w:tcPr>
          <w:p>
            <w:pPr>
              <w:spacing w:after="0"/>
              <w:rPr>
                <w:sz w:val="14"/>
                <w:szCs w:val="14"/>
                <w:color w:val="auto"/>
              </w:rPr>
            </w:pPr>
          </w:p>
        </w:tc>
        <w:tc>
          <w:tcPr>
            <w:tcW w:w="1840" w:type="dxa"/>
            <w:vAlign w:val="bottom"/>
          </w:tcPr>
          <w:p>
            <w:pPr>
              <w:ind w:left="640"/>
              <w:spacing w:after="0"/>
              <w:rPr>
                <w:sz w:val="20"/>
                <w:szCs w:val="20"/>
                <w:color w:val="auto"/>
              </w:rPr>
            </w:pPr>
            <w:r>
              <w:rPr>
                <w:rFonts w:ascii="Courier New" w:cs="Courier New" w:eastAsia="Courier New" w:hAnsi="Courier New"/>
                <w:sz w:val="15"/>
                <w:szCs w:val="15"/>
                <w:color w:val="auto"/>
              </w:rPr>
              <w:t>Year ended</w:t>
            </w:r>
          </w:p>
        </w:tc>
        <w:tc>
          <w:tcPr>
            <w:tcW w:w="18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September 30,</w:t>
            </w:r>
          </w:p>
        </w:tc>
        <w:tc>
          <w:tcPr>
            <w:tcW w:w="1660" w:type="dxa"/>
            <w:vAlign w:val="bottom"/>
          </w:tcPr>
          <w:p>
            <w:pPr>
              <w:jc w:val="center"/>
              <w:ind w:left="4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4460" w:type="dxa"/>
            <w:vAlign w:val="bottom"/>
          </w:tcPr>
          <w:p>
            <w:pPr>
              <w:spacing w:after="0"/>
              <w:rPr>
                <w:sz w:val="14"/>
                <w:szCs w:val="14"/>
                <w:color w:val="auto"/>
              </w:rPr>
            </w:pPr>
          </w:p>
        </w:tc>
        <w:tc>
          <w:tcPr>
            <w:tcW w:w="1840" w:type="dxa"/>
            <w:vAlign w:val="bottom"/>
          </w:tcPr>
          <w:p>
            <w:pPr>
              <w:ind w:left="640"/>
              <w:spacing w:after="0"/>
              <w:rPr>
                <w:sz w:val="20"/>
                <w:szCs w:val="20"/>
                <w:color w:val="auto"/>
              </w:rPr>
            </w:pPr>
            <w:r>
              <w:rPr>
                <w:rFonts w:ascii="Courier New" w:cs="Courier New" w:eastAsia="Courier New" w:hAnsi="Courier New"/>
                <w:sz w:val="15"/>
                <w:szCs w:val="15"/>
                <w:color w:val="auto"/>
              </w:rPr>
              <w:t>December 31,</w:t>
            </w:r>
          </w:p>
        </w:tc>
        <w:tc>
          <w:tcPr>
            <w:tcW w:w="18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1998</w:t>
            </w:r>
          </w:p>
        </w:tc>
        <w:tc>
          <w:tcPr>
            <w:tcW w:w="16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460" w:type="dxa"/>
            <w:vAlign w:val="bottom"/>
          </w:tcPr>
          <w:p>
            <w:pPr>
              <w:spacing w:after="0"/>
              <w:rPr>
                <w:sz w:val="14"/>
                <w:szCs w:val="14"/>
                <w:color w:val="auto"/>
              </w:rPr>
            </w:pP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18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(unaudited)</w:t>
            </w:r>
          </w:p>
        </w:tc>
        <w:tc>
          <w:tcPr>
            <w:tcW w:w="166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8"/>
              </w:rPr>
              <w:t>(unaudited)</w:t>
            </w:r>
          </w:p>
        </w:tc>
      </w:tr>
      <w:tr>
        <w:trPr>
          <w:trHeight w:val="172"/>
        </w:trPr>
        <w:tc>
          <w:tcPr>
            <w:tcW w:w="4460" w:type="dxa"/>
            <w:vAlign w:val="bottom"/>
          </w:tcPr>
          <w:p>
            <w:pPr>
              <w:spacing w:after="0"/>
              <w:rPr>
                <w:sz w:val="14"/>
                <w:szCs w:val="14"/>
                <w:color w:val="auto"/>
              </w:rPr>
            </w:pPr>
          </w:p>
        </w:tc>
        <w:tc>
          <w:tcPr>
            <w:tcW w:w="18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Interest received by Celaflor GmbH from</w:t>
            </w:r>
          </w:p>
        </w:tc>
        <w:tc>
          <w:tcPr>
            <w:tcW w:w="1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Rhone-Poulenc Deutschland GmbH</w:t>
            </w:r>
          </w:p>
        </w:tc>
        <w:tc>
          <w:tcPr>
            <w:tcW w:w="1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3,296</w:t>
            </w:r>
          </w:p>
        </w:tc>
        <w:tc>
          <w:tcPr>
            <w:tcW w:w="18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3,692</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2,259</w:t>
            </w: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Interest paid by Rhone-Poulenc Jardin SA to</w:t>
            </w:r>
          </w:p>
        </w:tc>
        <w:tc>
          <w:tcPr>
            <w:tcW w:w="1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Rhone-Poulenc Agro SA</w:t>
            </w:r>
          </w:p>
        </w:tc>
        <w:tc>
          <w:tcPr>
            <w:tcW w:w="1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7,590</w:t>
            </w:r>
          </w:p>
        </w:tc>
        <w:tc>
          <w:tcPr>
            <w:tcW w:w="18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3,869</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5,738</w:t>
            </w:r>
          </w:p>
        </w:tc>
      </w:tr>
    </w:tbl>
    <w:p>
      <w:pPr>
        <w:spacing w:after="0" w:line="346" w:lineRule="exact"/>
        <w:rPr>
          <w:sz w:val="20"/>
          <w:szCs w:val="20"/>
          <w:color w:val="auto"/>
        </w:rPr>
      </w:pPr>
    </w:p>
    <w:p>
      <w:pPr>
        <w:ind w:left="528" w:hanging="528"/>
        <w:spacing w:after="0"/>
        <w:tabs>
          <w:tab w:leader="none" w:pos="52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ACCOUNTS RECEIVABLE, NET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Trade accounts receivable, net consist of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September 30,</w:t>
            </w:r>
          </w:p>
        </w:tc>
        <w:tc>
          <w:tcPr>
            <w:tcW w:w="15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September 30,</w:t>
            </w:r>
          </w:p>
        </w:tc>
      </w:tr>
      <w:tr>
        <w:trPr>
          <w:trHeight w:val="17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December 31,</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1998</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1997</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(unaudited)</w:t>
            </w:r>
          </w:p>
        </w:tc>
        <w:tc>
          <w:tcPr>
            <w:tcW w:w="15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8"/>
              </w:rPr>
              <w:t>(unaudited)</w:t>
            </w:r>
          </w:p>
        </w:tc>
      </w:tr>
      <w:tr>
        <w:trPr>
          <w:trHeight w:val="17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40" w:type="dxa"/>
            <w:vAlign w:val="bottom"/>
          </w:tcPr>
          <w:p>
            <w:pPr>
              <w:spacing w:after="0"/>
              <w:rPr>
                <w:sz w:val="24"/>
                <w:szCs w:val="24"/>
                <w:color w:val="auto"/>
              </w:rPr>
            </w:pPr>
          </w:p>
        </w:tc>
        <w:tc>
          <w:tcPr>
            <w:tcW w:w="440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Trade accounts receivable</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210,617</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101,929</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95,772</w:t>
            </w:r>
          </w:p>
        </w:tc>
      </w:tr>
      <w:tr>
        <w:trPr>
          <w:trHeight w:val="172"/>
        </w:trPr>
        <w:tc>
          <w:tcPr>
            <w:tcW w:w="340" w:type="dxa"/>
            <w:vAlign w:val="bottom"/>
          </w:tcPr>
          <w:p>
            <w:pPr>
              <w:spacing w:after="0"/>
              <w:rPr>
                <w:sz w:val="14"/>
                <w:szCs w:val="14"/>
                <w:color w:val="auto"/>
              </w:rPr>
            </w:pPr>
          </w:p>
        </w:tc>
        <w:tc>
          <w:tcPr>
            <w:tcW w:w="1220" w:type="dxa"/>
            <w:vAlign w:val="bottom"/>
          </w:tcPr>
          <w:p>
            <w:pPr>
              <w:ind w:left="640"/>
              <w:spacing w:after="0"/>
              <w:rPr>
                <w:sz w:val="20"/>
                <w:szCs w:val="20"/>
                <w:color w:val="auto"/>
              </w:rPr>
            </w:pPr>
            <w:r>
              <w:rPr>
                <w:rFonts w:ascii="Courier New" w:cs="Courier New" w:eastAsia="Courier New" w:hAnsi="Courier New"/>
                <w:sz w:val="15"/>
                <w:szCs w:val="15"/>
                <w:color w:val="auto"/>
              </w:rPr>
              <w:t>Less:</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Allowance for doubtful accounts</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(9,153)</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(9,743)</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(9,438)</w:t>
            </w:r>
          </w:p>
        </w:tc>
      </w:tr>
      <w:tr>
        <w:trPr>
          <w:trHeight w:val="17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440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Trade accounts receivable, net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201,464</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92,186</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86,334</w:t>
            </w:r>
          </w:p>
        </w:tc>
      </w:tr>
      <w:tr>
        <w:trPr>
          <w:trHeight w:val="17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516"/>
        </w:trPr>
        <w:tc>
          <w:tcPr>
            <w:tcW w:w="34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3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4"/>
        </w:trPr>
        <w:tc>
          <w:tcPr>
            <w:tcW w:w="4740" w:type="dxa"/>
            <w:vAlign w:val="bottom"/>
            <w:gridSpan w:val="3"/>
          </w:tcPr>
          <w:p>
            <w:pPr>
              <w:spacing w:after="0"/>
              <w:rPr>
                <w:sz w:val="20"/>
                <w:szCs w:val="20"/>
                <w:color w:val="auto"/>
              </w:rPr>
            </w:pPr>
            <w:r>
              <w:rPr>
                <w:rFonts w:ascii="Courier New" w:cs="Courier New" w:eastAsia="Courier New" w:hAnsi="Courier New"/>
                <w:sz w:val="15"/>
                <w:szCs w:val="15"/>
                <w:color w:val="auto"/>
              </w:rPr>
              <w:t>Inventories consist of the following components:</w:t>
            </w: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88"/>
        </w:trPr>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jc w:val="center"/>
              <w:ind w:left="365"/>
              <w:spacing w:after="0"/>
              <w:rPr>
                <w:sz w:val="20"/>
                <w:szCs w:val="20"/>
                <w:color w:val="auto"/>
              </w:rPr>
            </w:pPr>
            <w:r>
              <w:rPr>
                <w:rFonts w:ascii="Courier New" w:cs="Courier New" w:eastAsia="Courier New" w:hAnsi="Courier New"/>
                <w:sz w:val="15"/>
                <w:szCs w:val="15"/>
                <w:color w:val="auto"/>
              </w:rPr>
              <w:t>September 30,</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December 31,</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1997</w:t>
            </w:r>
          </w:p>
        </w:tc>
        <w:tc>
          <w:tcPr>
            <w:tcW w:w="162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8"/>
              </w:rPr>
              <w:t>(unaudited)</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t>
            </w:r>
          </w:p>
        </w:tc>
        <w:tc>
          <w:tcPr>
            <w:tcW w:w="1620" w:type="dxa"/>
            <w:vAlign w:val="bottom"/>
          </w:tcPr>
          <w:p>
            <w:pPr>
              <w:jc w:val="center"/>
              <w:ind w:left="3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340" w:type="dxa"/>
            <w:vAlign w:val="bottom"/>
          </w:tcPr>
          <w:p>
            <w:pPr>
              <w:spacing w:after="0"/>
              <w:rPr>
                <w:sz w:val="24"/>
                <w:szCs w:val="24"/>
                <w:color w:val="auto"/>
              </w:rPr>
            </w:pPr>
          </w:p>
        </w:tc>
        <w:tc>
          <w:tcPr>
            <w:tcW w:w="440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Raw materials</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46,488</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51,922</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51,414</w:t>
            </w:r>
          </w:p>
        </w:tc>
      </w:tr>
      <w:tr>
        <w:trPr>
          <w:trHeight w:val="172"/>
        </w:trPr>
        <w:tc>
          <w:tcPr>
            <w:tcW w:w="340" w:type="dxa"/>
            <w:vAlign w:val="bottom"/>
          </w:tcPr>
          <w:p>
            <w:pPr>
              <w:spacing w:after="0"/>
              <w:rPr>
                <w:sz w:val="14"/>
                <w:szCs w:val="14"/>
                <w:color w:val="auto"/>
              </w:rPr>
            </w:pPr>
          </w:p>
        </w:tc>
        <w:tc>
          <w:tcPr>
            <w:tcW w:w="440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Work in progress</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12,821</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6,691</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5,605</w:t>
            </w:r>
          </w:p>
        </w:tc>
      </w:tr>
      <w:tr>
        <w:trPr>
          <w:trHeight w:val="172"/>
        </w:trPr>
        <w:tc>
          <w:tcPr>
            <w:tcW w:w="340" w:type="dxa"/>
            <w:vAlign w:val="bottom"/>
          </w:tcPr>
          <w:p>
            <w:pPr>
              <w:spacing w:after="0"/>
              <w:rPr>
                <w:sz w:val="14"/>
                <w:szCs w:val="14"/>
                <w:color w:val="auto"/>
              </w:rPr>
            </w:pPr>
          </w:p>
        </w:tc>
        <w:tc>
          <w:tcPr>
            <w:tcW w:w="440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Finished goods</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127,505</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113,591</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110,860</w:t>
            </w:r>
          </w:p>
        </w:tc>
      </w:tr>
      <w:tr>
        <w:trPr>
          <w:trHeight w:val="17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186,814</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172,204</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167,879</w:t>
            </w:r>
          </w:p>
        </w:tc>
      </w:tr>
      <w:tr>
        <w:trPr>
          <w:trHeight w:val="172"/>
        </w:trPr>
        <w:tc>
          <w:tcPr>
            <w:tcW w:w="340" w:type="dxa"/>
            <w:vAlign w:val="bottom"/>
          </w:tcPr>
          <w:p>
            <w:pPr>
              <w:spacing w:after="0"/>
              <w:rPr>
                <w:sz w:val="14"/>
                <w:szCs w:val="14"/>
                <w:color w:val="auto"/>
              </w:rPr>
            </w:pPr>
          </w:p>
        </w:tc>
        <w:tc>
          <w:tcPr>
            <w:tcW w:w="1220" w:type="dxa"/>
            <w:vAlign w:val="bottom"/>
          </w:tcPr>
          <w:p>
            <w:pPr>
              <w:ind w:left="640"/>
              <w:spacing w:after="0"/>
              <w:rPr>
                <w:sz w:val="20"/>
                <w:szCs w:val="20"/>
                <w:color w:val="auto"/>
              </w:rPr>
            </w:pPr>
            <w:r>
              <w:rPr>
                <w:rFonts w:ascii="Courier New" w:cs="Courier New" w:eastAsia="Courier New" w:hAnsi="Courier New"/>
                <w:sz w:val="15"/>
                <w:szCs w:val="15"/>
                <w:color w:val="auto"/>
              </w:rPr>
              <w:t>Less:</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Provisions</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(7,152)</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(6,649)</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(3,335)</w:t>
            </w:r>
          </w:p>
        </w:tc>
      </w:tr>
      <w:tr>
        <w:trPr>
          <w:trHeight w:val="17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440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Total inventories, net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179,662</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165,555</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164,544</w:t>
            </w:r>
          </w:p>
        </w:tc>
      </w:tr>
      <w:tr>
        <w:trPr>
          <w:trHeight w:val="17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7"/>
          </w:cols>
          <w:pgMar w:left="232" w:top="289" w:right="1440" w:bottom="0" w:gutter="0" w:footer="0" w:header="0"/>
        </w:sectPr>
      </w:pPr>
    </w:p>
    <w:bookmarkStart w:id="13" w:name="page14"/>
    <w:bookmarkEnd w:id="13"/>
    <w:p>
      <w:pPr>
        <w:ind w:left="22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484" w:right="1440" w:bottom="1440" w:gutter="0" w:footer="0" w:header="0"/>
        </w:sectPr>
      </w:pPr>
    </w:p>
    <w:bookmarkStart w:id="14" w:name="page15"/>
    <w:bookmarkEnd w:id="14"/>
    <w:p>
      <w:pPr>
        <w:ind w:left="268"/>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528" w:hanging="528"/>
        <w:spacing w:after="0"/>
        <w:tabs>
          <w:tab w:leader="none" w:pos="52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CURRENT ASSETS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current assets consist of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60" w:type="dxa"/>
            <w:vAlign w:val="bottom"/>
          </w:tcPr>
          <w:p>
            <w:pPr>
              <w:jc w:val="center"/>
              <w:ind w:left="45"/>
              <w:spacing w:after="0"/>
              <w:rPr>
                <w:sz w:val="20"/>
                <w:szCs w:val="20"/>
                <w:color w:val="auto"/>
              </w:rPr>
            </w:pPr>
            <w:r>
              <w:rPr>
                <w:rFonts w:ascii="Courier New" w:cs="Courier New" w:eastAsia="Courier New" w:hAnsi="Courier New"/>
                <w:sz w:val="15"/>
                <w:szCs w:val="15"/>
                <w:color w:val="auto"/>
              </w:rPr>
              <w:t>September 30,</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September 30,</w:t>
            </w:r>
          </w:p>
        </w:tc>
      </w:tr>
      <w:tr>
        <w:trPr>
          <w:trHeight w:val="172"/>
        </w:trPr>
        <w:tc>
          <w:tcPr>
            <w:tcW w:w="3300" w:type="dxa"/>
            <w:vAlign w:val="bottom"/>
          </w:tcPr>
          <w:p>
            <w:pPr>
              <w:spacing w:after="0"/>
              <w:rPr>
                <w:sz w:val="14"/>
                <w:szCs w:val="14"/>
                <w:color w:val="auto"/>
              </w:rPr>
            </w:pP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December 31,</w:t>
            </w:r>
          </w:p>
        </w:tc>
        <w:tc>
          <w:tcPr>
            <w:tcW w:w="16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3300" w:type="dxa"/>
            <w:vAlign w:val="bottom"/>
          </w:tcPr>
          <w:p>
            <w:pPr>
              <w:spacing w:after="0"/>
              <w:rPr>
                <w:sz w:val="14"/>
                <w:szCs w:val="14"/>
                <w:color w:val="auto"/>
              </w:rPr>
            </w:pPr>
          </w:p>
        </w:tc>
        <w:tc>
          <w:tcPr>
            <w:tcW w:w="2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1997</w:t>
            </w:r>
          </w:p>
        </w:tc>
        <w:tc>
          <w:tcPr>
            <w:tcW w:w="166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8"/>
              </w:rPr>
              <w:t>(unaudited)</w:t>
            </w:r>
          </w:p>
        </w:tc>
        <w:tc>
          <w:tcPr>
            <w:tcW w:w="13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8"/>
              </w:rPr>
              <w:t>(unaudited)</w:t>
            </w:r>
          </w:p>
        </w:tc>
      </w:tr>
      <w:tr>
        <w:trPr>
          <w:trHeight w:val="172"/>
        </w:trPr>
        <w:tc>
          <w:tcPr>
            <w:tcW w:w="3300" w:type="dxa"/>
            <w:vAlign w:val="bottom"/>
          </w:tcPr>
          <w:p>
            <w:pPr>
              <w:spacing w:after="0"/>
              <w:rPr>
                <w:sz w:val="14"/>
                <w:szCs w:val="14"/>
                <w:color w:val="auto"/>
              </w:rPr>
            </w:pP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Receivable from the state</w:t>
            </w:r>
          </w:p>
        </w:tc>
        <w:tc>
          <w:tcPr>
            <w:tcW w:w="2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27,482</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25,439</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25,799</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2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7,483</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2,347</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9,535</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3,581</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4,902</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3,747</w:t>
            </w:r>
          </w:p>
        </w:tc>
      </w:tr>
      <w:tr>
        <w:trPr>
          <w:trHeight w:val="172"/>
        </w:trPr>
        <w:tc>
          <w:tcPr>
            <w:tcW w:w="3300" w:type="dxa"/>
            <w:vAlign w:val="bottom"/>
          </w:tcPr>
          <w:p>
            <w:pPr>
              <w:spacing w:after="0"/>
              <w:rPr>
                <w:sz w:val="14"/>
                <w:szCs w:val="14"/>
                <w:color w:val="auto"/>
              </w:rPr>
            </w:pPr>
          </w:p>
        </w:tc>
        <w:tc>
          <w:tcPr>
            <w:tcW w:w="2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Total other current assets</w:t>
            </w:r>
          </w:p>
        </w:tc>
        <w:tc>
          <w:tcPr>
            <w:tcW w:w="2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38,546</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32,688</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39,081</w:t>
            </w:r>
          </w:p>
        </w:tc>
      </w:tr>
      <w:tr>
        <w:trPr>
          <w:trHeight w:val="172"/>
        </w:trPr>
        <w:tc>
          <w:tcPr>
            <w:tcW w:w="3300" w:type="dxa"/>
            <w:vAlign w:val="bottom"/>
          </w:tcPr>
          <w:p>
            <w:pPr>
              <w:spacing w:after="0"/>
              <w:rPr>
                <w:sz w:val="14"/>
                <w:szCs w:val="14"/>
                <w:color w:val="auto"/>
              </w:rPr>
            </w:pPr>
          </w:p>
        </w:tc>
        <w:tc>
          <w:tcPr>
            <w:tcW w:w="2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528" w:hanging="528"/>
        <w:spacing w:after="0"/>
        <w:tabs>
          <w:tab w:leader="none" w:pos="52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plant and equipment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September 30,</w:t>
            </w:r>
          </w:p>
        </w:tc>
        <w:tc>
          <w:tcPr>
            <w:tcW w:w="148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September 30,</w:t>
            </w:r>
          </w:p>
        </w:tc>
      </w:tr>
      <w:tr>
        <w:trPr>
          <w:trHeight w:val="172"/>
        </w:trPr>
        <w:tc>
          <w:tcPr>
            <w:tcW w:w="3940" w:type="dxa"/>
            <w:vAlign w:val="bottom"/>
          </w:tcPr>
          <w:p>
            <w:pPr>
              <w:spacing w:after="0"/>
              <w:rPr>
                <w:sz w:val="14"/>
                <w:szCs w:val="14"/>
                <w:color w:val="auto"/>
              </w:rPr>
            </w:pPr>
          </w:p>
        </w:tc>
        <w:tc>
          <w:tcPr>
            <w:tcW w:w="15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December 31,</w:t>
            </w:r>
          </w:p>
        </w:tc>
        <w:tc>
          <w:tcPr>
            <w:tcW w:w="17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1998</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3940" w:type="dxa"/>
            <w:vAlign w:val="bottom"/>
          </w:tcPr>
          <w:p>
            <w:pPr>
              <w:spacing w:after="0"/>
              <w:rPr>
                <w:sz w:val="14"/>
                <w:szCs w:val="14"/>
                <w:color w:val="auto"/>
              </w:rPr>
            </w:pPr>
          </w:p>
        </w:tc>
        <w:tc>
          <w:tcPr>
            <w:tcW w:w="15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1997</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w w:val="98"/>
              </w:rPr>
              <w:t>(unaudited)</w:t>
            </w:r>
          </w:p>
        </w:tc>
        <w:tc>
          <w:tcPr>
            <w:tcW w:w="1480" w:type="dxa"/>
            <w:vAlign w:val="bottom"/>
          </w:tcPr>
          <w:p>
            <w:pPr>
              <w:jc w:val="center"/>
              <w:ind w:left="245"/>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3940" w:type="dxa"/>
            <w:vAlign w:val="bottom"/>
          </w:tcPr>
          <w:p>
            <w:pPr>
              <w:spacing w:after="0"/>
              <w:rPr>
                <w:sz w:val="14"/>
                <w:szCs w:val="14"/>
                <w:color w:val="auto"/>
              </w:rPr>
            </w:pPr>
          </w:p>
        </w:tc>
        <w:tc>
          <w:tcPr>
            <w:tcW w:w="15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94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2,550</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2,550</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2,550</w:t>
            </w:r>
          </w:p>
        </w:tc>
      </w:tr>
      <w:tr>
        <w:trPr>
          <w:trHeight w:val="172"/>
        </w:trPr>
        <w:tc>
          <w:tcPr>
            <w:tcW w:w="39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28,420</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31,081</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28,420</w:t>
            </w:r>
          </w:p>
        </w:tc>
      </w:tr>
      <w:tr>
        <w:trPr>
          <w:trHeight w:val="172"/>
        </w:trPr>
        <w:tc>
          <w:tcPr>
            <w:tcW w:w="39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43,377</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42,793</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40,977</w:t>
            </w:r>
          </w:p>
        </w:tc>
      </w:tr>
      <w:tr>
        <w:trPr>
          <w:trHeight w:val="172"/>
        </w:trPr>
        <w:tc>
          <w:tcPr>
            <w:tcW w:w="3940" w:type="dxa"/>
            <w:vAlign w:val="bottom"/>
          </w:tcPr>
          <w:p>
            <w:pPr>
              <w:spacing w:after="0"/>
              <w:rPr>
                <w:sz w:val="20"/>
                <w:szCs w:val="20"/>
                <w:color w:val="auto"/>
              </w:rPr>
            </w:pPr>
            <w:r>
              <w:rPr>
                <w:rFonts w:ascii="Courier New" w:cs="Courier New" w:eastAsia="Courier New" w:hAnsi="Courier New"/>
                <w:sz w:val="15"/>
                <w:szCs w:val="15"/>
                <w:color w:val="auto"/>
              </w:rPr>
              <w:t>Office furniture and equipment</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15,618</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16,396</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17,653</w:t>
            </w:r>
          </w:p>
        </w:tc>
      </w:tr>
      <w:tr>
        <w:trPr>
          <w:trHeight w:val="172"/>
        </w:trPr>
        <w:tc>
          <w:tcPr>
            <w:tcW w:w="394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1,656</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737</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92</w:t>
            </w:r>
          </w:p>
        </w:tc>
      </w:tr>
      <w:tr>
        <w:trPr>
          <w:trHeight w:val="172"/>
        </w:trPr>
        <w:tc>
          <w:tcPr>
            <w:tcW w:w="394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94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91,621</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93,557</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89,692</w:t>
            </w:r>
          </w:p>
        </w:tc>
      </w:tr>
      <w:tr>
        <w:trPr>
          <w:trHeight w:val="172"/>
        </w:trPr>
        <w:tc>
          <w:tcPr>
            <w:tcW w:w="39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(64,811)</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(68,915)</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(62,939)</w:t>
            </w:r>
          </w:p>
        </w:tc>
      </w:tr>
      <w:tr>
        <w:trPr>
          <w:trHeight w:val="172"/>
        </w:trPr>
        <w:tc>
          <w:tcPr>
            <w:tcW w:w="394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Total property, plant and equipment, net</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26,810</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24,642</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26,753</w:t>
            </w:r>
          </w:p>
        </w:tc>
      </w:tr>
      <w:tr>
        <w:trPr>
          <w:trHeight w:val="172"/>
        </w:trPr>
        <w:tc>
          <w:tcPr>
            <w:tcW w:w="394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Depreciation expense was FF 7,587 thousand during the year ended December 31, 1997, FF 5,529 thousand during the nine months ended September 30, 1998 and FF 4,438 thousand during the nine months ended September 30, 1997.</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289" w:right="1440" w:bottom="1440" w:gutter="0" w:footer="0" w:header="0"/>
        </w:sectPr>
      </w:pPr>
    </w:p>
    <w:bookmarkStart w:id="15" w:name="page16"/>
    <w:bookmarkEnd w:id="15"/>
    <w:tbl>
      <w:tblPr>
        <w:tblLayout w:type="fixed"/>
        <w:tblInd w:w="8"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15</w:t>
            </w:r>
          </w:p>
        </w:tc>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5100" w:type="dxa"/>
            <w:vAlign w:val="bottom"/>
          </w:tcPr>
          <w:p>
            <w:pPr>
              <w:ind w:left="300"/>
              <w:spacing w:after="0"/>
              <w:rPr>
                <w:sz w:val="20"/>
                <w:szCs w:val="20"/>
                <w:color w:val="auto"/>
              </w:rPr>
            </w:pPr>
            <w:r>
              <w:rPr>
                <w:rFonts w:ascii="Courier New" w:cs="Courier New" w:eastAsia="Courier New" w:hAnsi="Courier New"/>
                <w:sz w:val="15"/>
                <w:szCs w:val="15"/>
                <w:color w:val="auto"/>
              </w:rPr>
              <w:t>INTANGIBLE ASSETS</w:t>
            </w:r>
          </w:p>
        </w:tc>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44"/>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Intangible assets consist of the following:</w:t>
            </w: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60"/>
        </w:trPr>
        <w:tc>
          <w:tcPr>
            <w:tcW w:w="2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September 30,</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September 30,</w:t>
            </w:r>
          </w:p>
        </w:tc>
      </w:tr>
      <w:tr>
        <w:trPr>
          <w:trHeight w:val="172"/>
        </w:trPr>
        <w:tc>
          <w:tcPr>
            <w:tcW w:w="2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December 31,</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2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1997</w:t>
            </w:r>
          </w:p>
        </w:tc>
        <w:tc>
          <w:tcPr>
            <w:tcW w:w="170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8"/>
              </w:rPr>
              <w:t>(unaudited)</w:t>
            </w:r>
          </w:p>
        </w:tc>
        <w:tc>
          <w:tcPr>
            <w:tcW w:w="13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8"/>
              </w:rPr>
              <w:t>(unaudited)</w:t>
            </w:r>
          </w:p>
        </w:tc>
      </w:tr>
      <w:tr>
        <w:trPr>
          <w:trHeight w:val="172"/>
        </w:trPr>
        <w:tc>
          <w:tcPr>
            <w:tcW w:w="2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20" w:type="dxa"/>
            <w:vAlign w:val="bottom"/>
          </w:tcPr>
          <w:p>
            <w:pPr>
              <w:spacing w:after="0"/>
              <w:rPr>
                <w:sz w:val="24"/>
                <w:szCs w:val="24"/>
                <w:color w:val="auto"/>
              </w:rPr>
            </w:pPr>
          </w:p>
        </w:tc>
        <w:tc>
          <w:tcPr>
            <w:tcW w:w="5100" w:type="dxa"/>
            <w:vAlign w:val="bottom"/>
          </w:tcPr>
          <w:p>
            <w:pPr>
              <w:ind w:left="760"/>
              <w:spacing w:after="0"/>
              <w:rPr>
                <w:sz w:val="20"/>
                <w:szCs w:val="20"/>
                <w:color w:val="auto"/>
              </w:rPr>
            </w:pPr>
            <w:r>
              <w:rPr>
                <w:rFonts w:ascii="Courier New" w:cs="Courier New" w:eastAsia="Courier New" w:hAnsi="Courier New"/>
                <w:sz w:val="15"/>
                <w:szCs w:val="15"/>
                <w:color w:val="auto"/>
              </w:rPr>
              <w:t>Rhone-Poulenc Jardin (former SOVILO) goodwill</w:t>
            </w: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342,790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342,790</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342,790</w:t>
            </w:r>
          </w:p>
        </w:tc>
      </w:tr>
      <w:tr>
        <w:trPr>
          <w:trHeight w:val="172"/>
        </w:trPr>
        <w:tc>
          <w:tcPr>
            <w:tcW w:w="220" w:type="dxa"/>
            <w:vAlign w:val="bottom"/>
          </w:tcPr>
          <w:p>
            <w:pPr>
              <w:spacing w:after="0"/>
              <w:rPr>
                <w:sz w:val="14"/>
                <w:szCs w:val="14"/>
                <w:color w:val="auto"/>
              </w:rPr>
            </w:pPr>
          </w:p>
        </w:tc>
        <w:tc>
          <w:tcPr>
            <w:tcW w:w="5100" w:type="dxa"/>
            <w:vAlign w:val="bottom"/>
          </w:tcPr>
          <w:p>
            <w:pPr>
              <w:ind w:left="760"/>
              <w:spacing w:after="0"/>
              <w:rPr>
                <w:sz w:val="20"/>
                <w:szCs w:val="20"/>
                <w:color w:val="auto"/>
              </w:rPr>
            </w:pPr>
            <w:r>
              <w:rPr>
                <w:rFonts w:ascii="Courier New" w:cs="Courier New" w:eastAsia="Courier New" w:hAnsi="Courier New"/>
                <w:sz w:val="15"/>
                <w:szCs w:val="15"/>
                <w:color w:val="auto"/>
              </w:rPr>
              <w:t>Celaflor GmbH goodwill</w:t>
            </w: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205,510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205,964</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206,308</w:t>
            </w:r>
          </w:p>
        </w:tc>
      </w:tr>
      <w:tr>
        <w:trPr>
          <w:trHeight w:val="172"/>
        </w:trPr>
        <w:tc>
          <w:tcPr>
            <w:tcW w:w="220" w:type="dxa"/>
            <w:vAlign w:val="bottom"/>
          </w:tcPr>
          <w:p>
            <w:pPr>
              <w:spacing w:after="0"/>
              <w:rPr>
                <w:sz w:val="14"/>
                <w:szCs w:val="14"/>
                <w:color w:val="auto"/>
              </w:rPr>
            </w:pPr>
          </w:p>
        </w:tc>
        <w:tc>
          <w:tcPr>
            <w:tcW w:w="5100" w:type="dxa"/>
            <w:vAlign w:val="bottom"/>
          </w:tcPr>
          <w:p>
            <w:pPr>
              <w:ind w:left="760"/>
              <w:spacing w:after="0"/>
              <w:rPr>
                <w:sz w:val="20"/>
                <w:szCs w:val="20"/>
                <w:color w:val="auto"/>
              </w:rPr>
            </w:pPr>
            <w:r>
              <w:rPr>
                <w:rFonts w:ascii="Courier New" w:cs="Courier New" w:eastAsia="Courier New" w:hAnsi="Courier New"/>
                <w:sz w:val="15"/>
                <w:szCs w:val="15"/>
                <w:color w:val="auto"/>
              </w:rPr>
              <w:t>Other goodwills</w:t>
            </w: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2,949</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2,955</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2,959</w:t>
            </w:r>
          </w:p>
        </w:tc>
      </w:tr>
      <w:tr>
        <w:trPr>
          <w:trHeight w:val="172"/>
        </w:trPr>
        <w:tc>
          <w:tcPr>
            <w:tcW w:w="220" w:type="dxa"/>
            <w:vAlign w:val="bottom"/>
          </w:tcPr>
          <w:p>
            <w:pPr>
              <w:spacing w:after="0"/>
              <w:rPr>
                <w:sz w:val="14"/>
                <w:szCs w:val="14"/>
                <w:color w:val="auto"/>
              </w:rPr>
            </w:pPr>
          </w:p>
        </w:tc>
        <w:tc>
          <w:tcPr>
            <w:tcW w:w="5100" w:type="dxa"/>
            <w:vAlign w:val="bottom"/>
          </w:tcPr>
          <w:p>
            <w:pPr>
              <w:ind w:left="760"/>
              <w:spacing w:after="0"/>
              <w:rPr>
                <w:sz w:val="20"/>
                <w:szCs w:val="20"/>
                <w:color w:val="auto"/>
              </w:rPr>
            </w:pPr>
            <w:r>
              <w:rPr>
                <w:rFonts w:ascii="Courier New" w:cs="Courier New" w:eastAsia="Courier New" w:hAnsi="Courier New"/>
                <w:sz w:val="15"/>
                <w:szCs w:val="15"/>
                <w:color w:val="auto"/>
              </w:rPr>
              <w:t>Software</w:t>
            </w: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12,360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13,800</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11,864</w:t>
            </w:r>
          </w:p>
        </w:tc>
      </w:tr>
      <w:tr>
        <w:trPr>
          <w:trHeight w:val="172"/>
        </w:trPr>
        <w:tc>
          <w:tcPr>
            <w:tcW w:w="220" w:type="dxa"/>
            <w:vAlign w:val="bottom"/>
          </w:tcPr>
          <w:p>
            <w:pPr>
              <w:spacing w:after="0"/>
              <w:rPr>
                <w:sz w:val="14"/>
                <w:szCs w:val="14"/>
                <w:color w:val="auto"/>
              </w:rPr>
            </w:pPr>
          </w:p>
        </w:tc>
        <w:tc>
          <w:tcPr>
            <w:tcW w:w="5100" w:type="dxa"/>
            <w:vAlign w:val="bottom"/>
          </w:tcPr>
          <w:p>
            <w:pPr>
              <w:ind w:left="760"/>
              <w:spacing w:after="0"/>
              <w:rPr>
                <w:sz w:val="20"/>
                <w:szCs w:val="20"/>
                <w:color w:val="auto"/>
              </w:rPr>
            </w:pPr>
            <w:r>
              <w:rPr>
                <w:rFonts w:ascii="Courier New" w:cs="Courier New" w:eastAsia="Courier New" w:hAnsi="Courier New"/>
                <w:sz w:val="15"/>
                <w:szCs w:val="15"/>
                <w:color w:val="auto"/>
              </w:rPr>
              <w:t>Patents, licenses and trademarks</w:t>
            </w: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11,881</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11,892</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11,871</w:t>
            </w:r>
          </w:p>
        </w:tc>
      </w:tr>
      <w:tr>
        <w:trPr>
          <w:trHeight w:val="172"/>
        </w:trPr>
        <w:tc>
          <w:tcPr>
            <w:tcW w:w="2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575,490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577,401</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575,792</w:t>
            </w:r>
          </w:p>
        </w:tc>
      </w:tr>
      <w:tr>
        <w:trPr>
          <w:trHeight w:val="172"/>
        </w:trPr>
        <w:tc>
          <w:tcPr>
            <w:tcW w:w="220" w:type="dxa"/>
            <w:vAlign w:val="bottom"/>
          </w:tcPr>
          <w:p>
            <w:pPr>
              <w:spacing w:after="0"/>
              <w:rPr>
                <w:sz w:val="14"/>
                <w:szCs w:val="14"/>
                <w:color w:val="auto"/>
              </w:rPr>
            </w:pPr>
          </w:p>
        </w:tc>
        <w:tc>
          <w:tcPr>
            <w:tcW w:w="5100" w:type="dxa"/>
            <w:vAlign w:val="bottom"/>
          </w:tcPr>
          <w:p>
            <w:pPr>
              <w:ind w:left="760"/>
              <w:spacing w:after="0"/>
              <w:rPr>
                <w:sz w:val="20"/>
                <w:szCs w:val="20"/>
                <w:color w:val="auto"/>
              </w:rPr>
            </w:pPr>
            <w:r>
              <w:rPr>
                <w:rFonts w:ascii="Courier New" w:cs="Courier New" w:eastAsia="Courier New" w:hAnsi="Courier New"/>
                <w:sz w:val="15"/>
                <w:szCs w:val="15"/>
                <w:color w:val="auto"/>
              </w:rPr>
              <w:t>Less:  Accumulated amortization</w:t>
            </w:r>
          </w:p>
        </w:tc>
        <w:tc>
          <w:tcPr>
            <w:tcW w:w="17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(103,711)</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(117,742)</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(99,560)</w:t>
            </w:r>
          </w:p>
        </w:tc>
      </w:tr>
      <w:tr>
        <w:trPr>
          <w:trHeight w:val="172"/>
        </w:trPr>
        <w:tc>
          <w:tcPr>
            <w:tcW w:w="2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0" w:type="dxa"/>
            <w:vAlign w:val="bottom"/>
          </w:tcPr>
          <w:p>
            <w:pPr>
              <w:spacing w:after="0"/>
              <w:rPr>
                <w:sz w:val="14"/>
                <w:szCs w:val="14"/>
                <w:color w:val="auto"/>
              </w:rPr>
            </w:pPr>
          </w:p>
        </w:tc>
        <w:tc>
          <w:tcPr>
            <w:tcW w:w="5100" w:type="dxa"/>
            <w:vAlign w:val="bottom"/>
          </w:tcPr>
          <w:p>
            <w:pPr>
              <w:ind w:left="940"/>
              <w:spacing w:after="0"/>
              <w:rPr>
                <w:sz w:val="20"/>
                <w:szCs w:val="20"/>
                <w:color w:val="auto"/>
              </w:rPr>
            </w:pPr>
            <w:r>
              <w:rPr>
                <w:rFonts w:ascii="Courier New" w:cs="Courier New" w:eastAsia="Courier New" w:hAnsi="Courier New"/>
                <w:sz w:val="15"/>
                <w:szCs w:val="15"/>
                <w:color w:val="auto"/>
              </w:rPr>
              <w:t>Total intangible assets, net</w:t>
            </w: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471,779</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459,659</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476,232</w:t>
            </w:r>
          </w:p>
        </w:tc>
      </w:tr>
      <w:tr>
        <w:trPr>
          <w:trHeight w:val="172"/>
        </w:trPr>
        <w:tc>
          <w:tcPr>
            <w:tcW w:w="2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In 1991, Rhone-Poulenc Jardin SA acquired goodwill of FF 342,790 thousand in connection with the purchase of the Sovilo Company. Accumulated amortization was FF 63,000 thousand at December 31, 1997.</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 1991, Celaflor GmbH was purchased by Rhone-Poulenc. The corresponding consolidation goodwill amounts to FF 205,510 thousand. Accumulated amortization was FF 34,250 thousand at December 31, 1997, FF 38,007 thousand at September 30, 1998 and FF 33,154 thousand at September 30, 1997. Most of this goodwill amortization is deductible for tax purposes at the German level (useful life of 15 years for tax purposes).</w:t>
      </w:r>
    </w:p>
    <w:p>
      <w:pPr>
        <w:spacing w:after="0" w:line="174" w:lineRule="exact"/>
        <w:rPr>
          <w:sz w:val="20"/>
          <w:szCs w:val="20"/>
          <w:color w:val="auto"/>
        </w:rPr>
      </w:pPr>
    </w:p>
    <w:p>
      <w:pPr>
        <w:ind w:left="528" w:hanging="528"/>
        <w:spacing w:after="0"/>
        <w:tabs>
          <w:tab w:leader="none" w:pos="5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LIABILITIES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Current liabilities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September 30,</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September 30,</w:t>
            </w:r>
          </w:p>
        </w:tc>
      </w:tr>
      <w:tr>
        <w:trPr>
          <w:trHeight w:val="172"/>
        </w:trPr>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December 31,</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1997</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(unaudited)</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40" w:type="dxa"/>
            <w:vAlign w:val="bottom"/>
          </w:tcPr>
          <w:p>
            <w:pPr>
              <w:spacing w:after="0"/>
              <w:rPr>
                <w:sz w:val="24"/>
                <w:szCs w:val="24"/>
                <w:color w:val="auto"/>
              </w:rPr>
            </w:pPr>
          </w:p>
        </w:tc>
        <w:tc>
          <w:tcPr>
            <w:tcW w:w="5200" w:type="dxa"/>
            <w:vAlign w:val="bottom"/>
          </w:tcPr>
          <w:p>
            <w:pPr>
              <w:ind w:left="640"/>
              <w:spacing w:after="0"/>
              <w:rPr>
                <w:sz w:val="20"/>
                <w:szCs w:val="20"/>
                <w:color w:val="auto"/>
              </w:rPr>
            </w:pPr>
            <w:r>
              <w:rPr>
                <w:rFonts w:ascii="Courier New" w:cs="Courier New" w:eastAsia="Courier New" w:hAnsi="Courier New"/>
                <w:sz w:val="15"/>
                <w:szCs w:val="15"/>
                <w:color w:val="auto"/>
              </w:rPr>
              <w:t>Short term borrowings</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12,075</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13,916</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6,143</w:t>
            </w:r>
          </w:p>
        </w:tc>
      </w:tr>
      <w:tr>
        <w:trPr>
          <w:trHeight w:val="172"/>
        </w:trPr>
        <w:tc>
          <w:tcPr>
            <w:tcW w:w="340" w:type="dxa"/>
            <w:vAlign w:val="bottom"/>
          </w:tcPr>
          <w:p>
            <w:pPr>
              <w:spacing w:after="0"/>
              <w:rPr>
                <w:sz w:val="14"/>
                <w:szCs w:val="14"/>
                <w:color w:val="auto"/>
              </w:rPr>
            </w:pPr>
          </w:p>
        </w:tc>
        <w:tc>
          <w:tcPr>
            <w:tcW w:w="5200" w:type="dxa"/>
            <w:vAlign w:val="bottom"/>
          </w:tcPr>
          <w:p>
            <w:pPr>
              <w:ind w:left="640"/>
              <w:spacing w:after="0"/>
              <w:rPr>
                <w:sz w:val="20"/>
                <w:szCs w:val="20"/>
                <w:color w:val="auto"/>
              </w:rPr>
            </w:pPr>
            <w:r>
              <w:rPr>
                <w:rFonts w:ascii="Courier New" w:cs="Courier New" w:eastAsia="Courier New" w:hAnsi="Courier New"/>
                <w:sz w:val="15"/>
                <w:szCs w:val="15"/>
                <w:color w:val="auto"/>
              </w:rPr>
              <w:t>Other short term borrowings</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167,304</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49,753</w:t>
            </w:r>
          </w:p>
        </w:tc>
      </w:tr>
      <w:tr>
        <w:trPr>
          <w:trHeight w:val="172"/>
        </w:trPr>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179,379</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13,916</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55,896</w:t>
            </w:r>
          </w:p>
        </w:tc>
      </w:tr>
      <w:tr>
        <w:trPr>
          <w:trHeight w:val="172"/>
        </w:trPr>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16"/>
        </w:trPr>
        <w:tc>
          <w:tcPr>
            <w:tcW w:w="7060" w:type="dxa"/>
            <w:vAlign w:val="bottom"/>
            <w:gridSpan w:val="3"/>
          </w:tcPr>
          <w:p>
            <w:pPr>
              <w:spacing w:after="0"/>
              <w:rPr>
                <w:sz w:val="20"/>
                <w:szCs w:val="20"/>
                <w:color w:val="auto"/>
              </w:rPr>
            </w:pPr>
            <w:r>
              <w:rPr>
                <w:rFonts w:ascii="Courier New" w:cs="Courier New" w:eastAsia="Courier New" w:hAnsi="Courier New"/>
                <w:sz w:val="15"/>
                <w:szCs w:val="15"/>
                <w:color w:val="auto"/>
              </w:rPr>
              <w:t>Short term borrowings consist of bank overdrafts and various lines of credit,</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with initial maturity of less than three months.</w:t>
            </w: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7060" w:type="dxa"/>
            <w:vAlign w:val="bottom"/>
            <w:gridSpan w:val="3"/>
          </w:tcPr>
          <w:p>
            <w:pPr>
              <w:spacing w:after="0"/>
              <w:rPr>
                <w:sz w:val="20"/>
                <w:szCs w:val="20"/>
                <w:color w:val="auto"/>
              </w:rPr>
            </w:pPr>
            <w:r>
              <w:rPr>
                <w:rFonts w:ascii="Courier New" w:cs="Courier New" w:eastAsia="Courier New" w:hAnsi="Courier New"/>
                <w:sz w:val="15"/>
                <w:szCs w:val="15"/>
                <w:color w:val="auto"/>
              </w:rPr>
              <w:t>Rhone-Poulenc Jardin SA's parent company has an arrangement with its</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7060" w:type="dxa"/>
            <w:vAlign w:val="bottom"/>
            <w:gridSpan w:val="3"/>
          </w:tcPr>
          <w:p>
            <w:pPr>
              <w:spacing w:after="0"/>
              <w:rPr>
                <w:sz w:val="20"/>
                <w:szCs w:val="20"/>
                <w:color w:val="auto"/>
              </w:rPr>
            </w:pPr>
            <w:r>
              <w:rPr>
                <w:rFonts w:ascii="Courier New" w:cs="Courier New" w:eastAsia="Courier New" w:hAnsi="Courier New"/>
                <w:sz w:val="15"/>
                <w:szCs w:val="15"/>
                <w:color w:val="auto"/>
              </w:rPr>
              <w:t>financial institutions which allows the parent company and its subsidiaries to</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060" w:type="dxa"/>
            <w:vAlign w:val="bottom"/>
            <w:gridSpan w:val="3"/>
          </w:tcPr>
          <w:p>
            <w:pPr>
              <w:spacing w:after="0"/>
              <w:rPr>
                <w:sz w:val="20"/>
                <w:szCs w:val="20"/>
                <w:color w:val="auto"/>
              </w:rPr>
            </w:pPr>
            <w:r>
              <w:rPr>
                <w:rFonts w:ascii="Courier New" w:cs="Courier New" w:eastAsia="Courier New" w:hAnsi="Courier New"/>
                <w:sz w:val="15"/>
                <w:szCs w:val="15"/>
                <w:color w:val="auto"/>
              </w:rPr>
              <w:t>borrow up to FF 150,000 thousand. Rhone-Poulenc Jardin has amounts outstanding</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060" w:type="dxa"/>
            <w:vAlign w:val="bottom"/>
            <w:gridSpan w:val="3"/>
          </w:tcPr>
          <w:p>
            <w:pPr>
              <w:spacing w:after="0"/>
              <w:rPr>
                <w:sz w:val="20"/>
                <w:szCs w:val="20"/>
                <w:color w:val="auto"/>
              </w:rPr>
            </w:pPr>
            <w:r>
              <w:rPr>
                <w:rFonts w:ascii="Courier New" w:cs="Courier New" w:eastAsia="Courier New" w:hAnsi="Courier New"/>
                <w:sz w:val="15"/>
                <w:szCs w:val="15"/>
                <w:color w:val="auto"/>
              </w:rPr>
              <w:t>under this agreement of FF 11,459 thousand at December 31, 1997; FF 13,916</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060" w:type="dxa"/>
            <w:vAlign w:val="bottom"/>
            <w:gridSpan w:val="3"/>
          </w:tcPr>
          <w:p>
            <w:pPr>
              <w:spacing w:after="0"/>
              <w:rPr>
                <w:sz w:val="20"/>
                <w:szCs w:val="20"/>
                <w:color w:val="auto"/>
              </w:rPr>
            </w:pPr>
            <w:r>
              <w:rPr>
                <w:rFonts w:ascii="Courier New" w:cs="Courier New" w:eastAsia="Courier New" w:hAnsi="Courier New"/>
                <w:sz w:val="15"/>
                <w:szCs w:val="15"/>
                <w:color w:val="auto"/>
              </w:rPr>
              <w:t>thousand at September 30, 1998; and FF 6,143 thousand at September 30, 1997.</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Interest accrues at TMP +0.4%.</w:t>
            </w: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7060" w:type="dxa"/>
            <w:vAlign w:val="bottom"/>
            <w:gridSpan w:val="3"/>
          </w:tcPr>
          <w:p>
            <w:pPr>
              <w:spacing w:after="0"/>
              <w:rPr>
                <w:sz w:val="20"/>
                <w:szCs w:val="20"/>
                <w:color w:val="auto"/>
              </w:rPr>
            </w:pPr>
            <w:r>
              <w:rPr>
                <w:rFonts w:ascii="Courier New" w:cs="Courier New" w:eastAsia="Courier New" w:hAnsi="Courier New"/>
                <w:sz w:val="15"/>
                <w:szCs w:val="15"/>
                <w:color w:val="auto"/>
              </w:rPr>
              <w:t>Celaflor GmbH has line of credit agreements with its financial institutions</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7060" w:type="dxa"/>
            <w:vAlign w:val="bottom"/>
            <w:gridSpan w:val="3"/>
          </w:tcPr>
          <w:p>
            <w:pPr>
              <w:spacing w:after="0"/>
              <w:rPr>
                <w:sz w:val="20"/>
                <w:szCs w:val="20"/>
                <w:color w:val="auto"/>
              </w:rPr>
            </w:pPr>
            <w:r>
              <w:rPr>
                <w:rFonts w:ascii="Courier New" w:cs="Courier New" w:eastAsia="Courier New" w:hAnsi="Courier New"/>
                <w:sz w:val="15"/>
                <w:szCs w:val="15"/>
                <w:color w:val="auto"/>
              </w:rPr>
              <w:t>which allow Celaflor GmbH to borrow up to FF 10,000 thousand. At December 31,</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060" w:type="dxa"/>
            <w:vAlign w:val="bottom"/>
            <w:gridSpan w:val="3"/>
          </w:tcPr>
          <w:p>
            <w:pPr>
              <w:spacing w:after="0"/>
              <w:rPr>
                <w:sz w:val="20"/>
                <w:szCs w:val="20"/>
                <w:color w:val="auto"/>
              </w:rPr>
            </w:pPr>
            <w:r>
              <w:rPr>
                <w:rFonts w:ascii="Courier New" w:cs="Courier New" w:eastAsia="Courier New" w:hAnsi="Courier New"/>
                <w:sz w:val="15"/>
                <w:szCs w:val="15"/>
                <w:color w:val="auto"/>
              </w:rPr>
              <w:t>1997 and September 30, 1998 and 1997, there were no borrowings under these</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060" w:type="dxa"/>
            <w:vAlign w:val="bottom"/>
            <w:gridSpan w:val="3"/>
          </w:tcPr>
          <w:p>
            <w:pPr>
              <w:spacing w:after="0"/>
              <w:rPr>
                <w:sz w:val="20"/>
                <w:szCs w:val="20"/>
                <w:color w:val="auto"/>
              </w:rPr>
            </w:pPr>
            <w:r>
              <w:rPr>
                <w:rFonts w:ascii="Courier New" w:cs="Courier New" w:eastAsia="Courier New" w:hAnsi="Courier New"/>
                <w:sz w:val="15"/>
                <w:szCs w:val="15"/>
                <w:color w:val="auto"/>
              </w:rPr>
              <w:t>agreements. Interest accrues at rates between 5.75% and 7.0%. At December 31,</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1997, Celaflor GmbH had a bank overdraft of FF 616 thousand.</w:t>
            </w: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7060" w:type="dxa"/>
            <w:vAlign w:val="bottom"/>
            <w:gridSpan w:val="3"/>
          </w:tcPr>
          <w:p>
            <w:pPr>
              <w:spacing w:after="0"/>
              <w:rPr>
                <w:sz w:val="20"/>
                <w:szCs w:val="20"/>
                <w:color w:val="auto"/>
              </w:rPr>
            </w:pPr>
            <w:r>
              <w:rPr>
                <w:rFonts w:ascii="Courier New" w:cs="Courier New" w:eastAsia="Courier New" w:hAnsi="Courier New"/>
                <w:sz w:val="15"/>
                <w:szCs w:val="15"/>
                <w:color w:val="auto"/>
              </w:rPr>
              <w:t>Other short term borrowings represent the amounts lent by the BNP bank as a</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consequence of the sale of receivables described in Note 11.</w:t>
            </w: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34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5200" w:type="dxa"/>
            <w:vAlign w:val="bottom"/>
          </w:tcPr>
          <w:p>
            <w:pPr>
              <w:ind w:left="180"/>
              <w:spacing w:after="0"/>
              <w:rPr>
                <w:sz w:val="20"/>
                <w:szCs w:val="20"/>
                <w:color w:val="auto"/>
              </w:rPr>
            </w:pPr>
            <w:r>
              <w:rPr>
                <w:rFonts w:ascii="Courier New" w:cs="Courier New" w:eastAsia="Courier New" w:hAnsi="Courier New"/>
                <w:sz w:val="15"/>
                <w:szCs w:val="15"/>
                <w:color w:val="auto"/>
              </w:rPr>
              <w:t>OTHER CURRENT LIABILITIES</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current liabilities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September 30,</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September 30,</w:t>
            </w:r>
          </w:p>
        </w:tc>
      </w:tr>
      <w:tr>
        <w:trPr>
          <w:trHeight w:val="172"/>
        </w:trPr>
        <w:tc>
          <w:tcPr>
            <w:tcW w:w="3700" w:type="dxa"/>
            <w:vAlign w:val="bottom"/>
          </w:tcPr>
          <w:p>
            <w:pPr>
              <w:spacing w:after="0"/>
              <w:rPr>
                <w:sz w:val="14"/>
                <w:szCs w:val="14"/>
                <w:color w:val="auto"/>
              </w:rPr>
            </w:pPr>
          </w:p>
        </w:tc>
        <w:tc>
          <w:tcPr>
            <w:tcW w:w="2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December 31,</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3700" w:type="dxa"/>
            <w:vAlign w:val="bottom"/>
          </w:tcPr>
          <w:p>
            <w:pPr>
              <w:spacing w:after="0"/>
              <w:rPr>
                <w:sz w:val="14"/>
                <w:szCs w:val="14"/>
                <w:color w:val="auto"/>
              </w:rPr>
            </w:pPr>
          </w:p>
        </w:tc>
        <w:tc>
          <w:tcPr>
            <w:tcW w:w="2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1997</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w w:val="98"/>
              </w:rPr>
              <w:t>(unaudited)</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3700" w:type="dxa"/>
            <w:vAlign w:val="bottom"/>
          </w:tcPr>
          <w:p>
            <w:pPr>
              <w:spacing w:after="0"/>
              <w:rPr>
                <w:sz w:val="14"/>
                <w:szCs w:val="14"/>
                <w:color w:val="auto"/>
              </w:rPr>
            </w:pPr>
          </w:p>
        </w:tc>
        <w:tc>
          <w:tcPr>
            <w:tcW w:w="2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700" w:type="dxa"/>
            <w:vAlign w:val="bottom"/>
          </w:tcPr>
          <w:p>
            <w:pPr>
              <w:spacing w:after="0"/>
              <w:rPr>
                <w:sz w:val="20"/>
                <w:szCs w:val="20"/>
                <w:color w:val="auto"/>
              </w:rPr>
            </w:pPr>
            <w:r>
              <w:rPr>
                <w:rFonts w:ascii="Courier New" w:cs="Courier New" w:eastAsia="Courier New" w:hAnsi="Courier New"/>
                <w:sz w:val="15"/>
                <w:szCs w:val="15"/>
                <w:color w:val="auto"/>
              </w:rPr>
              <w:t>Accrued salaries and benefits</w:t>
            </w:r>
          </w:p>
        </w:tc>
        <w:tc>
          <w:tcPr>
            <w:tcW w:w="22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18,461</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25,054</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20,229</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Amounts payable to state</w:t>
            </w:r>
          </w:p>
        </w:tc>
        <w:tc>
          <w:tcPr>
            <w:tcW w:w="22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15,406</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27,075</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5,806</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Restructuring provision</w:t>
            </w:r>
          </w:p>
        </w:tc>
        <w:tc>
          <w:tcPr>
            <w:tcW w:w="22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842</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7,309</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218</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2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20,276</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7,564</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9,414</w:t>
            </w:r>
          </w:p>
        </w:tc>
      </w:tr>
      <w:tr>
        <w:trPr>
          <w:trHeight w:val="172"/>
        </w:trPr>
        <w:tc>
          <w:tcPr>
            <w:tcW w:w="3700" w:type="dxa"/>
            <w:vAlign w:val="bottom"/>
          </w:tcPr>
          <w:p>
            <w:pPr>
              <w:spacing w:after="0"/>
              <w:rPr>
                <w:sz w:val="14"/>
                <w:szCs w:val="14"/>
                <w:color w:val="auto"/>
              </w:rPr>
            </w:pPr>
          </w:p>
        </w:tc>
        <w:tc>
          <w:tcPr>
            <w:tcW w:w="22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Total intangible assets, net</w:t>
            </w:r>
          </w:p>
        </w:tc>
        <w:tc>
          <w:tcPr>
            <w:tcW w:w="22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54,985</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67,002</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35,667</w:t>
            </w:r>
          </w:p>
        </w:tc>
      </w:tr>
      <w:tr>
        <w:trPr>
          <w:trHeight w:val="172"/>
        </w:trPr>
        <w:tc>
          <w:tcPr>
            <w:tcW w:w="3700" w:type="dxa"/>
            <w:vAlign w:val="bottom"/>
          </w:tcPr>
          <w:p>
            <w:pPr>
              <w:spacing w:after="0"/>
              <w:rPr>
                <w:sz w:val="14"/>
                <w:szCs w:val="14"/>
                <w:color w:val="auto"/>
              </w:rPr>
            </w:pPr>
          </w:p>
        </w:tc>
        <w:tc>
          <w:tcPr>
            <w:tcW w:w="22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7"/>
          </w:cols>
          <w:pgMar w:left="232" w:top="289" w:right="1440" w:bottom="162" w:gutter="0" w:footer="0" w:header="0"/>
        </w:sectPr>
      </w:pPr>
    </w:p>
    <w:bookmarkStart w:id="16" w:name="page17"/>
    <w:bookmarkEnd w:id="16"/>
    <w:p>
      <w:pPr>
        <w:ind w:left="22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312" w:right="1440" w:bottom="1440" w:gutter="0" w:footer="0" w:header="0"/>
        </w:sectPr>
      </w:pPr>
    </w:p>
    <w:bookmarkStart w:id="17" w:name="page18"/>
    <w:bookmarkEnd w:id="17"/>
    <w:p>
      <w:pPr>
        <w:ind w:left="268"/>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left="528" w:hanging="528"/>
        <w:spacing w:after="0"/>
        <w:tabs>
          <w:tab w:leader="none" w:pos="52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Division leases certain office and research facilities, computer services and vehicles under operating leases. Total rental expense for the year ended December 31, 1997 was approximately FF 3,023 thousand. Total rental expense for the nine months ended September 30, 1998 and September 30, 1997 was approximately FF 1,047 thousand and FF 2,267 thousand, respectively. Future minimum lease payments are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2420" w:type="dxa"/>
            <w:vAlign w:val="bottom"/>
          </w:tcPr>
          <w:p>
            <w:pPr>
              <w:spacing w:after="0"/>
              <w:rPr>
                <w:sz w:val="14"/>
                <w:szCs w:val="14"/>
                <w:color w:val="auto"/>
              </w:rPr>
            </w:pPr>
          </w:p>
        </w:tc>
        <w:tc>
          <w:tcPr>
            <w:tcW w:w="3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2420" w:type="dxa"/>
            <w:vAlign w:val="bottom"/>
          </w:tcPr>
          <w:p>
            <w:pPr>
              <w:spacing w:after="0"/>
              <w:rPr>
                <w:sz w:val="14"/>
                <w:szCs w:val="14"/>
                <w:color w:val="auto"/>
              </w:rPr>
            </w:pP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420" w:type="dxa"/>
            <w:vAlign w:val="bottom"/>
          </w:tcPr>
          <w:p>
            <w:pPr>
              <w:jc w:val="right"/>
              <w:ind w:right="1985"/>
              <w:spacing w:after="0"/>
              <w:rPr>
                <w:sz w:val="20"/>
                <w:szCs w:val="20"/>
                <w:color w:val="auto"/>
              </w:rPr>
            </w:pPr>
            <w:r>
              <w:rPr>
                <w:rFonts w:ascii="Courier New" w:cs="Courier New" w:eastAsia="Courier New" w:hAnsi="Courier New"/>
                <w:sz w:val="15"/>
                <w:szCs w:val="15"/>
                <w:color w:val="auto"/>
                <w:w w:val="94"/>
              </w:rPr>
              <w:t>1998</w:t>
            </w:r>
          </w:p>
        </w:tc>
        <w:tc>
          <w:tcPr>
            <w:tcW w:w="3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2,873</w:t>
            </w:r>
          </w:p>
        </w:tc>
      </w:tr>
      <w:tr>
        <w:trPr>
          <w:trHeight w:val="172"/>
        </w:trPr>
        <w:tc>
          <w:tcPr>
            <w:tcW w:w="2420" w:type="dxa"/>
            <w:vAlign w:val="bottom"/>
          </w:tcPr>
          <w:p>
            <w:pPr>
              <w:jc w:val="right"/>
              <w:ind w:right="1985"/>
              <w:spacing w:after="0"/>
              <w:rPr>
                <w:sz w:val="20"/>
                <w:szCs w:val="20"/>
                <w:color w:val="auto"/>
              </w:rPr>
            </w:pPr>
            <w:r>
              <w:rPr>
                <w:rFonts w:ascii="Courier New" w:cs="Courier New" w:eastAsia="Courier New" w:hAnsi="Courier New"/>
                <w:sz w:val="15"/>
                <w:szCs w:val="15"/>
                <w:color w:val="auto"/>
                <w:w w:val="94"/>
              </w:rPr>
              <w:t>1999</w:t>
            </w:r>
          </w:p>
        </w:tc>
        <w:tc>
          <w:tcPr>
            <w:tcW w:w="3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501</w:t>
            </w:r>
          </w:p>
        </w:tc>
      </w:tr>
      <w:tr>
        <w:trPr>
          <w:trHeight w:val="172"/>
        </w:trPr>
        <w:tc>
          <w:tcPr>
            <w:tcW w:w="2420" w:type="dxa"/>
            <w:vAlign w:val="bottom"/>
          </w:tcPr>
          <w:p>
            <w:pPr>
              <w:jc w:val="right"/>
              <w:ind w:right="1985"/>
              <w:spacing w:after="0"/>
              <w:rPr>
                <w:sz w:val="20"/>
                <w:szCs w:val="20"/>
                <w:color w:val="auto"/>
              </w:rPr>
            </w:pPr>
            <w:r>
              <w:rPr>
                <w:rFonts w:ascii="Courier New" w:cs="Courier New" w:eastAsia="Courier New" w:hAnsi="Courier New"/>
                <w:sz w:val="15"/>
                <w:szCs w:val="15"/>
                <w:color w:val="auto"/>
                <w:w w:val="94"/>
              </w:rPr>
              <w:t>2000</w:t>
            </w:r>
          </w:p>
        </w:tc>
        <w:tc>
          <w:tcPr>
            <w:tcW w:w="3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376</w:t>
            </w:r>
          </w:p>
        </w:tc>
      </w:tr>
      <w:tr>
        <w:trPr>
          <w:trHeight w:val="172"/>
        </w:trPr>
        <w:tc>
          <w:tcPr>
            <w:tcW w:w="2420" w:type="dxa"/>
            <w:vAlign w:val="bottom"/>
          </w:tcPr>
          <w:p>
            <w:pPr>
              <w:jc w:val="right"/>
              <w:ind w:right="1985"/>
              <w:spacing w:after="0"/>
              <w:rPr>
                <w:sz w:val="20"/>
                <w:szCs w:val="20"/>
                <w:color w:val="auto"/>
              </w:rPr>
            </w:pPr>
            <w:r>
              <w:rPr>
                <w:rFonts w:ascii="Courier New" w:cs="Courier New" w:eastAsia="Courier New" w:hAnsi="Courier New"/>
                <w:sz w:val="15"/>
                <w:szCs w:val="15"/>
                <w:color w:val="auto"/>
                <w:w w:val="94"/>
              </w:rPr>
              <w:t>2001</w:t>
            </w:r>
          </w:p>
        </w:tc>
        <w:tc>
          <w:tcPr>
            <w:tcW w:w="3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w:t>
            </w:r>
          </w:p>
        </w:tc>
      </w:tr>
      <w:tr>
        <w:trPr>
          <w:trHeight w:val="172"/>
        </w:trPr>
        <w:tc>
          <w:tcPr>
            <w:tcW w:w="2420" w:type="dxa"/>
            <w:vAlign w:val="bottom"/>
          </w:tcPr>
          <w:p>
            <w:pPr>
              <w:jc w:val="right"/>
              <w:ind w:right="1985"/>
              <w:spacing w:after="0"/>
              <w:rPr>
                <w:sz w:val="20"/>
                <w:szCs w:val="20"/>
                <w:color w:val="auto"/>
              </w:rPr>
            </w:pPr>
            <w:r>
              <w:rPr>
                <w:rFonts w:ascii="Courier New" w:cs="Courier New" w:eastAsia="Courier New" w:hAnsi="Courier New"/>
                <w:sz w:val="15"/>
                <w:szCs w:val="15"/>
                <w:color w:val="auto"/>
                <w:w w:val="94"/>
              </w:rPr>
              <w:t>2002</w:t>
            </w:r>
          </w:p>
        </w:tc>
        <w:tc>
          <w:tcPr>
            <w:tcW w:w="3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20" w:type="dxa"/>
            <w:vAlign w:val="bottom"/>
          </w:tcPr>
          <w:p>
            <w:pPr>
              <w:spacing w:after="0"/>
              <w:rPr>
                <w:sz w:val="14"/>
                <w:szCs w:val="14"/>
                <w:color w:val="auto"/>
              </w:rPr>
            </w:pPr>
          </w:p>
        </w:tc>
        <w:tc>
          <w:tcPr>
            <w:tcW w:w="3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20" w:type="dxa"/>
            <w:vAlign w:val="bottom"/>
          </w:tcPr>
          <w:p>
            <w:pPr>
              <w:spacing w:after="0"/>
              <w:rPr>
                <w:sz w:val="14"/>
                <w:szCs w:val="14"/>
                <w:color w:val="auto"/>
              </w:rPr>
            </w:pPr>
          </w:p>
        </w:tc>
        <w:tc>
          <w:tcPr>
            <w:tcW w:w="3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3,901</w:t>
            </w:r>
          </w:p>
        </w:tc>
      </w:tr>
      <w:tr>
        <w:trPr>
          <w:trHeight w:val="172"/>
        </w:trPr>
        <w:tc>
          <w:tcPr>
            <w:tcW w:w="2420" w:type="dxa"/>
            <w:vAlign w:val="bottom"/>
          </w:tcPr>
          <w:p>
            <w:pPr>
              <w:spacing w:after="0"/>
              <w:rPr>
                <w:sz w:val="14"/>
                <w:szCs w:val="14"/>
                <w:color w:val="auto"/>
              </w:rPr>
            </w:pPr>
          </w:p>
        </w:tc>
        <w:tc>
          <w:tcPr>
            <w:tcW w:w="3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528" w:hanging="528"/>
        <w:spacing w:after="0"/>
        <w:tabs>
          <w:tab w:leader="none" w:pos="52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Division has a number of commitments and contingencies including operating leases as described in Note 10. In addition, Rhone-Poulenc Jardin SA has, from time to time, sold selected accounts receivable to a bank. The company has not recognized this transaction as a sale because the transaction does not meet all the conditions for surrendering control over the transferred assets. The amount of receivables sold was FF 167,304 thousand and FF 49,753 thousand at December 31, 1997 and September 30, 1997. There were no receivables sold as of September 30, 1998.</w:t>
      </w:r>
    </w:p>
    <w:p>
      <w:pPr>
        <w:spacing w:after="0" w:line="177"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sale of receivables is made in compliance with French law No 81-1 dated January 2, 1981 (also called "Loi Dailly"). Rhone-Poulenc Jardin SA has signed a contract with BNP on March 24, 1997, whereby both parties agree that Rhone-Poulenc Jardin SA can sell a selected list of trade receivables to the bank. The bank credits Rhone-Poulenc Jardin SA's bank accounts with the cash corresponding to the amount of receivables sold. Rhone-Poulenc Jardin SA is entitled by the bank to collect the receivables on its behalf and releases the cash collected to the bank on a date specified in the contract. As regards trade receivables that turn out to be doubtful, the bank has a recourse limited to 10% of the total list of receivables sold where the doubtful ones are included in.</w:t>
      </w:r>
    </w:p>
    <w:p>
      <w:pPr>
        <w:spacing w:after="0" w:line="179"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Division is also involved in various lawsuits, claims and regulatory proceedings incidental to its business. Celaflor GmbH and Celaflor Handelsgesellschaft are currently involved in litigation related to a defective product. The product is an oil evaporator against insects which is manufactured by the supplier Perrycut Chemie AG. It was discovered in 1997 that the evaporator is corroded by the oil and both the evaporator and the oil cannot be used after corrosion. No harm to the public or damage to the environment has occurred. An examination of the product has been conducted by a testing institute which concluded that the design and manufacture of the product were faulty. The companies are in the process of negotiating with Perrycut Chemie AG in order to have them indemnify the companies for the evaporators held in inventory and for possible costs of products returned by the distributors. As of December 31, 1997, no provision has been recorded by the companies. It is the opinion of the Division's legal counsel and management that the ultimate resolution of the various lawsuits, claims and regulatory proceedings incidental to Rhone-Poulenc Jardin's business, including the specific litigation described above, will not have a material adverse effect on the Division's financial position, results of operations or cash flows.</w:t>
      </w:r>
    </w:p>
    <w:p>
      <w:pPr>
        <w:spacing w:after="0" w:line="183" w:lineRule="exact"/>
        <w:rPr>
          <w:sz w:val="20"/>
          <w:szCs w:val="20"/>
          <w:color w:val="auto"/>
        </w:rPr>
      </w:pPr>
    </w:p>
    <w:p>
      <w:pPr>
        <w:ind w:left="528" w:hanging="528"/>
        <w:spacing w:after="0"/>
        <w:tabs>
          <w:tab w:leader="none" w:pos="52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following is a rollforward table of the Division's restructuring charges: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640" w:type="dxa"/>
            <w:vAlign w:val="bottom"/>
          </w:tcPr>
          <w:p>
            <w:pPr>
              <w:spacing w:after="0"/>
              <w:rPr>
                <w:sz w:val="14"/>
                <w:szCs w:val="14"/>
                <w:color w:val="auto"/>
              </w:rPr>
            </w:pP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Balance</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640" w:type="dxa"/>
            <w:vAlign w:val="bottom"/>
          </w:tcPr>
          <w:p>
            <w:pPr>
              <w:spacing w:after="0"/>
              <w:rPr>
                <w:sz w:val="14"/>
                <w:szCs w:val="14"/>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December 31,</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640" w:type="dxa"/>
            <w:vAlign w:val="bottom"/>
          </w:tcPr>
          <w:p>
            <w:pPr>
              <w:spacing w:after="0"/>
              <w:rPr>
                <w:sz w:val="14"/>
                <w:szCs w:val="14"/>
                <w:color w:val="auto"/>
              </w:rPr>
            </w:pP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28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Year ended December 31, 1997</w:t>
            </w:r>
          </w:p>
        </w:tc>
        <w:tc>
          <w:tcPr>
            <w:tcW w:w="308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9 months ended September 30, 1998</w:t>
            </w:r>
          </w:p>
        </w:tc>
      </w:tr>
      <w:tr>
        <w:trPr>
          <w:trHeight w:val="172"/>
        </w:trPr>
        <w:tc>
          <w:tcPr>
            <w:tcW w:w="1640" w:type="dxa"/>
            <w:vAlign w:val="bottom"/>
          </w:tcPr>
          <w:p>
            <w:pPr>
              <w:spacing w:after="0"/>
              <w:rPr>
                <w:sz w:val="14"/>
                <w:szCs w:val="14"/>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8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1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Charge</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Payment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Balance</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Charge</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Payment</w:t>
            </w:r>
          </w:p>
        </w:tc>
        <w:tc>
          <w:tcPr>
            <w:tcW w:w="940" w:type="dxa"/>
            <w:vAlign w:val="bottom"/>
          </w:tcPr>
          <w:p>
            <w:pPr>
              <w:ind w:left="320"/>
              <w:spacing w:after="0"/>
              <w:rPr>
                <w:sz w:val="20"/>
                <w:szCs w:val="20"/>
                <w:color w:val="auto"/>
              </w:rPr>
            </w:pPr>
            <w:r>
              <w:rPr>
                <w:rFonts w:ascii="Courier New" w:cs="Courier New" w:eastAsia="Courier New" w:hAnsi="Courier New"/>
                <w:sz w:val="15"/>
                <w:szCs w:val="15"/>
                <w:color w:val="auto"/>
                <w:w w:val="95"/>
              </w:rPr>
              <w:t>Balance</w:t>
            </w:r>
          </w:p>
        </w:tc>
      </w:tr>
      <w:tr>
        <w:trPr>
          <w:trHeight w:val="172"/>
        </w:trPr>
        <w:tc>
          <w:tcPr>
            <w:tcW w:w="1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320"/>
              <w:spacing w:after="0"/>
              <w:rPr>
                <w:sz w:val="20"/>
                <w:szCs w:val="20"/>
                <w:color w:val="auto"/>
              </w:rPr>
            </w:pPr>
            <w:r>
              <w:rPr>
                <w:rFonts w:ascii="Courier New" w:cs="Courier New" w:eastAsia="Courier New" w:hAnsi="Courier New"/>
                <w:sz w:val="15"/>
                <w:szCs w:val="15"/>
                <w:color w:val="auto"/>
                <w:w w:val="95"/>
              </w:rPr>
              <w:t>-------</w:t>
            </w:r>
          </w:p>
        </w:tc>
      </w:tr>
      <w:tr>
        <w:trPr>
          <w:trHeight w:val="344"/>
        </w:trPr>
        <w:tc>
          <w:tcPr>
            <w:tcW w:w="1640" w:type="dxa"/>
            <w:vAlign w:val="bottom"/>
          </w:tcPr>
          <w:p>
            <w:pPr>
              <w:spacing w:after="0"/>
              <w:rPr>
                <w:sz w:val="20"/>
                <w:szCs w:val="20"/>
                <w:color w:val="auto"/>
              </w:rPr>
            </w:pPr>
            <w:r>
              <w:rPr>
                <w:rFonts w:ascii="Courier New" w:cs="Courier New" w:eastAsia="Courier New" w:hAnsi="Courier New"/>
                <w:sz w:val="15"/>
                <w:szCs w:val="15"/>
                <w:color w:val="auto"/>
              </w:rPr>
              <w:t>Severance costs</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1,421</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(2,221)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7,314</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(1,814)</w:t>
            </w:r>
          </w:p>
        </w:tc>
        <w:tc>
          <w:tcPr>
            <w:tcW w:w="940" w:type="dxa"/>
            <w:vAlign w:val="bottom"/>
          </w:tcPr>
          <w:p>
            <w:pPr>
              <w:ind w:left="320"/>
              <w:spacing w:after="0"/>
              <w:rPr>
                <w:sz w:val="20"/>
                <w:szCs w:val="20"/>
                <w:color w:val="auto"/>
              </w:rPr>
            </w:pPr>
            <w:r>
              <w:rPr>
                <w:rFonts w:ascii="Courier New" w:cs="Courier New" w:eastAsia="Courier New" w:hAnsi="Courier New"/>
                <w:sz w:val="15"/>
                <w:szCs w:val="15"/>
                <w:color w:val="auto"/>
              </w:rPr>
              <w:t>5,800</w:t>
            </w: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Early retirement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623</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542</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1,663</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(696)</w:t>
            </w:r>
          </w:p>
        </w:tc>
        <w:tc>
          <w:tcPr>
            <w:tcW w:w="940" w:type="dxa"/>
            <w:vAlign w:val="bottom"/>
          </w:tcPr>
          <w:p>
            <w:pPr>
              <w:ind w:left="320"/>
              <w:spacing w:after="0"/>
              <w:rPr>
                <w:sz w:val="20"/>
                <w:szCs w:val="20"/>
                <w:color w:val="auto"/>
              </w:rPr>
            </w:pPr>
            <w:r>
              <w:rPr>
                <w:rFonts w:ascii="Courier New" w:cs="Courier New" w:eastAsia="Courier New" w:hAnsi="Courier New"/>
                <w:sz w:val="15"/>
                <w:szCs w:val="15"/>
                <w:color w:val="auto"/>
              </w:rPr>
              <w:t>1,509</w:t>
            </w:r>
          </w:p>
        </w:tc>
      </w:tr>
      <w:tr>
        <w:trPr>
          <w:trHeight w:val="172"/>
        </w:trPr>
        <w:tc>
          <w:tcPr>
            <w:tcW w:w="1640" w:type="dxa"/>
            <w:vAlign w:val="bottom"/>
          </w:tcPr>
          <w:p>
            <w:pPr>
              <w:spacing w:after="0"/>
              <w:rPr>
                <w:sz w:val="14"/>
                <w:szCs w:val="14"/>
                <w:color w:val="auto"/>
              </w:rPr>
            </w:pP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172"/>
        </w:trPr>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1,349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2,044</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(2,551)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842</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8,977</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(2,510)</w:t>
            </w:r>
          </w:p>
        </w:tc>
        <w:tc>
          <w:tcPr>
            <w:tcW w:w="940" w:type="dxa"/>
            <w:vAlign w:val="bottom"/>
          </w:tcPr>
          <w:p>
            <w:pPr>
              <w:ind w:left="320"/>
              <w:spacing w:after="0"/>
              <w:rPr>
                <w:sz w:val="20"/>
                <w:szCs w:val="20"/>
                <w:color w:val="auto"/>
              </w:rPr>
            </w:pPr>
            <w:r>
              <w:rPr>
                <w:rFonts w:ascii="Courier New" w:cs="Courier New" w:eastAsia="Courier New" w:hAnsi="Courier New"/>
                <w:sz w:val="15"/>
                <w:szCs w:val="15"/>
                <w:color w:val="auto"/>
              </w:rPr>
              <w:t>7,309</w:t>
            </w:r>
          </w:p>
        </w:tc>
      </w:tr>
      <w:tr>
        <w:trPr>
          <w:trHeight w:val="172"/>
        </w:trPr>
        <w:tc>
          <w:tcPr>
            <w:tcW w:w="1640" w:type="dxa"/>
            <w:vAlign w:val="bottom"/>
          </w:tcPr>
          <w:p>
            <w:pPr>
              <w:spacing w:after="0"/>
              <w:rPr>
                <w:sz w:val="14"/>
                <w:szCs w:val="14"/>
                <w:color w:val="auto"/>
              </w:rPr>
            </w:pP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left="8" w:right="3699"/>
        <w:spacing w:after="0" w:line="241" w:lineRule="auto"/>
        <w:rPr>
          <w:sz w:val="20"/>
          <w:szCs w:val="20"/>
          <w:color w:val="auto"/>
        </w:rPr>
      </w:pPr>
      <w:r>
        <w:rPr>
          <w:rFonts w:ascii="Courier New" w:cs="Courier New" w:eastAsia="Courier New" w:hAnsi="Courier New"/>
          <w:sz w:val="15"/>
          <w:szCs w:val="15"/>
          <w:color w:val="auto"/>
        </w:rPr>
        <w:t>The provision as of December 31, 1997 is mainly made of the costs for one employee made redundant in France and several early-retired employees in Germany.</w:t>
      </w:r>
    </w:p>
    <w:p>
      <w:pPr>
        <w:sectPr>
          <w:pgSz w:w="11900" w:h="16838" w:orient="portrait"/>
          <w:cols w:equalWidth="0" w:num="1">
            <w:col w:w="10227"/>
          </w:cols>
          <w:pgMar w:left="232" w:top="289" w:right="1440" w:bottom="0" w:gutter="0" w:footer="0" w:header="0"/>
        </w:sectPr>
      </w:pPr>
    </w:p>
    <w:bookmarkStart w:id="18" w:name="page19"/>
    <w:bookmarkEnd w:id="18"/>
    <w:p>
      <w:pPr>
        <w:ind w:left="8" w:right="3680"/>
        <w:spacing w:after="0" w:line="263" w:lineRule="auto"/>
        <w:rPr>
          <w:sz w:val="20"/>
          <w:szCs w:val="20"/>
          <w:color w:val="auto"/>
        </w:rPr>
      </w:pPr>
      <w:r>
        <w:rPr>
          <w:rFonts w:ascii="Courier New" w:cs="Courier New" w:eastAsia="Courier New" w:hAnsi="Courier New"/>
          <w:sz w:val="14"/>
          <w:szCs w:val="14"/>
          <w:color w:val="auto"/>
        </w:rPr>
        <w:t>The restructuring provision recorded in the nine months ended September 30, 1998 is mainly made up of termination costs for 15 salesmen of Rhone-Poulenc Jardin SA (FF 5,800 thousand) who are laid off as part of a reorganization plan of the salesforce. The remaining part of the restructuring provision corresponds to early retirement costs for three sales employees of Celaflor GmbH.</w:t>
      </w:r>
    </w:p>
    <w:p>
      <w:pPr>
        <w:spacing w:after="0" w:line="161" w:lineRule="exact"/>
        <w:rPr>
          <w:sz w:val="20"/>
          <w:szCs w:val="20"/>
          <w:color w:val="auto"/>
        </w:rPr>
      </w:pPr>
    </w:p>
    <w:p>
      <w:pPr>
        <w:ind w:left="528" w:hanging="528"/>
        <w:spacing w:after="0"/>
        <w:tabs>
          <w:tab w:leader="none" w:pos="52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NET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Nine months ended</w:t>
            </w:r>
          </w:p>
        </w:tc>
        <w:tc>
          <w:tcPr>
            <w:tcW w:w="188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Nine months ended</w:t>
            </w:r>
          </w:p>
        </w:tc>
      </w:tr>
      <w:tr>
        <w:trPr>
          <w:trHeight w:val="172"/>
        </w:trPr>
        <w:tc>
          <w:tcPr>
            <w:tcW w:w="2280" w:type="dxa"/>
            <w:vAlign w:val="bottom"/>
          </w:tcPr>
          <w:p>
            <w:pPr>
              <w:spacing w:after="0"/>
              <w:rPr>
                <w:sz w:val="14"/>
                <w:szCs w:val="14"/>
                <w:color w:val="auto"/>
              </w:rPr>
            </w:pPr>
          </w:p>
        </w:tc>
        <w:tc>
          <w:tcPr>
            <w:tcW w:w="3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Year ended</w:t>
            </w:r>
          </w:p>
        </w:tc>
        <w:tc>
          <w:tcPr>
            <w:tcW w:w="2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September 30,</w:t>
            </w:r>
          </w:p>
        </w:tc>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2280" w:type="dxa"/>
            <w:vAlign w:val="bottom"/>
          </w:tcPr>
          <w:p>
            <w:pPr>
              <w:spacing w:after="0"/>
              <w:rPr>
                <w:sz w:val="14"/>
                <w:szCs w:val="14"/>
                <w:color w:val="auto"/>
              </w:rPr>
            </w:pPr>
          </w:p>
        </w:tc>
        <w:tc>
          <w:tcPr>
            <w:tcW w:w="3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December 31,</w:t>
            </w:r>
          </w:p>
        </w:tc>
        <w:tc>
          <w:tcPr>
            <w:tcW w:w="21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1998</w:t>
            </w:r>
          </w:p>
        </w:tc>
        <w:tc>
          <w:tcPr>
            <w:tcW w:w="18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2280" w:type="dxa"/>
            <w:vAlign w:val="bottom"/>
          </w:tcPr>
          <w:p>
            <w:pPr>
              <w:spacing w:after="0"/>
              <w:rPr>
                <w:sz w:val="14"/>
                <w:szCs w:val="14"/>
                <w:color w:val="auto"/>
              </w:rPr>
            </w:pPr>
          </w:p>
        </w:tc>
        <w:tc>
          <w:tcPr>
            <w:tcW w:w="3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1997</w:t>
            </w:r>
          </w:p>
        </w:tc>
        <w:tc>
          <w:tcPr>
            <w:tcW w:w="21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(unaudited)</w:t>
            </w:r>
          </w:p>
        </w:tc>
        <w:tc>
          <w:tcPr>
            <w:tcW w:w="1880" w:type="dxa"/>
            <w:vAlign w:val="bottom"/>
          </w:tcPr>
          <w:p>
            <w:pPr>
              <w:jc w:val="center"/>
              <w:ind w:left="265"/>
              <w:spacing w:after="0"/>
              <w:rPr>
                <w:sz w:val="20"/>
                <w:szCs w:val="20"/>
                <w:color w:val="auto"/>
              </w:rPr>
            </w:pPr>
            <w:r>
              <w:rPr>
                <w:rFonts w:ascii="Courier New" w:cs="Courier New" w:eastAsia="Courier New" w:hAnsi="Courier New"/>
                <w:sz w:val="15"/>
                <w:szCs w:val="15"/>
                <w:color w:val="auto"/>
                <w:w w:val="98"/>
              </w:rPr>
              <w:t>(unaudited)</w:t>
            </w:r>
          </w:p>
        </w:tc>
      </w:tr>
      <w:tr>
        <w:trPr>
          <w:trHeight w:val="172"/>
        </w:trPr>
        <w:tc>
          <w:tcPr>
            <w:tcW w:w="2280" w:type="dxa"/>
            <w:vAlign w:val="bottom"/>
          </w:tcPr>
          <w:p>
            <w:pPr>
              <w:spacing w:after="0"/>
              <w:rPr>
                <w:sz w:val="14"/>
                <w:szCs w:val="14"/>
                <w:color w:val="auto"/>
              </w:rPr>
            </w:pPr>
          </w:p>
        </w:tc>
        <w:tc>
          <w:tcPr>
            <w:tcW w:w="3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88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3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(3,805)</w:t>
            </w:r>
          </w:p>
        </w:tc>
        <w:tc>
          <w:tcPr>
            <w:tcW w:w="21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(3,999)</w:t>
            </w: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(2,595)</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7,838</w:t>
            </w:r>
          </w:p>
        </w:tc>
        <w:tc>
          <w:tcPr>
            <w:tcW w:w="21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4,484</w:t>
            </w:r>
          </w:p>
        </w:tc>
        <w:tc>
          <w:tcPr>
            <w:tcW w:w="18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5,922</w:t>
            </w:r>
          </w:p>
        </w:tc>
      </w:tr>
      <w:tr>
        <w:trPr>
          <w:trHeight w:val="172"/>
        </w:trPr>
        <w:tc>
          <w:tcPr>
            <w:tcW w:w="2280" w:type="dxa"/>
            <w:vAlign w:val="bottom"/>
          </w:tcPr>
          <w:p>
            <w:pPr>
              <w:spacing w:after="0"/>
              <w:rPr>
                <w:sz w:val="14"/>
                <w:szCs w:val="14"/>
                <w:color w:val="auto"/>
              </w:rPr>
            </w:pPr>
          </w:p>
        </w:tc>
        <w:tc>
          <w:tcPr>
            <w:tcW w:w="3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 net</w:t>
            </w:r>
          </w:p>
        </w:tc>
        <w:tc>
          <w:tcPr>
            <w:tcW w:w="3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4,033</w:t>
            </w:r>
          </w:p>
        </w:tc>
        <w:tc>
          <w:tcPr>
            <w:tcW w:w="21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485</w:t>
            </w:r>
          </w:p>
        </w:tc>
        <w:tc>
          <w:tcPr>
            <w:tcW w:w="18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3,327</w:t>
            </w:r>
          </w:p>
        </w:tc>
      </w:tr>
      <w:tr>
        <w:trPr>
          <w:trHeight w:val="172"/>
        </w:trPr>
        <w:tc>
          <w:tcPr>
            <w:tcW w:w="2280" w:type="dxa"/>
            <w:vAlign w:val="bottom"/>
          </w:tcPr>
          <w:p>
            <w:pPr>
              <w:spacing w:after="0"/>
              <w:rPr>
                <w:sz w:val="14"/>
                <w:szCs w:val="14"/>
                <w:color w:val="auto"/>
              </w:rPr>
            </w:pPr>
          </w:p>
        </w:tc>
        <w:tc>
          <w:tcPr>
            <w:tcW w:w="3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860"/>
        </w:trPr>
        <w:tc>
          <w:tcPr>
            <w:tcW w:w="2280" w:type="dxa"/>
            <w:vAlign w:val="bottom"/>
          </w:tcPr>
          <w:p>
            <w:pPr>
              <w:spacing w:after="0"/>
              <w:rPr>
                <w:sz w:val="24"/>
                <w:szCs w:val="24"/>
                <w:color w:val="auto"/>
              </w:rPr>
            </w:pPr>
          </w:p>
        </w:tc>
        <w:tc>
          <w:tcPr>
            <w:tcW w:w="3520" w:type="dxa"/>
            <w:vAlign w:val="bottom"/>
          </w:tcPr>
          <w:p>
            <w:pPr>
              <w:jc w:val="right"/>
              <w:ind w:right="3045"/>
              <w:spacing w:after="0"/>
              <w:rPr>
                <w:sz w:val="20"/>
                <w:szCs w:val="20"/>
                <w:color w:val="auto"/>
              </w:rPr>
            </w:pPr>
            <w:r>
              <w:rPr>
                <w:rFonts w:ascii="Courier New" w:cs="Courier New" w:eastAsia="Courier New" w:hAnsi="Courier New"/>
                <w:sz w:val="15"/>
                <w:szCs w:val="15"/>
                <w:color w:val="auto"/>
              </w:rPr>
              <w:t>16</w:t>
            </w:r>
          </w:p>
        </w:tc>
        <w:tc>
          <w:tcPr>
            <w:tcW w:w="216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0828"/>
          </w:cols>
          <w:pgMar w:left="232" w:top="313" w:right="839" w:bottom="1440" w:gutter="0" w:footer="0" w:header="0"/>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17</w:t>
      </w:r>
    </w:p>
    <w:p>
      <w:pPr>
        <w:spacing w:after="0" w:line="2" w:lineRule="exact"/>
        <w:rPr>
          <w:sz w:val="20"/>
          <w:szCs w:val="20"/>
          <w:color w:val="auto"/>
        </w:rPr>
      </w:pPr>
    </w:p>
    <w:p>
      <w:pPr>
        <w:ind w:left="8"/>
        <w:spacing w:after="0"/>
        <w:tabs>
          <w:tab w:leader="none" w:pos="508" w:val="left"/>
        </w:tabs>
        <w:rPr>
          <w:sz w:val="20"/>
          <w:szCs w:val="20"/>
          <w:color w:val="auto"/>
        </w:rPr>
      </w:pPr>
      <w:r>
        <w:rPr>
          <w:rFonts w:ascii="Courier New" w:cs="Courier New" w:eastAsia="Courier New" w:hAnsi="Courier New"/>
          <w:sz w:val="15"/>
          <w:szCs w:val="15"/>
          <w:color w:val="auto"/>
        </w:rPr>
        <w:t>14.</w:t>
        <w:tab/>
        <w:t>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5448"/>
        <w:spacing w:after="0"/>
        <w:rPr>
          <w:sz w:val="20"/>
          <w:szCs w:val="20"/>
          <w:color w:val="auto"/>
        </w:rPr>
      </w:pPr>
      <w:r>
        <w:rPr>
          <w:rFonts w:ascii="Courier New" w:cs="Courier New" w:eastAsia="Courier New" w:hAnsi="Courier New"/>
          <w:sz w:val="15"/>
          <w:szCs w:val="15"/>
          <w:color w:val="auto"/>
        </w:rPr>
        <w:t>Year ended</w:t>
      </w:r>
    </w:p>
    <w:p>
      <w:pPr>
        <w:spacing w:after="0" w:line="2" w:lineRule="exact"/>
        <w:rPr>
          <w:sz w:val="20"/>
          <w:szCs w:val="20"/>
          <w:color w:val="auto"/>
        </w:rPr>
      </w:pPr>
    </w:p>
    <w:p>
      <w:pPr>
        <w:jc w:val="center"/>
        <w:ind w:left="5448"/>
        <w:spacing w:after="0"/>
        <w:rPr>
          <w:sz w:val="20"/>
          <w:szCs w:val="20"/>
          <w:color w:val="auto"/>
        </w:rPr>
      </w:pPr>
      <w:r>
        <w:rPr>
          <w:rFonts w:ascii="Courier New" w:cs="Courier New" w:eastAsia="Courier New" w:hAnsi="Courier New"/>
          <w:sz w:val="15"/>
          <w:szCs w:val="15"/>
          <w:color w:val="auto"/>
        </w:rPr>
        <w:t>December 31,</w:t>
      </w:r>
    </w:p>
    <w:p>
      <w:pPr>
        <w:spacing w:after="0" w:line="2" w:lineRule="exact"/>
        <w:rPr>
          <w:sz w:val="20"/>
          <w:szCs w:val="20"/>
          <w:color w:val="auto"/>
        </w:rPr>
      </w:pPr>
    </w:p>
    <w:p>
      <w:pPr>
        <w:jc w:val="center"/>
        <w:ind w:left="5448"/>
        <w:spacing w:after="0"/>
        <w:rPr>
          <w:sz w:val="20"/>
          <w:szCs w:val="20"/>
          <w:color w:val="auto"/>
        </w:rPr>
      </w:pPr>
      <w:r>
        <w:rPr>
          <w:rFonts w:ascii="Courier New" w:cs="Courier New" w:eastAsia="Courier New" w:hAnsi="Courier New"/>
          <w:sz w:val="15"/>
          <w:szCs w:val="15"/>
          <w:color w:val="auto"/>
        </w:rPr>
        <w:t>1997</w:t>
      </w:r>
    </w:p>
    <w:p>
      <w:pPr>
        <w:spacing w:after="0" w:line="2"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88"/>
        <w:spacing w:after="0"/>
        <w:tabs>
          <w:tab w:leader="none" w:pos="5968" w:val="left"/>
        </w:tabs>
        <w:rPr>
          <w:sz w:val="20"/>
          <w:szCs w:val="20"/>
          <w:color w:val="auto"/>
        </w:rPr>
      </w:pPr>
      <w:r>
        <w:rPr>
          <w:rFonts w:ascii="Courier New" w:cs="Courier New" w:eastAsia="Courier New" w:hAnsi="Courier New"/>
          <w:sz w:val="15"/>
          <w:szCs w:val="15"/>
          <w:color w:val="auto"/>
        </w:rPr>
        <w:t>Current income tax provision</w:t>
      </w:r>
      <w:r>
        <w:rPr>
          <w:sz w:val="20"/>
          <w:szCs w:val="20"/>
          <w:color w:val="auto"/>
        </w:rPr>
        <w:tab/>
      </w:r>
      <w:r>
        <w:rPr>
          <w:rFonts w:ascii="Courier New" w:cs="Courier New" w:eastAsia="Courier New" w:hAnsi="Courier New"/>
          <w:sz w:val="15"/>
          <w:szCs w:val="15"/>
          <w:color w:val="auto"/>
        </w:rPr>
        <w:t>3,074</w:t>
      </w:r>
    </w:p>
    <w:p>
      <w:pPr>
        <w:spacing w:after="0" w:line="2" w:lineRule="exact"/>
        <w:rPr>
          <w:sz w:val="20"/>
          <w:szCs w:val="20"/>
          <w:color w:val="auto"/>
        </w:rPr>
      </w:pPr>
    </w:p>
    <w:p>
      <w:pPr>
        <w:ind w:left="988"/>
        <w:spacing w:after="0"/>
        <w:tabs>
          <w:tab w:leader="none" w:pos="5888" w:val="left"/>
        </w:tabs>
        <w:rPr>
          <w:sz w:val="20"/>
          <w:szCs w:val="20"/>
          <w:color w:val="auto"/>
        </w:rPr>
      </w:pPr>
      <w:r>
        <w:rPr>
          <w:rFonts w:ascii="Courier New" w:cs="Courier New" w:eastAsia="Courier New" w:hAnsi="Courier New"/>
          <w:sz w:val="15"/>
          <w:szCs w:val="15"/>
          <w:color w:val="auto"/>
        </w:rPr>
        <w:t>Deferred income tax provision</w:t>
      </w:r>
      <w:r>
        <w:rPr>
          <w:sz w:val="20"/>
          <w:szCs w:val="20"/>
          <w:color w:val="auto"/>
        </w:rPr>
        <w:tab/>
      </w:r>
      <w:r>
        <w:rPr>
          <w:rFonts w:ascii="Courier New" w:cs="Courier New" w:eastAsia="Courier New" w:hAnsi="Courier New"/>
          <w:sz w:val="15"/>
          <w:szCs w:val="15"/>
          <w:color w:val="auto"/>
        </w:rPr>
        <w:t>30,312</w:t>
      </w:r>
    </w:p>
    <w:p>
      <w:pPr>
        <w:spacing w:after="0" w:line="2" w:lineRule="exact"/>
        <w:rPr>
          <w:sz w:val="20"/>
          <w:szCs w:val="20"/>
          <w:color w:val="auto"/>
        </w:rPr>
      </w:pPr>
    </w:p>
    <w:p>
      <w:pPr>
        <w:ind w:left="59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168"/>
        <w:spacing w:after="0"/>
        <w:tabs>
          <w:tab w:leader="none" w:pos="5888"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33,386</w:t>
      </w:r>
    </w:p>
    <w:p>
      <w:pPr>
        <w:spacing w:after="0" w:line="2" w:lineRule="exact"/>
        <w:rPr>
          <w:sz w:val="20"/>
          <w:szCs w:val="20"/>
          <w:color w:val="auto"/>
        </w:rPr>
      </w:pPr>
    </w:p>
    <w:p>
      <w:pPr>
        <w:ind w:left="590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Deferred income taxes:</w:t>
      </w:r>
    </w:p>
    <w:p>
      <w:pPr>
        <w:spacing w:after="0" w:line="4" w:lineRule="exact"/>
        <w:rPr>
          <w:sz w:val="20"/>
          <w:szCs w:val="20"/>
          <w:color w:val="auto"/>
        </w:rPr>
      </w:pPr>
    </w:p>
    <w:p>
      <w:pPr>
        <w:ind w:left="8"/>
        <w:spacing w:after="0" w:line="241" w:lineRule="auto"/>
        <w:rPr>
          <w:sz w:val="20"/>
          <w:szCs w:val="20"/>
          <w:color w:val="auto"/>
        </w:rPr>
      </w:pPr>
      <w:r>
        <w:rPr>
          <w:rFonts w:ascii="Courier New" w:cs="Courier New" w:eastAsia="Courier New" w:hAnsi="Courier New"/>
          <w:sz w:val="15"/>
          <w:szCs w:val="15"/>
          <w:color w:val="auto"/>
        </w:rPr>
        <w:t>Deferred income taxes reflect the impact of temporary differences between the amounts of assets and liabilities reported for financial reporting purposes and such amounts measured in accordance with tax laws.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tax effect of temporary differences which give rise to significant deferred tax assets (liabilities)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20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2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current deferred tax asset:</w:t>
            </w:r>
          </w:p>
        </w:tc>
        <w:tc>
          <w:tcPr>
            <w:tcW w:w="1340" w:type="dxa"/>
            <w:vAlign w:val="bottom"/>
          </w:tcPr>
          <w:p>
            <w:pPr>
              <w:spacing w:after="0"/>
              <w:rPr>
                <w:sz w:val="24"/>
                <w:szCs w:val="24"/>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operating loss carry forwards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3,884</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Compensate absences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1,774</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Provisions not currently deductible for</w:t>
            </w:r>
          </w:p>
        </w:tc>
        <w:tc>
          <w:tcPr>
            <w:tcW w:w="1340" w:type="dxa"/>
            <w:vAlign w:val="bottom"/>
          </w:tcPr>
          <w:p>
            <w:pPr>
              <w:spacing w:after="0"/>
              <w:rPr>
                <w:sz w:val="14"/>
                <w:szCs w:val="14"/>
                <w:color w:val="auto"/>
              </w:rPr>
            </w:pPr>
          </w:p>
        </w:tc>
      </w:tr>
      <w:tr>
        <w:trPr>
          <w:trHeight w:val="172"/>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tax purposes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1,688</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770</w:t>
            </w:r>
          </w:p>
        </w:tc>
      </w:tr>
      <w:tr>
        <w:trPr>
          <w:trHeight w:val="172"/>
        </w:trPr>
        <w:tc>
          <w:tcPr>
            <w:tcW w:w="420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Total net current deferred tax asset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8,116</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long term deferred tax asset:</w:t>
            </w:r>
          </w:p>
        </w:tc>
        <w:tc>
          <w:tcPr>
            <w:tcW w:w="1340" w:type="dxa"/>
            <w:vAlign w:val="bottom"/>
          </w:tcPr>
          <w:p>
            <w:pPr>
              <w:spacing w:after="0"/>
              <w:rPr>
                <w:sz w:val="24"/>
                <w:szCs w:val="24"/>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operating loss carryforwards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18,290</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Pension liability not currently deductible</w:t>
            </w:r>
          </w:p>
        </w:tc>
        <w:tc>
          <w:tcPr>
            <w:tcW w:w="1340" w:type="dxa"/>
            <w:vAlign w:val="bottom"/>
          </w:tcPr>
          <w:p>
            <w:pPr>
              <w:spacing w:after="0"/>
              <w:rPr>
                <w:sz w:val="14"/>
                <w:szCs w:val="14"/>
                <w:color w:val="auto"/>
              </w:rPr>
            </w:pPr>
          </w:p>
        </w:tc>
      </w:tr>
      <w:tr>
        <w:trPr>
          <w:trHeight w:val="172"/>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for tax purposes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3,172</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(262)</w:t>
            </w:r>
          </w:p>
        </w:tc>
      </w:tr>
      <w:tr>
        <w:trPr>
          <w:trHeight w:val="172"/>
        </w:trPr>
        <w:tc>
          <w:tcPr>
            <w:tcW w:w="420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Total net long term deferred tax asset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21,200</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long term deferred tax liability:</w:t>
            </w:r>
          </w:p>
        </w:tc>
        <w:tc>
          <w:tcPr>
            <w:tcW w:w="1340" w:type="dxa"/>
            <w:vAlign w:val="bottom"/>
          </w:tcPr>
          <w:p>
            <w:pPr>
              <w:spacing w:after="0"/>
              <w:rPr>
                <w:sz w:val="24"/>
                <w:szCs w:val="24"/>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Celaflor GmbH goodwill depreciation</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(52,016)</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Pension liability not currently deductible</w:t>
            </w:r>
          </w:p>
        </w:tc>
        <w:tc>
          <w:tcPr>
            <w:tcW w:w="1340" w:type="dxa"/>
            <w:vAlign w:val="bottom"/>
          </w:tcPr>
          <w:p>
            <w:pPr>
              <w:spacing w:after="0"/>
              <w:rPr>
                <w:sz w:val="14"/>
                <w:szCs w:val="14"/>
                <w:color w:val="auto"/>
              </w:rPr>
            </w:pPr>
          </w:p>
        </w:tc>
      </w:tr>
      <w:tr>
        <w:trPr>
          <w:trHeight w:val="172"/>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for tax purposes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3,460</w:t>
            </w:r>
          </w:p>
        </w:tc>
      </w:tr>
      <w:tr>
        <w:trPr>
          <w:trHeight w:val="172"/>
        </w:trPr>
        <w:tc>
          <w:tcPr>
            <w:tcW w:w="420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Total net long term deferred tax liability</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(48,556)</w:t>
            </w:r>
          </w:p>
        </w:tc>
      </w:tr>
    </w:tbl>
    <w:p>
      <w:pPr>
        <w:spacing w:after="0" w:line="200" w:lineRule="exact"/>
        <w:rPr>
          <w:sz w:val="20"/>
          <w:szCs w:val="20"/>
          <w:color w:val="auto"/>
        </w:rPr>
      </w:pPr>
    </w:p>
    <w:p>
      <w:pPr>
        <w:spacing w:after="0" w:line="320" w:lineRule="exact"/>
        <w:rPr>
          <w:sz w:val="20"/>
          <w:szCs w:val="20"/>
          <w:color w:val="auto"/>
        </w:rPr>
      </w:pPr>
    </w:p>
    <w:p>
      <w:pPr>
        <w:ind w:left="8" w:right="100"/>
        <w:spacing w:after="0" w:line="260" w:lineRule="auto"/>
        <w:rPr>
          <w:sz w:val="20"/>
          <w:szCs w:val="20"/>
          <w:color w:val="auto"/>
        </w:rPr>
      </w:pPr>
      <w:r>
        <w:rPr>
          <w:rFonts w:ascii="Courier New" w:cs="Courier New" w:eastAsia="Courier New" w:hAnsi="Courier New"/>
          <w:sz w:val="14"/>
          <w:szCs w:val="14"/>
          <w:color w:val="auto"/>
        </w:rPr>
        <w:t>Net operating loss carryforwards of FF 60,420 thousand as of December 31, 1997 are available at Rhone-Poulenc Jardin SA. Realization of these assets is contingent on future taxable earnings. Tax loss carryforwards in the amount of</w:t>
      </w:r>
    </w:p>
    <w:p>
      <w:pPr>
        <w:spacing w:after="0" w:line="1" w:lineRule="exact"/>
        <w:rPr>
          <w:sz w:val="20"/>
          <w:szCs w:val="20"/>
          <w:color w:val="auto"/>
        </w:rPr>
      </w:pPr>
    </w:p>
    <w:p>
      <w:pPr>
        <w:ind w:left="8" w:right="180" w:hanging="8"/>
        <w:spacing w:after="0"/>
        <w:tabs>
          <w:tab w:leader="none" w:pos="27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10,497 thousand will expire in 1998 whereas FF 49,923 thousand do not have expiration dates.</w:t>
      </w:r>
    </w:p>
    <w:p>
      <w:pPr>
        <w:spacing w:after="0" w:line="176" w:lineRule="exact"/>
        <w:rPr>
          <w:sz w:val="20"/>
          <w:szCs w:val="20"/>
          <w:color w:val="auto"/>
        </w:rPr>
      </w:pPr>
    </w:p>
    <w:p>
      <w:pPr>
        <w:ind w:left="8" w:right="100"/>
        <w:spacing w:after="0" w:line="242" w:lineRule="auto"/>
        <w:rPr>
          <w:sz w:val="20"/>
          <w:szCs w:val="20"/>
          <w:color w:val="auto"/>
        </w:rPr>
      </w:pPr>
      <w:r>
        <w:rPr>
          <w:rFonts w:ascii="Courier New" w:cs="Courier New" w:eastAsia="Courier New" w:hAnsi="Courier New"/>
          <w:sz w:val="15"/>
          <w:szCs w:val="15"/>
          <w:color w:val="auto"/>
        </w:rPr>
        <w:t>In accordance with SFAS 109, the Division has evaluated the recoverability of the deferred tax assets and determined there was no need to record a valuation allowance. Management believes that future revenues will provide sufficient future income to realize the deferred tax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Nine months</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ended</w:t>
            </w:r>
          </w:p>
        </w:tc>
        <w:tc>
          <w:tcPr>
            <w:tcW w:w="188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Nine months ended</w:t>
            </w:r>
          </w:p>
        </w:tc>
      </w:tr>
      <w:tr>
        <w:trPr>
          <w:trHeight w:val="172"/>
        </w:trPr>
        <w:tc>
          <w:tcPr>
            <w:tcW w:w="1880" w:type="dxa"/>
            <w:vAlign w:val="bottom"/>
            <w:gridSpan w:val="2"/>
          </w:tcPr>
          <w:p>
            <w:pPr>
              <w:jc w:val="center"/>
              <w:ind w:right="285"/>
              <w:spacing w:after="0"/>
              <w:rPr>
                <w:sz w:val="20"/>
                <w:szCs w:val="20"/>
                <w:color w:val="auto"/>
              </w:rPr>
            </w:pPr>
            <w:r>
              <w:rPr>
                <w:rFonts w:ascii="Courier New" w:cs="Courier New" w:eastAsia="Courier New" w:hAnsi="Courier New"/>
                <w:sz w:val="15"/>
                <w:szCs w:val="15"/>
                <w:color w:val="auto"/>
                <w:w w:val="99"/>
              </w:rPr>
              <w:t>September 30,</w:t>
            </w:r>
          </w:p>
        </w:tc>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spacing w:after="0"/>
              <w:rPr>
                <w:sz w:val="14"/>
                <w:szCs w:val="14"/>
                <w:color w:val="auto"/>
              </w:rPr>
            </w:pPr>
          </w:p>
        </w:tc>
        <w:tc>
          <w:tcPr>
            <w:tcW w:w="18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1880" w:type="dxa"/>
            <w:vAlign w:val="bottom"/>
            <w:gridSpan w:val="2"/>
          </w:tcPr>
          <w:p>
            <w:pPr>
              <w:jc w:val="center"/>
              <w:ind w:right="305"/>
              <w:spacing w:after="0"/>
              <w:rPr>
                <w:sz w:val="20"/>
                <w:szCs w:val="20"/>
                <w:color w:val="auto"/>
              </w:rPr>
            </w:pPr>
            <w:r>
              <w:rPr>
                <w:rFonts w:ascii="Courier New" w:cs="Courier New" w:eastAsia="Courier New" w:hAnsi="Courier New"/>
                <w:sz w:val="15"/>
                <w:szCs w:val="15"/>
                <w:color w:val="auto"/>
                <w:w w:val="98"/>
              </w:rPr>
              <w:t>(unaudited)</w:t>
            </w:r>
          </w:p>
        </w:tc>
        <w:tc>
          <w:tcPr>
            <w:tcW w:w="1880" w:type="dxa"/>
            <w:vAlign w:val="bottom"/>
          </w:tcPr>
          <w:p>
            <w:pPr>
              <w:jc w:val="center"/>
              <w:ind w:left="265"/>
              <w:spacing w:after="0"/>
              <w:rPr>
                <w:sz w:val="20"/>
                <w:szCs w:val="20"/>
                <w:color w:val="auto"/>
              </w:rPr>
            </w:pPr>
            <w:r>
              <w:rPr>
                <w:rFonts w:ascii="Courier New" w:cs="Courier New" w:eastAsia="Courier New" w:hAnsi="Courier New"/>
                <w:sz w:val="15"/>
                <w:szCs w:val="15"/>
                <w:color w:val="auto"/>
                <w:w w:val="98"/>
              </w:rPr>
              <w:t>(unaudited)</w:t>
            </w:r>
          </w:p>
        </w:tc>
      </w:tr>
      <w:tr>
        <w:trPr>
          <w:trHeight w:val="172"/>
        </w:trPr>
        <w:tc>
          <w:tcPr>
            <w:tcW w:w="1880" w:type="dxa"/>
            <w:vAlign w:val="bottom"/>
            <w:gridSpan w:val="2"/>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8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19,273</w:t>
            </w:r>
          </w:p>
        </w:tc>
        <w:tc>
          <w:tcPr>
            <w:tcW w:w="860" w:type="dxa"/>
            <w:vAlign w:val="bottom"/>
          </w:tcPr>
          <w:p>
            <w:pPr>
              <w:spacing w:after="0"/>
              <w:rPr>
                <w:sz w:val="24"/>
                <w:szCs w:val="24"/>
                <w:color w:val="auto"/>
              </w:rPr>
            </w:pPr>
          </w:p>
        </w:tc>
        <w:tc>
          <w:tcPr>
            <w:tcW w:w="18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2,645</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3,779</w:t>
            </w:r>
          </w:p>
        </w:tc>
        <w:tc>
          <w:tcPr>
            <w:tcW w:w="860" w:type="dxa"/>
            <w:vAlign w:val="bottom"/>
          </w:tcPr>
          <w:p>
            <w:pPr>
              <w:spacing w:after="0"/>
              <w:rPr>
                <w:sz w:val="14"/>
                <w:szCs w:val="14"/>
                <w:color w:val="auto"/>
              </w:rPr>
            </w:pPr>
          </w:p>
        </w:tc>
        <w:tc>
          <w:tcPr>
            <w:tcW w:w="18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20,157</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8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23,052</w:t>
            </w:r>
          </w:p>
        </w:tc>
        <w:tc>
          <w:tcPr>
            <w:tcW w:w="860" w:type="dxa"/>
            <w:vAlign w:val="bottom"/>
          </w:tcPr>
          <w:p>
            <w:pPr>
              <w:spacing w:after="0"/>
              <w:rPr>
                <w:sz w:val="14"/>
                <w:szCs w:val="14"/>
                <w:color w:val="auto"/>
              </w:rPr>
            </w:pPr>
          </w:p>
        </w:tc>
        <w:tc>
          <w:tcPr>
            <w:tcW w:w="18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22,802</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8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bl>
    <w:p>
      <w:pPr>
        <w:spacing w:after="0" w:line="9661" w:lineRule="exact"/>
        <w:rPr>
          <w:sz w:val="20"/>
          <w:szCs w:val="20"/>
          <w:color w:val="auto"/>
        </w:rPr>
      </w:pPr>
    </w:p>
    <w:p>
      <w:pPr>
        <w:sectPr>
          <w:pgSz w:w="11900" w:h="16838" w:orient="portrait"/>
          <w:cols w:equalWidth="0" w:num="2">
            <w:col w:w="7068" w:space="540"/>
            <w:col w:w="3760"/>
          </w:cols>
          <w:pgMar w:left="232" w:top="289" w:right="29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1368"/>
          </w:cols>
          <w:pgMar w:left="232" w:top="289" w:right="299" w:bottom="1440" w:gutter="0" w:footer="0" w:header="0"/>
          <w:type w:val="continuous"/>
        </w:sectPr>
      </w:pPr>
    </w:p>
    <w:bookmarkStart w:id="20" w:name="page21"/>
    <w:bookmarkEnd w:id="20"/>
    <w:p>
      <w:pPr>
        <w:ind w:left="268"/>
        <w:spacing w:after="0"/>
        <w:rPr>
          <w:sz w:val="20"/>
          <w:szCs w:val="20"/>
          <w:color w:val="auto"/>
        </w:rPr>
      </w:pPr>
      <w:r>
        <w:rPr>
          <w:rFonts w:ascii="Courier New" w:cs="Courier New" w:eastAsia="Courier New" w:hAnsi="Courier New"/>
          <w:sz w:val="15"/>
          <w:szCs w:val="15"/>
          <w:color w:val="auto"/>
        </w:rPr>
        <w:t>18</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Effective tax rate</w:t>
      </w:r>
    </w:p>
    <w:p>
      <w:pPr>
        <w:spacing w:after="0" w:line="4"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The difference between the Division's income tax expense and that which would be calculated using the statutory income tax rate of 41.66% on income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19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Year ended</w:t>
            </w:r>
          </w:p>
        </w:tc>
      </w:tr>
      <w:tr>
        <w:trPr>
          <w:trHeight w:val="172"/>
        </w:trPr>
        <w:tc>
          <w:tcPr>
            <w:tcW w:w="402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1997</w:t>
            </w:r>
          </w:p>
        </w:tc>
      </w:tr>
      <w:tr>
        <w:trPr>
          <w:trHeight w:val="172"/>
        </w:trPr>
        <w:tc>
          <w:tcPr>
            <w:tcW w:w="402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Tax at statutory rate</w:t>
            </w:r>
          </w:p>
        </w:tc>
        <w:tc>
          <w:tcPr>
            <w:tcW w:w="19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28,191</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Effect of tax rate differences</w:t>
            </w:r>
          </w:p>
        </w:tc>
        <w:tc>
          <w:tcPr>
            <w:tcW w:w="19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3,867</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Goodwill amortization not tax deductible</w:t>
            </w:r>
          </w:p>
        </w:tc>
        <w:tc>
          <w:tcPr>
            <w:tcW w:w="19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3,778</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Changes in tax rates</w:t>
            </w:r>
          </w:p>
        </w:tc>
        <w:tc>
          <w:tcPr>
            <w:tcW w:w="19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(1,972)</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Miscellaneous other</w:t>
            </w:r>
          </w:p>
        </w:tc>
        <w:tc>
          <w:tcPr>
            <w:tcW w:w="19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(478)</w:t>
            </w:r>
          </w:p>
        </w:tc>
      </w:tr>
      <w:tr>
        <w:trPr>
          <w:trHeight w:val="172"/>
        </w:trPr>
        <w:tc>
          <w:tcPr>
            <w:tcW w:w="4020" w:type="dxa"/>
            <w:vAlign w:val="bottom"/>
          </w:tcPr>
          <w:p>
            <w:pPr>
              <w:spacing w:after="0"/>
              <w:rPr>
                <w:sz w:val="14"/>
                <w:szCs w:val="14"/>
                <w:color w:val="auto"/>
              </w:rPr>
            </w:pPr>
          </w:p>
        </w:tc>
        <w:tc>
          <w:tcPr>
            <w:tcW w:w="19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Effective tax</w:t>
            </w:r>
          </w:p>
        </w:tc>
        <w:tc>
          <w:tcPr>
            <w:tcW w:w="19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33,386</w:t>
            </w:r>
          </w:p>
        </w:tc>
      </w:tr>
      <w:tr>
        <w:trPr>
          <w:trHeight w:val="172"/>
        </w:trPr>
        <w:tc>
          <w:tcPr>
            <w:tcW w:w="4020" w:type="dxa"/>
            <w:vAlign w:val="bottom"/>
          </w:tcPr>
          <w:p>
            <w:pPr>
              <w:spacing w:after="0"/>
              <w:rPr>
                <w:sz w:val="14"/>
                <w:szCs w:val="14"/>
                <w:color w:val="auto"/>
              </w:rPr>
            </w:pPr>
          </w:p>
        </w:tc>
        <w:tc>
          <w:tcPr>
            <w:tcW w:w="19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528" w:hanging="528"/>
        <w:spacing w:after="0"/>
        <w:tabs>
          <w:tab w:leader="none" w:pos="52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In 1997, Celaflor GmbH declared and paid a cash dividend of FF 33,457 thousand to Rhone-Poulenc Agro Holding GmbH. In conjunction with this dividend, there was a withholding tax in the amount of FF 9,033 thousand.</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 1998, Celaflor GmbH and Celaflor Handelsgesellschaft declared and paid cash dividends of FF 8,887 and FF 1,763 thousand, respectively, to Rhone-Poulenc Agro Holding GmbH. In conjunction with this dividend, there was a withholding tax in the amount of FF 8,500 thousand. These dividends have been eliminated in the combined financial statements.</w:t>
      </w:r>
    </w:p>
    <w:p>
      <w:pPr>
        <w:spacing w:after="0" w:line="175" w:lineRule="exact"/>
        <w:rPr>
          <w:sz w:val="20"/>
          <w:szCs w:val="20"/>
          <w:color w:val="auto"/>
        </w:rPr>
      </w:pPr>
    </w:p>
    <w:p>
      <w:pPr>
        <w:ind w:left="8" w:right="5299" w:hanging="8"/>
        <w:spacing w:after="0" w:line="535" w:lineRule="auto"/>
        <w:tabs>
          <w:tab w:leader="none" w:pos="54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DISCLOSURES OF CASH FLOW INFORMATION Interest and income taxes paid are as follows:</w:t>
      </w:r>
    </w:p>
    <w:p>
      <w:pPr>
        <w:spacing w:after="0" w:line="323" w:lineRule="exact"/>
        <w:rPr>
          <w:sz w:val="20"/>
          <w:szCs w:val="20"/>
          <w:color w:val="auto"/>
        </w:rPr>
      </w:pPr>
    </w:p>
    <w:tbl>
      <w:tblPr>
        <w:tblLayout w:type="fixed"/>
        <w:tblInd w:w="628"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Nine months ended</w:t>
            </w:r>
          </w:p>
        </w:tc>
        <w:tc>
          <w:tcPr>
            <w:tcW w:w="1440" w:type="dxa"/>
            <w:vAlign w:val="bottom"/>
          </w:tcPr>
          <w:p>
            <w:pPr>
              <w:ind w:left="400"/>
              <w:spacing w:after="0"/>
              <w:rPr>
                <w:sz w:val="20"/>
                <w:szCs w:val="20"/>
                <w:color w:val="auto"/>
              </w:rPr>
            </w:pPr>
            <w:r>
              <w:rPr>
                <w:rFonts w:ascii="Courier New" w:cs="Courier New" w:eastAsia="Courier New" w:hAnsi="Courier New"/>
                <w:sz w:val="15"/>
                <w:szCs w:val="15"/>
                <w:color w:val="auto"/>
              </w:rPr>
              <w:t>Nine months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ended</w:t>
            </w:r>
          </w:p>
        </w:tc>
      </w:tr>
      <w:tr>
        <w:trPr>
          <w:trHeight w:val="172"/>
        </w:trPr>
        <w:tc>
          <w:tcPr>
            <w:tcW w:w="2100" w:type="dxa"/>
            <w:vAlign w:val="bottom"/>
          </w:tcPr>
          <w:p>
            <w:pPr>
              <w:spacing w:after="0"/>
              <w:rPr>
                <w:sz w:val="14"/>
                <w:szCs w:val="14"/>
                <w:color w:val="auto"/>
              </w:rPr>
            </w:pPr>
          </w:p>
        </w:tc>
        <w:tc>
          <w:tcPr>
            <w:tcW w:w="21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7"/>
              </w:rPr>
              <w:t>Year ended</w:t>
            </w:r>
          </w:p>
        </w:tc>
        <w:tc>
          <w:tcPr>
            <w:tcW w:w="24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September 30,</w:t>
            </w:r>
          </w:p>
        </w:tc>
        <w:tc>
          <w:tcPr>
            <w:tcW w:w="1920" w:type="dxa"/>
            <w:vAlign w:val="bottom"/>
            <w:gridSpan w:val="2"/>
          </w:tcPr>
          <w:p>
            <w:pPr>
              <w:jc w:val="center"/>
              <w:ind w:left="325"/>
              <w:spacing w:after="0"/>
              <w:rPr>
                <w:sz w:val="20"/>
                <w:szCs w:val="20"/>
                <w:color w:val="auto"/>
              </w:rPr>
            </w:pPr>
            <w:r>
              <w:rPr>
                <w:rFonts w:ascii="Courier New" w:cs="Courier New" w:eastAsia="Courier New" w:hAnsi="Courier New"/>
                <w:sz w:val="15"/>
                <w:szCs w:val="15"/>
                <w:color w:val="auto"/>
                <w:w w:val="99"/>
              </w:rPr>
              <w:t>September 30,</w:t>
            </w:r>
          </w:p>
        </w:tc>
      </w:tr>
      <w:tr>
        <w:trPr>
          <w:trHeight w:val="172"/>
        </w:trPr>
        <w:tc>
          <w:tcPr>
            <w:tcW w:w="2100" w:type="dxa"/>
            <w:vAlign w:val="bottom"/>
          </w:tcPr>
          <w:p>
            <w:pPr>
              <w:spacing w:after="0"/>
              <w:rPr>
                <w:sz w:val="14"/>
                <w:szCs w:val="14"/>
                <w:color w:val="auto"/>
              </w:rPr>
            </w:pPr>
          </w:p>
        </w:tc>
        <w:tc>
          <w:tcPr>
            <w:tcW w:w="21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December 31,</w:t>
            </w:r>
          </w:p>
        </w:tc>
        <w:tc>
          <w:tcPr>
            <w:tcW w:w="242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1998</w:t>
            </w:r>
          </w:p>
        </w:tc>
        <w:tc>
          <w:tcPr>
            <w:tcW w:w="1440" w:type="dxa"/>
            <w:vAlign w:val="bottom"/>
          </w:tcPr>
          <w:p>
            <w:pPr>
              <w:ind w:left="940"/>
              <w:spacing w:after="0"/>
              <w:rPr>
                <w:sz w:val="20"/>
                <w:szCs w:val="20"/>
                <w:color w:val="auto"/>
              </w:rPr>
            </w:pPr>
            <w:r>
              <w:rPr>
                <w:rFonts w:ascii="Courier New" w:cs="Courier New" w:eastAsia="Courier New" w:hAnsi="Courier New"/>
                <w:sz w:val="15"/>
                <w:szCs w:val="15"/>
                <w:color w:val="auto"/>
              </w:rPr>
              <w:t>1997</w:t>
            </w:r>
          </w:p>
        </w:tc>
        <w:tc>
          <w:tcPr>
            <w:tcW w:w="480" w:type="dxa"/>
            <w:vAlign w:val="bottom"/>
          </w:tcPr>
          <w:p>
            <w:pPr>
              <w:spacing w:after="0"/>
              <w:rPr>
                <w:sz w:val="14"/>
                <w:szCs w:val="14"/>
                <w:color w:val="auto"/>
              </w:rPr>
            </w:pPr>
          </w:p>
        </w:tc>
      </w:tr>
      <w:tr>
        <w:trPr>
          <w:trHeight w:val="172"/>
        </w:trPr>
        <w:tc>
          <w:tcPr>
            <w:tcW w:w="2100" w:type="dxa"/>
            <w:vAlign w:val="bottom"/>
          </w:tcPr>
          <w:p>
            <w:pPr>
              <w:spacing w:after="0"/>
              <w:rPr>
                <w:sz w:val="14"/>
                <w:szCs w:val="14"/>
                <w:color w:val="auto"/>
              </w:rPr>
            </w:pPr>
          </w:p>
        </w:tc>
        <w:tc>
          <w:tcPr>
            <w:tcW w:w="2140" w:type="dxa"/>
            <w:vAlign w:val="bottom"/>
          </w:tcPr>
          <w:p>
            <w:pPr>
              <w:ind w:left="940"/>
              <w:spacing w:after="0"/>
              <w:rPr>
                <w:sz w:val="20"/>
                <w:szCs w:val="20"/>
                <w:color w:val="auto"/>
              </w:rPr>
            </w:pPr>
            <w:r>
              <w:rPr>
                <w:rFonts w:ascii="Courier New" w:cs="Courier New" w:eastAsia="Courier New" w:hAnsi="Courier New"/>
                <w:sz w:val="15"/>
                <w:szCs w:val="15"/>
                <w:color w:val="auto"/>
              </w:rPr>
              <w:t>1997</w:t>
            </w:r>
          </w:p>
        </w:tc>
        <w:tc>
          <w:tcPr>
            <w:tcW w:w="2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(unaudited)</w:t>
            </w:r>
          </w:p>
        </w:tc>
        <w:tc>
          <w:tcPr>
            <w:tcW w:w="1920" w:type="dxa"/>
            <w:vAlign w:val="bottom"/>
            <w:gridSpan w:val="2"/>
          </w:tcPr>
          <w:p>
            <w:pPr>
              <w:jc w:val="center"/>
              <w:ind w:left="345"/>
              <w:spacing w:after="0"/>
              <w:rPr>
                <w:sz w:val="20"/>
                <w:szCs w:val="20"/>
                <w:color w:val="auto"/>
              </w:rPr>
            </w:pPr>
            <w:r>
              <w:rPr>
                <w:rFonts w:ascii="Courier New" w:cs="Courier New" w:eastAsia="Courier New" w:hAnsi="Courier New"/>
                <w:sz w:val="15"/>
                <w:szCs w:val="15"/>
                <w:color w:val="auto"/>
                <w:w w:val="98"/>
              </w:rPr>
              <w:t>(unaudited)</w:t>
            </w:r>
          </w:p>
        </w:tc>
      </w:tr>
      <w:tr>
        <w:trPr>
          <w:trHeight w:val="172"/>
        </w:trPr>
        <w:tc>
          <w:tcPr>
            <w:tcW w:w="2100" w:type="dxa"/>
            <w:vAlign w:val="bottom"/>
          </w:tcPr>
          <w:p>
            <w:pPr>
              <w:spacing w:after="0"/>
              <w:rPr>
                <w:sz w:val="14"/>
                <w:szCs w:val="14"/>
                <w:color w:val="auto"/>
              </w:rPr>
            </w:pPr>
          </w:p>
        </w:tc>
        <w:tc>
          <w:tcPr>
            <w:tcW w:w="21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24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920" w:type="dxa"/>
            <w:vAlign w:val="bottom"/>
            <w:gridSpan w:val="2"/>
          </w:tcPr>
          <w:p>
            <w:pPr>
              <w:jc w:val="center"/>
              <w:ind w:left="32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Interest paid</w:t>
            </w:r>
          </w:p>
        </w:tc>
        <w:tc>
          <w:tcPr>
            <w:tcW w:w="2140" w:type="dxa"/>
            <w:vAlign w:val="bottom"/>
          </w:tcPr>
          <w:p>
            <w:pPr>
              <w:ind w:left="940"/>
              <w:spacing w:after="0"/>
              <w:rPr>
                <w:sz w:val="20"/>
                <w:szCs w:val="20"/>
                <w:color w:val="auto"/>
              </w:rPr>
            </w:pPr>
            <w:r>
              <w:rPr>
                <w:rFonts w:ascii="Courier New" w:cs="Courier New" w:eastAsia="Courier New" w:hAnsi="Courier New"/>
                <w:sz w:val="15"/>
                <w:szCs w:val="15"/>
                <w:color w:val="auto"/>
              </w:rPr>
              <w:t>7,762</w:t>
            </w:r>
          </w:p>
        </w:tc>
        <w:tc>
          <w:tcPr>
            <w:tcW w:w="242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4,475</w:t>
            </w:r>
          </w:p>
        </w:tc>
        <w:tc>
          <w:tcPr>
            <w:tcW w:w="1440" w:type="dxa"/>
            <w:vAlign w:val="bottom"/>
          </w:tcPr>
          <w:p>
            <w:pPr>
              <w:ind w:left="940"/>
              <w:spacing w:after="0"/>
              <w:rPr>
                <w:sz w:val="20"/>
                <w:szCs w:val="20"/>
                <w:color w:val="auto"/>
              </w:rPr>
            </w:pPr>
            <w:r>
              <w:rPr>
                <w:rFonts w:ascii="Courier New" w:cs="Courier New" w:eastAsia="Courier New" w:hAnsi="Courier New"/>
                <w:sz w:val="15"/>
                <w:szCs w:val="15"/>
                <w:color w:val="auto"/>
              </w:rPr>
              <w:t>5,874</w:t>
            </w:r>
          </w:p>
        </w:tc>
        <w:tc>
          <w:tcPr>
            <w:tcW w:w="480" w:type="dxa"/>
            <w:vAlign w:val="bottom"/>
          </w:tcPr>
          <w:p>
            <w:pPr>
              <w:spacing w:after="0"/>
              <w:rPr>
                <w:sz w:val="24"/>
                <w:szCs w:val="24"/>
                <w:color w:val="auto"/>
              </w:rPr>
            </w:pP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Income taxes paid</w:t>
            </w:r>
          </w:p>
        </w:tc>
        <w:tc>
          <w:tcPr>
            <w:tcW w:w="2140" w:type="dxa"/>
            <w:vAlign w:val="bottom"/>
          </w:tcPr>
          <w:p>
            <w:pPr>
              <w:ind w:left="940"/>
              <w:spacing w:after="0"/>
              <w:rPr>
                <w:sz w:val="20"/>
                <w:szCs w:val="20"/>
                <w:color w:val="auto"/>
              </w:rPr>
            </w:pPr>
            <w:r>
              <w:rPr>
                <w:rFonts w:ascii="Courier New" w:cs="Courier New" w:eastAsia="Courier New" w:hAnsi="Courier New"/>
                <w:sz w:val="15"/>
                <w:szCs w:val="15"/>
                <w:color w:val="auto"/>
              </w:rPr>
              <w:t>1,867</w:t>
            </w:r>
          </w:p>
        </w:tc>
        <w:tc>
          <w:tcPr>
            <w:tcW w:w="242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1,470</w:t>
            </w:r>
          </w:p>
        </w:tc>
        <w:tc>
          <w:tcPr>
            <w:tcW w:w="1440" w:type="dxa"/>
            <w:vAlign w:val="bottom"/>
          </w:tcPr>
          <w:p>
            <w:pPr>
              <w:ind w:left="940"/>
              <w:spacing w:after="0"/>
              <w:rPr>
                <w:sz w:val="20"/>
                <w:szCs w:val="20"/>
                <w:color w:val="auto"/>
              </w:rPr>
            </w:pPr>
            <w:r>
              <w:rPr>
                <w:rFonts w:ascii="Courier New" w:cs="Courier New" w:eastAsia="Courier New" w:hAnsi="Courier New"/>
                <w:sz w:val="15"/>
                <w:szCs w:val="15"/>
                <w:color w:val="auto"/>
              </w:rPr>
              <w:t>1,775</w:t>
            </w:r>
          </w:p>
        </w:tc>
        <w:tc>
          <w:tcPr>
            <w:tcW w:w="480" w:type="dxa"/>
            <w:vAlign w:val="bottom"/>
          </w:tcPr>
          <w:p>
            <w:pPr>
              <w:spacing w:after="0"/>
              <w:rPr>
                <w:sz w:val="14"/>
                <w:szCs w:val="14"/>
                <w:color w:val="auto"/>
              </w:rPr>
            </w:pPr>
          </w:p>
        </w:tc>
      </w:tr>
    </w:tbl>
    <w:p>
      <w:pPr>
        <w:spacing w:after="0" w:line="346" w:lineRule="exact"/>
        <w:rPr>
          <w:sz w:val="20"/>
          <w:szCs w:val="20"/>
          <w:color w:val="auto"/>
        </w:rPr>
      </w:pPr>
    </w:p>
    <w:p>
      <w:pPr>
        <w:ind w:left="528" w:hanging="528"/>
        <w:spacing w:after="0"/>
        <w:tabs>
          <w:tab w:leader="none" w:pos="52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76" w:lineRule="exact"/>
        <w:rPr>
          <w:sz w:val="20"/>
          <w:szCs w:val="20"/>
          <w:color w:val="auto"/>
        </w:rPr>
      </w:pPr>
    </w:p>
    <w:p>
      <w:pPr>
        <w:ind w:left="8" w:right="3079"/>
        <w:spacing w:after="0" w:line="265" w:lineRule="auto"/>
        <w:rPr>
          <w:sz w:val="20"/>
          <w:szCs w:val="20"/>
          <w:color w:val="auto"/>
        </w:rPr>
      </w:pPr>
      <w:r>
        <w:rPr>
          <w:rFonts w:ascii="Courier New" w:cs="Courier New" w:eastAsia="Courier New" w:hAnsi="Courier New"/>
          <w:sz w:val="14"/>
          <w:szCs w:val="14"/>
          <w:color w:val="auto"/>
        </w:rPr>
        <w:t>The Division has pension plans which cover all of its employees. The plans are defined benefit plans and provide pension benefits for employees at their retirement. The following table sets forth the plans' funded status and amounts recognized in the Division's combined financial statements at December 31, 1997:</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860" w:type="dxa"/>
            <w:vAlign w:val="bottom"/>
          </w:tcPr>
          <w:p>
            <w:pPr>
              <w:spacing w:after="0"/>
              <w:rPr>
                <w:sz w:val="14"/>
                <w:szCs w:val="14"/>
                <w:color w:val="auto"/>
              </w:rPr>
            </w:pP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8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860" w:type="dxa"/>
            <w:vAlign w:val="bottom"/>
          </w:tcPr>
          <w:p>
            <w:pPr>
              <w:ind w:left="980"/>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1200" w:type="dxa"/>
            <w:vAlign w:val="bottom"/>
          </w:tcPr>
          <w:p>
            <w:pPr>
              <w:spacing w:after="0"/>
              <w:rPr>
                <w:sz w:val="24"/>
                <w:szCs w:val="24"/>
                <w:color w:val="auto"/>
              </w:rPr>
            </w:pPr>
          </w:p>
        </w:tc>
      </w:tr>
      <w:tr>
        <w:trPr>
          <w:trHeight w:val="172"/>
        </w:trPr>
        <w:tc>
          <w:tcPr>
            <w:tcW w:w="5860" w:type="dxa"/>
            <w:vAlign w:val="bottom"/>
          </w:tcPr>
          <w:p>
            <w:pPr>
              <w:ind w:left="1160"/>
              <w:spacing w:after="0"/>
              <w:rPr>
                <w:sz w:val="20"/>
                <w:szCs w:val="20"/>
                <w:color w:val="auto"/>
              </w:rPr>
            </w:pPr>
            <w:r>
              <w:rPr>
                <w:rFonts w:ascii="Courier New" w:cs="Courier New" w:eastAsia="Courier New" w:hAnsi="Courier New"/>
                <w:sz w:val="15"/>
                <w:szCs w:val="15"/>
                <w:color w:val="auto"/>
              </w:rPr>
              <w:t>Vested benefit obligation</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34,236</w:t>
            </w:r>
          </w:p>
        </w:tc>
      </w:tr>
      <w:tr>
        <w:trPr>
          <w:trHeight w:val="172"/>
        </w:trPr>
        <w:tc>
          <w:tcPr>
            <w:tcW w:w="5860" w:type="dxa"/>
            <w:vAlign w:val="bottom"/>
          </w:tcPr>
          <w:p>
            <w:pPr>
              <w:spacing w:after="0"/>
              <w:rPr>
                <w:sz w:val="14"/>
                <w:szCs w:val="14"/>
                <w:color w:val="auto"/>
              </w:rPr>
            </w:pP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5860" w:type="dxa"/>
            <w:vAlign w:val="bottom"/>
          </w:tcPr>
          <w:p>
            <w:pPr>
              <w:ind w:left="1160"/>
              <w:spacing w:after="0"/>
              <w:rPr>
                <w:sz w:val="20"/>
                <w:szCs w:val="20"/>
                <w:color w:val="auto"/>
              </w:rPr>
            </w:pPr>
            <w:r>
              <w:rPr>
                <w:rFonts w:ascii="Courier New" w:cs="Courier New" w:eastAsia="Courier New" w:hAnsi="Courier New"/>
                <w:sz w:val="15"/>
                <w:szCs w:val="15"/>
                <w:color w:val="auto"/>
              </w:rPr>
              <w:t>Accumulated benefit obligation</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42,989</w:t>
            </w:r>
          </w:p>
        </w:tc>
      </w:tr>
      <w:tr>
        <w:trPr>
          <w:trHeight w:val="172"/>
        </w:trPr>
        <w:tc>
          <w:tcPr>
            <w:tcW w:w="5860" w:type="dxa"/>
            <w:vAlign w:val="bottom"/>
          </w:tcPr>
          <w:p>
            <w:pPr>
              <w:spacing w:after="0"/>
              <w:rPr>
                <w:sz w:val="14"/>
                <w:szCs w:val="14"/>
                <w:color w:val="auto"/>
              </w:rPr>
            </w:pP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5860" w:type="dxa"/>
            <w:vAlign w:val="bottom"/>
          </w:tcPr>
          <w:p>
            <w:pPr>
              <w:ind w:left="980"/>
              <w:spacing w:after="0"/>
              <w:rPr>
                <w:sz w:val="20"/>
                <w:szCs w:val="20"/>
                <w:color w:val="auto"/>
              </w:rPr>
            </w:pPr>
            <w:r>
              <w:rPr>
                <w:rFonts w:ascii="Courier New" w:cs="Courier New" w:eastAsia="Courier New" w:hAnsi="Courier New"/>
                <w:sz w:val="15"/>
                <w:szCs w:val="15"/>
                <w:color w:val="auto"/>
              </w:rPr>
              <w:t>Projected benefit obligation</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52,751</w:t>
            </w:r>
          </w:p>
        </w:tc>
      </w:tr>
      <w:tr>
        <w:trPr>
          <w:trHeight w:val="172"/>
        </w:trPr>
        <w:tc>
          <w:tcPr>
            <w:tcW w:w="5860" w:type="dxa"/>
            <w:vAlign w:val="bottom"/>
          </w:tcPr>
          <w:p>
            <w:pPr>
              <w:ind w:left="980"/>
              <w:spacing w:after="0"/>
              <w:rPr>
                <w:sz w:val="20"/>
                <w:szCs w:val="20"/>
                <w:color w:val="auto"/>
              </w:rPr>
            </w:pPr>
            <w:r>
              <w:rPr>
                <w:rFonts w:ascii="Courier New" w:cs="Courier New" w:eastAsia="Courier New" w:hAnsi="Courier New"/>
                <w:sz w:val="15"/>
                <w:szCs w:val="15"/>
                <w:color w:val="auto"/>
              </w:rPr>
              <w:t>Plan assets at fair value</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r>
      <w:tr>
        <w:trPr>
          <w:trHeight w:val="172"/>
        </w:trPr>
        <w:tc>
          <w:tcPr>
            <w:tcW w:w="5860" w:type="dxa"/>
            <w:vAlign w:val="bottom"/>
          </w:tcPr>
          <w:p>
            <w:pPr>
              <w:spacing w:after="0"/>
              <w:rPr>
                <w:sz w:val="14"/>
                <w:szCs w:val="14"/>
                <w:color w:val="auto"/>
              </w:rPr>
            </w:pP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5860" w:type="dxa"/>
            <w:vAlign w:val="bottom"/>
          </w:tcPr>
          <w:p>
            <w:pPr>
              <w:ind w:left="980"/>
              <w:spacing w:after="0"/>
              <w:rPr>
                <w:sz w:val="20"/>
                <w:szCs w:val="20"/>
                <w:color w:val="auto"/>
              </w:rPr>
            </w:pPr>
            <w:r>
              <w:rPr>
                <w:rFonts w:ascii="Courier New" w:cs="Courier New" w:eastAsia="Courier New" w:hAnsi="Courier New"/>
                <w:sz w:val="15"/>
                <w:szCs w:val="15"/>
                <w:color w:val="auto"/>
              </w:rPr>
              <w:t>Projected benefit obligation in excess of plan assets</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52,751</w:t>
            </w:r>
          </w:p>
        </w:tc>
      </w:tr>
      <w:tr>
        <w:trPr>
          <w:trHeight w:val="172"/>
        </w:trPr>
        <w:tc>
          <w:tcPr>
            <w:tcW w:w="5860" w:type="dxa"/>
            <w:vAlign w:val="bottom"/>
          </w:tcPr>
          <w:p>
            <w:pPr>
              <w:ind w:left="980"/>
              <w:spacing w:after="0"/>
              <w:rPr>
                <w:sz w:val="20"/>
                <w:szCs w:val="20"/>
                <w:color w:val="auto"/>
              </w:rPr>
            </w:pPr>
            <w:r>
              <w:rPr>
                <w:rFonts w:ascii="Courier New" w:cs="Courier New" w:eastAsia="Courier New" w:hAnsi="Courier New"/>
                <w:sz w:val="15"/>
                <w:szCs w:val="15"/>
                <w:color w:val="auto"/>
              </w:rPr>
              <w:t>Unrecognized prior service costs</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(4,434)</w:t>
            </w:r>
          </w:p>
        </w:tc>
      </w:tr>
      <w:tr>
        <w:trPr>
          <w:trHeight w:val="172"/>
        </w:trPr>
        <w:tc>
          <w:tcPr>
            <w:tcW w:w="5860" w:type="dxa"/>
            <w:vAlign w:val="bottom"/>
          </w:tcPr>
          <w:p>
            <w:pPr>
              <w:ind w:left="980"/>
              <w:spacing w:after="0"/>
              <w:rPr>
                <w:sz w:val="20"/>
                <w:szCs w:val="20"/>
                <w:color w:val="auto"/>
              </w:rPr>
            </w:pPr>
            <w:r>
              <w:rPr>
                <w:rFonts w:ascii="Courier New" w:cs="Courier New" w:eastAsia="Courier New" w:hAnsi="Courier New"/>
                <w:sz w:val="15"/>
                <w:szCs w:val="15"/>
                <w:color w:val="auto"/>
              </w:rPr>
              <w:t>Unrecognized net gain</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3,588</w:t>
            </w:r>
          </w:p>
        </w:tc>
      </w:tr>
      <w:tr>
        <w:trPr>
          <w:trHeight w:val="172"/>
        </w:trPr>
        <w:tc>
          <w:tcPr>
            <w:tcW w:w="5860" w:type="dxa"/>
            <w:vAlign w:val="bottom"/>
          </w:tcPr>
          <w:p>
            <w:pPr>
              <w:ind w:left="980"/>
              <w:spacing w:after="0"/>
              <w:rPr>
                <w:sz w:val="20"/>
                <w:szCs w:val="20"/>
                <w:color w:val="auto"/>
              </w:rPr>
            </w:pPr>
            <w:r>
              <w:rPr>
                <w:rFonts w:ascii="Courier New" w:cs="Courier New" w:eastAsia="Courier New" w:hAnsi="Courier New"/>
                <w:sz w:val="15"/>
                <w:szCs w:val="15"/>
                <w:color w:val="auto"/>
              </w:rPr>
              <w:t>Adjustment required to recognize minimum liability</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w:t>
            </w:r>
          </w:p>
        </w:tc>
      </w:tr>
      <w:tr>
        <w:trPr>
          <w:trHeight w:val="172"/>
        </w:trPr>
        <w:tc>
          <w:tcPr>
            <w:tcW w:w="5860" w:type="dxa"/>
            <w:vAlign w:val="bottom"/>
          </w:tcPr>
          <w:p>
            <w:pPr>
              <w:spacing w:after="0"/>
              <w:rPr>
                <w:sz w:val="14"/>
                <w:szCs w:val="14"/>
                <w:color w:val="auto"/>
              </w:rPr>
            </w:pP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5860" w:type="dxa"/>
            <w:vAlign w:val="bottom"/>
          </w:tcPr>
          <w:p>
            <w:pPr>
              <w:ind w:left="1160"/>
              <w:spacing w:after="0"/>
              <w:rPr>
                <w:sz w:val="20"/>
                <w:szCs w:val="20"/>
                <w:color w:val="auto"/>
              </w:rPr>
            </w:pPr>
            <w:r>
              <w:rPr>
                <w:rFonts w:ascii="Courier New" w:cs="Courier New" w:eastAsia="Courier New" w:hAnsi="Courier New"/>
                <w:sz w:val="15"/>
                <w:szCs w:val="15"/>
                <w:color w:val="auto"/>
              </w:rPr>
              <w:t>Accrued pension liability</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51,956</w:t>
            </w:r>
          </w:p>
        </w:tc>
      </w:tr>
      <w:tr>
        <w:trPr>
          <w:trHeight w:val="172"/>
        </w:trPr>
        <w:tc>
          <w:tcPr>
            <w:tcW w:w="5860" w:type="dxa"/>
            <w:vAlign w:val="bottom"/>
          </w:tcPr>
          <w:p>
            <w:pPr>
              <w:spacing w:after="0"/>
              <w:rPr>
                <w:sz w:val="14"/>
                <w:szCs w:val="14"/>
                <w:color w:val="auto"/>
              </w:rPr>
            </w:pP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pension cost for the year ended December 31, 1997</w:t>
            </w:r>
          </w:p>
        </w:tc>
        <w:tc>
          <w:tcPr>
            <w:tcW w:w="1200" w:type="dxa"/>
            <w:vAlign w:val="bottom"/>
          </w:tcPr>
          <w:p>
            <w:pPr>
              <w:spacing w:after="0"/>
              <w:rPr>
                <w:sz w:val="24"/>
                <w:szCs w:val="24"/>
                <w:color w:val="auto"/>
              </w:rPr>
            </w:pPr>
          </w:p>
        </w:tc>
      </w:tr>
      <w:tr>
        <w:trPr>
          <w:trHeight w:val="172"/>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included the following components:</w:t>
            </w:r>
          </w:p>
        </w:tc>
        <w:tc>
          <w:tcPr>
            <w:tcW w:w="1200" w:type="dxa"/>
            <w:vAlign w:val="bottom"/>
          </w:tcPr>
          <w:p>
            <w:pPr>
              <w:spacing w:after="0"/>
              <w:rPr>
                <w:sz w:val="14"/>
                <w:szCs w:val="14"/>
                <w:color w:val="auto"/>
              </w:rPr>
            </w:pPr>
          </w:p>
        </w:tc>
      </w:tr>
      <w:tr>
        <w:trPr>
          <w:trHeight w:val="344"/>
        </w:trPr>
        <w:tc>
          <w:tcPr>
            <w:tcW w:w="5860" w:type="dxa"/>
            <w:vAlign w:val="bottom"/>
          </w:tcPr>
          <w:p>
            <w:pPr>
              <w:ind w:left="980"/>
              <w:spacing w:after="0"/>
              <w:rPr>
                <w:sz w:val="20"/>
                <w:szCs w:val="20"/>
                <w:color w:val="auto"/>
              </w:rPr>
            </w:pPr>
            <w:r>
              <w:rPr>
                <w:rFonts w:ascii="Courier New" w:cs="Courier New" w:eastAsia="Courier New" w:hAnsi="Courier New"/>
                <w:sz w:val="15"/>
                <w:szCs w:val="15"/>
                <w:color w:val="auto"/>
              </w:rPr>
              <w:t>Service cost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2,521</w:t>
            </w:r>
          </w:p>
        </w:tc>
      </w:tr>
      <w:tr>
        <w:trPr>
          <w:trHeight w:val="172"/>
        </w:trPr>
        <w:tc>
          <w:tcPr>
            <w:tcW w:w="5860" w:type="dxa"/>
            <w:vAlign w:val="bottom"/>
          </w:tcPr>
          <w:p>
            <w:pPr>
              <w:ind w:left="980"/>
              <w:spacing w:after="0"/>
              <w:rPr>
                <w:sz w:val="20"/>
                <w:szCs w:val="20"/>
                <w:color w:val="auto"/>
              </w:rPr>
            </w:pPr>
            <w:r>
              <w:rPr>
                <w:rFonts w:ascii="Courier New" w:cs="Courier New" w:eastAsia="Courier New" w:hAnsi="Courier New"/>
                <w:sz w:val="15"/>
                <w:szCs w:val="15"/>
                <w:color w:val="auto"/>
              </w:rPr>
              <w:t>Interest cost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3,600</w:t>
            </w:r>
          </w:p>
        </w:tc>
      </w:tr>
      <w:tr>
        <w:trPr>
          <w:trHeight w:val="172"/>
        </w:trPr>
        <w:tc>
          <w:tcPr>
            <w:tcW w:w="5860" w:type="dxa"/>
            <w:vAlign w:val="bottom"/>
          </w:tcPr>
          <w:p>
            <w:pPr>
              <w:ind w:left="980"/>
              <w:spacing w:after="0"/>
              <w:rPr>
                <w:sz w:val="20"/>
                <w:szCs w:val="20"/>
                <w:color w:val="auto"/>
              </w:rPr>
            </w:pPr>
            <w:r>
              <w:rPr>
                <w:rFonts w:ascii="Courier New" w:cs="Courier New" w:eastAsia="Courier New" w:hAnsi="Courier New"/>
                <w:sz w:val="15"/>
                <w:szCs w:val="15"/>
                <w:color w:val="auto"/>
              </w:rPr>
              <w:t>Amortization of unrecognized prior service cost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481</w:t>
            </w:r>
          </w:p>
        </w:tc>
      </w:tr>
      <w:tr>
        <w:trPr>
          <w:trHeight w:val="172"/>
        </w:trPr>
        <w:tc>
          <w:tcPr>
            <w:tcW w:w="5860" w:type="dxa"/>
            <w:vAlign w:val="bottom"/>
          </w:tcPr>
          <w:p>
            <w:pPr>
              <w:ind w:left="980"/>
              <w:spacing w:after="0"/>
              <w:rPr>
                <w:sz w:val="20"/>
                <w:szCs w:val="20"/>
                <w:color w:val="auto"/>
              </w:rPr>
            </w:pPr>
            <w:r>
              <w:rPr>
                <w:rFonts w:ascii="Courier New" w:cs="Courier New" w:eastAsia="Courier New" w:hAnsi="Courier New"/>
                <w:sz w:val="15"/>
                <w:szCs w:val="15"/>
                <w:color w:val="auto"/>
              </w:rPr>
              <w:t>Amortization of unrecognized net loss</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w:t>
            </w:r>
          </w:p>
        </w:tc>
      </w:tr>
      <w:tr>
        <w:trPr>
          <w:trHeight w:val="172"/>
        </w:trPr>
        <w:tc>
          <w:tcPr>
            <w:tcW w:w="5860" w:type="dxa"/>
            <w:vAlign w:val="bottom"/>
          </w:tcPr>
          <w:p>
            <w:pPr>
              <w:spacing w:after="0"/>
              <w:rPr>
                <w:sz w:val="14"/>
                <w:szCs w:val="14"/>
                <w:color w:val="auto"/>
              </w:rPr>
            </w:pP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5860" w:type="dxa"/>
            <w:vAlign w:val="bottom"/>
          </w:tcPr>
          <w:p>
            <w:pPr>
              <w:ind w:left="980"/>
              <w:spacing w:after="0"/>
              <w:rPr>
                <w:sz w:val="20"/>
                <w:szCs w:val="20"/>
                <w:color w:val="auto"/>
              </w:rPr>
            </w:pPr>
            <w:r>
              <w:rPr>
                <w:rFonts w:ascii="Courier New" w:cs="Courier New" w:eastAsia="Courier New" w:hAnsi="Courier New"/>
                <w:sz w:val="15"/>
                <w:szCs w:val="15"/>
                <w:color w:val="auto"/>
              </w:rPr>
              <w:t>Net periodic pension cost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6,655</w:t>
            </w:r>
          </w:p>
        </w:tc>
      </w:tr>
      <w:tr>
        <w:trPr>
          <w:trHeight w:val="172"/>
        </w:trPr>
        <w:tc>
          <w:tcPr>
            <w:tcW w:w="5860" w:type="dxa"/>
            <w:vAlign w:val="bottom"/>
          </w:tcPr>
          <w:p>
            <w:pPr>
              <w:spacing w:after="0"/>
              <w:rPr>
                <w:sz w:val="14"/>
                <w:szCs w:val="14"/>
                <w:color w:val="auto"/>
              </w:rPr>
            </w:pP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7"/>
          </w:cols>
          <w:pgMar w:left="232" w:top="289" w:right="1440" w:bottom="0" w:gutter="0" w:footer="0" w:header="0"/>
        </w:sectPr>
      </w:pPr>
    </w:p>
    <w:bookmarkStart w:id="21" w:name="page22"/>
    <w:bookmarkEnd w:id="21"/>
    <w:p>
      <w:pPr>
        <w:ind w:left="22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019"/>
          </w:cols>
          <w:pgMar w:left="1440" w:top="656" w:right="1440" w:bottom="1440" w:gutter="0" w:footer="0" w:header="0"/>
        </w:sectPr>
      </w:pPr>
    </w:p>
    <w:bookmarkStart w:id="22" w:name="page23"/>
    <w:bookmarkEnd w:id="22"/>
    <w:p>
      <w:pPr>
        <w:ind w:left="268"/>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left="8" w:right="640"/>
        <w:spacing w:after="0" w:line="241" w:lineRule="auto"/>
        <w:rPr>
          <w:sz w:val="20"/>
          <w:szCs w:val="20"/>
          <w:color w:val="auto"/>
        </w:rPr>
      </w:pPr>
      <w:r>
        <w:rPr>
          <w:rFonts w:ascii="Courier New" w:cs="Courier New" w:eastAsia="Courier New" w:hAnsi="Courier New"/>
          <w:sz w:val="15"/>
          <w:szCs w:val="15"/>
          <w:color w:val="auto"/>
        </w:rPr>
        <w:t>The projected benefit obligation was determined using an assumed discount rate ranging between 6.25% and 7.50% and an assumed compensation rate ranging between 3.00% and 4.50%.</w:t>
      </w:r>
    </w:p>
    <w:p>
      <w:pPr>
        <w:spacing w:after="0" w:line="174" w:lineRule="exact"/>
        <w:rPr>
          <w:sz w:val="20"/>
          <w:szCs w:val="20"/>
          <w:color w:val="auto"/>
        </w:rPr>
      </w:pPr>
    </w:p>
    <w:p>
      <w:pPr>
        <w:ind w:left="528" w:hanging="528"/>
        <w:spacing w:after="0"/>
        <w:tabs>
          <w:tab w:leader="none" w:pos="52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w:t>
      </w:r>
    </w:p>
    <w:p>
      <w:pPr>
        <w:spacing w:after="0" w:line="176" w:lineRule="exact"/>
        <w:rPr>
          <w:sz w:val="20"/>
          <w:szCs w:val="20"/>
          <w:color w:val="auto"/>
        </w:rPr>
      </w:pPr>
    </w:p>
    <w:p>
      <w:pPr>
        <w:ind w:left="8" w:right="820"/>
        <w:spacing w:after="0" w:line="242" w:lineRule="auto"/>
        <w:rPr>
          <w:sz w:val="20"/>
          <w:szCs w:val="20"/>
          <w:color w:val="auto"/>
        </w:rPr>
      </w:pPr>
      <w:r>
        <w:rPr>
          <w:rFonts w:ascii="Courier New" w:cs="Courier New" w:eastAsia="Courier New" w:hAnsi="Courier New"/>
          <w:sz w:val="15"/>
          <w:szCs w:val="15"/>
          <w:color w:val="auto"/>
        </w:rPr>
        <w:t>Rhone-Poulenc Jardin directors and key executive were offered stock options in 1994, 1996 and 1998 under the terms of a stock option plan that permits the company to grant options for up to 5% of Rhone-Poulenc Jardin SA's outstanding shares, or 18,000 shares.</w:t>
      </w:r>
    </w:p>
    <w:p>
      <w:pPr>
        <w:spacing w:after="0" w:line="175" w:lineRule="exact"/>
        <w:rPr>
          <w:sz w:val="20"/>
          <w:szCs w:val="20"/>
          <w:color w:val="auto"/>
        </w:rPr>
      </w:pPr>
    </w:p>
    <w:p>
      <w:pPr>
        <w:ind w:left="8" w:right="640"/>
        <w:spacing w:after="0" w:line="242" w:lineRule="auto"/>
        <w:rPr>
          <w:sz w:val="20"/>
          <w:szCs w:val="20"/>
          <w:color w:val="auto"/>
        </w:rPr>
      </w:pPr>
      <w:r>
        <w:rPr>
          <w:rFonts w:ascii="Courier New" w:cs="Courier New" w:eastAsia="Courier New" w:hAnsi="Courier New"/>
          <w:sz w:val="15"/>
          <w:szCs w:val="15"/>
          <w:color w:val="auto"/>
        </w:rPr>
        <w:t>The arrangement provides that the beneficiaries have a put option to sell the shares back to Rhone-Poulenc Jardin at a price based on the option exercise price and the company's market price at that date of the sale back. The exercise price of each option equals the market price of the company's stock on the date of the grant. The options maximum term is 10 years. Options are vested after a four-year service period.</w:t>
      </w:r>
    </w:p>
    <w:p>
      <w:pPr>
        <w:spacing w:after="0" w:line="176" w:lineRule="exact"/>
        <w:rPr>
          <w:sz w:val="20"/>
          <w:szCs w:val="20"/>
          <w:color w:val="auto"/>
        </w:rPr>
      </w:pPr>
    </w:p>
    <w:p>
      <w:pPr>
        <w:ind w:left="8" w:right="640"/>
        <w:spacing w:after="0" w:line="242" w:lineRule="auto"/>
        <w:rPr>
          <w:sz w:val="20"/>
          <w:szCs w:val="20"/>
          <w:color w:val="auto"/>
        </w:rPr>
      </w:pPr>
      <w:r>
        <w:rPr>
          <w:rFonts w:ascii="Courier New" w:cs="Courier New" w:eastAsia="Courier New" w:hAnsi="Courier New"/>
          <w:sz w:val="15"/>
          <w:szCs w:val="15"/>
          <w:color w:val="auto"/>
        </w:rPr>
        <w:t>The liability incurred by the company and corresponding to the put option (award settlement in cash) is measured each period based on the update of the stock buy back formula price. The effects of changes in this formula price, due to changes in the company's stock market price, are recognized as compensation cost over the service period. Changes in the amount of the liability due to stock market price changes after the service period are recognized as compensation cost in the period the changes occur.</w:t>
      </w:r>
    </w:p>
    <w:p>
      <w:pPr>
        <w:spacing w:after="0" w:line="177" w:lineRule="exact"/>
        <w:rPr>
          <w:sz w:val="20"/>
          <w:szCs w:val="20"/>
          <w:color w:val="auto"/>
        </w:rPr>
      </w:pPr>
    </w:p>
    <w:p>
      <w:pPr>
        <w:ind w:left="8" w:right="820"/>
        <w:spacing w:after="0" w:line="241" w:lineRule="auto"/>
        <w:rPr>
          <w:sz w:val="20"/>
          <w:szCs w:val="20"/>
          <w:color w:val="auto"/>
        </w:rPr>
      </w:pPr>
      <w:r>
        <w:rPr>
          <w:rFonts w:ascii="Courier New" w:cs="Courier New" w:eastAsia="Courier New" w:hAnsi="Courier New"/>
          <w:sz w:val="15"/>
          <w:szCs w:val="15"/>
          <w:color w:val="auto"/>
        </w:rPr>
        <w:t>The following table details the options that have been granted and the related compensation cost for the year and cumulative compensation as of December 31, 1997.</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rPr>
              <w:t>TOTAL</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w:t>
            </w:r>
          </w:p>
        </w:tc>
      </w:tr>
      <w:tr>
        <w:trPr>
          <w:trHeight w:val="172"/>
        </w:trPr>
        <w:tc>
          <w:tcPr>
            <w:tcW w:w="1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EXERCISE</w:t>
            </w:r>
          </w:p>
        </w:tc>
        <w:tc>
          <w:tcPr>
            <w:tcW w:w="1880" w:type="dxa"/>
            <w:vAlign w:val="bottom"/>
          </w:tcPr>
          <w:p>
            <w:pPr>
              <w:ind w:left="540"/>
              <w:spacing w:after="0"/>
              <w:rPr>
                <w:sz w:val="20"/>
                <w:szCs w:val="20"/>
                <w:color w:val="auto"/>
              </w:rPr>
            </w:pPr>
            <w:r>
              <w:rPr>
                <w:rFonts w:ascii="Courier New" w:cs="Courier New" w:eastAsia="Courier New" w:hAnsi="Courier New"/>
                <w:sz w:val="15"/>
                <w:szCs w:val="15"/>
                <w:color w:val="auto"/>
              </w:rPr>
              <w:t>CUMULATIVE</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COMPENSATIONS</w:t>
            </w:r>
          </w:p>
        </w:tc>
      </w:tr>
      <w:tr>
        <w:trPr>
          <w:trHeight w:val="172"/>
        </w:trPr>
        <w:tc>
          <w:tcPr>
            <w:tcW w:w="1420" w:type="dxa"/>
            <w:vAlign w:val="bottom"/>
          </w:tcPr>
          <w:p>
            <w:pPr>
              <w:spacing w:after="0"/>
              <w:rPr>
                <w:sz w:val="14"/>
                <w:szCs w:val="14"/>
                <w:color w:val="auto"/>
              </w:rPr>
            </w:pPr>
          </w:p>
        </w:tc>
        <w:tc>
          <w:tcPr>
            <w:tcW w:w="18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 OF</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PRICE</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COMPENSATION AS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ACCRUED AS OF</w:t>
            </w:r>
          </w:p>
        </w:tc>
      </w:tr>
      <w:tr>
        <w:trPr>
          <w:trHeight w:val="172"/>
        </w:trPr>
        <w:tc>
          <w:tcPr>
            <w:tcW w:w="1420" w:type="dxa"/>
            <w:vAlign w:val="bottom"/>
          </w:tcPr>
          <w:p>
            <w:pPr>
              <w:spacing w:after="0"/>
              <w:rPr>
                <w:sz w:val="14"/>
                <w:szCs w:val="14"/>
                <w:color w:val="auto"/>
              </w:rPr>
            </w:pPr>
          </w:p>
        </w:tc>
        <w:tc>
          <w:tcPr>
            <w:tcW w:w="1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OPTIONS GRANTED</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(IN FF)</w:t>
            </w:r>
          </w:p>
        </w:tc>
        <w:tc>
          <w:tcPr>
            <w:tcW w:w="1880" w:type="dxa"/>
            <w:vAlign w:val="bottom"/>
          </w:tcPr>
          <w:p>
            <w:pPr>
              <w:ind w:left="360"/>
              <w:spacing w:after="0"/>
              <w:rPr>
                <w:sz w:val="20"/>
                <w:szCs w:val="20"/>
                <w:color w:val="auto"/>
              </w:rPr>
            </w:pPr>
            <w:r>
              <w:rPr>
                <w:rFonts w:ascii="Courier New" w:cs="Courier New" w:eastAsia="Courier New" w:hAnsi="Courier New"/>
                <w:sz w:val="15"/>
                <w:szCs w:val="15"/>
                <w:color w:val="auto"/>
              </w:rPr>
              <w:t>OF DEC 31, 1997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DEC 31, 1997</w:t>
            </w:r>
          </w:p>
        </w:tc>
      </w:tr>
      <w:tr>
        <w:trPr>
          <w:trHeight w:val="172"/>
        </w:trPr>
        <w:tc>
          <w:tcPr>
            <w:tcW w:w="1420" w:type="dxa"/>
            <w:vAlign w:val="bottom"/>
          </w:tcPr>
          <w:p>
            <w:pPr>
              <w:spacing w:after="0"/>
              <w:rPr>
                <w:sz w:val="14"/>
                <w:szCs w:val="14"/>
                <w:color w:val="auto"/>
              </w:rPr>
            </w:pPr>
          </w:p>
        </w:tc>
        <w:tc>
          <w:tcPr>
            <w:tcW w:w="1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8"/>
        </w:trPr>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c>
          <w:tcPr>
            <w:tcW w:w="18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900</w:t>
            </w:r>
          </w:p>
        </w:tc>
        <w:tc>
          <w:tcPr>
            <w:tcW w:w="12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632</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6"/>
              </w:rPr>
              <w:t>404</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303</w:t>
            </w:r>
          </w:p>
        </w:tc>
      </w:tr>
      <w:tr>
        <w:trPr>
          <w:trHeight w:val="172"/>
        </w:trPr>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c>
          <w:tcPr>
            <w:tcW w:w="18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950</w:t>
            </w:r>
          </w:p>
        </w:tc>
        <w:tc>
          <w:tcPr>
            <w:tcW w:w="12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587</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6"/>
              </w:rPr>
              <w:t>437</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182</w:t>
            </w:r>
          </w:p>
        </w:tc>
      </w:tr>
      <w:tr>
        <w:trPr>
          <w:trHeight w:val="172"/>
        </w:trPr>
        <w:tc>
          <w:tcPr>
            <w:tcW w:w="1420" w:type="dxa"/>
            <w:vAlign w:val="bottom"/>
          </w:tcPr>
          <w:p>
            <w:pPr>
              <w:spacing w:after="0"/>
              <w:rPr>
                <w:sz w:val="14"/>
                <w:szCs w:val="14"/>
                <w:color w:val="auto"/>
              </w:rPr>
            </w:pPr>
          </w:p>
        </w:tc>
        <w:tc>
          <w:tcPr>
            <w:tcW w:w="18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1420" w:type="dxa"/>
            <w:vAlign w:val="bottom"/>
          </w:tcPr>
          <w:p>
            <w:pPr>
              <w:jc w:val="right"/>
              <w:ind w:right="905"/>
              <w:spacing w:after="0"/>
              <w:rPr>
                <w:sz w:val="20"/>
                <w:szCs w:val="20"/>
                <w:color w:val="auto"/>
              </w:rPr>
            </w:pPr>
            <w:r>
              <w:rPr>
                <w:rFonts w:ascii="Courier New" w:cs="Courier New" w:eastAsia="Courier New" w:hAnsi="Courier New"/>
                <w:sz w:val="15"/>
                <w:szCs w:val="15"/>
                <w:color w:val="auto"/>
                <w:w w:val="93"/>
              </w:rPr>
              <w:t>Total</w:t>
            </w:r>
          </w:p>
        </w:tc>
        <w:tc>
          <w:tcPr>
            <w:tcW w:w="18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1,850</w:t>
            </w:r>
          </w:p>
        </w:tc>
        <w:tc>
          <w:tcPr>
            <w:tcW w:w="126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6"/>
              </w:rPr>
              <w:t>841</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485</w:t>
            </w:r>
          </w:p>
        </w:tc>
      </w:tr>
    </w:tbl>
    <w:p>
      <w:pPr>
        <w:spacing w:after="0" w:line="348" w:lineRule="exact"/>
        <w:rPr>
          <w:sz w:val="20"/>
          <w:szCs w:val="20"/>
          <w:color w:val="auto"/>
        </w:rPr>
      </w:pPr>
    </w:p>
    <w:p>
      <w:pPr>
        <w:ind w:left="8" w:right="720"/>
        <w:spacing w:after="0" w:line="242" w:lineRule="auto"/>
        <w:rPr>
          <w:sz w:val="20"/>
          <w:szCs w:val="20"/>
          <w:color w:val="auto"/>
        </w:rPr>
      </w:pPr>
      <w:r>
        <w:rPr>
          <w:rFonts w:ascii="Courier New" w:cs="Courier New" w:eastAsia="Courier New" w:hAnsi="Courier New"/>
          <w:sz w:val="15"/>
          <w:szCs w:val="15"/>
          <w:color w:val="auto"/>
        </w:rPr>
        <w:t>Under the plan terms, if Rhone-Poulenc Jardin's parent company (Rhone-Poulenc Agro SA) disinvests its shares in Rhone-Poulenc Jardin SA, the selling price of the shares held at that date by the directors and key executives will be the highest of the selling price as per the plan or the purchase price paid by the acquirer.</w:t>
      </w:r>
    </w:p>
    <w:p>
      <w:pPr>
        <w:spacing w:after="0" w:line="175" w:lineRule="exact"/>
        <w:rPr>
          <w:sz w:val="20"/>
          <w:szCs w:val="20"/>
          <w:color w:val="auto"/>
        </w:rPr>
      </w:pPr>
    </w:p>
    <w:p>
      <w:pPr>
        <w:jc w:val="both"/>
        <w:ind w:left="8" w:right="720"/>
        <w:spacing w:after="0" w:line="241" w:lineRule="auto"/>
        <w:rPr>
          <w:sz w:val="20"/>
          <w:szCs w:val="20"/>
          <w:color w:val="auto"/>
        </w:rPr>
      </w:pPr>
      <w:r>
        <w:rPr>
          <w:rFonts w:ascii="Courier New" w:cs="Courier New" w:eastAsia="Courier New" w:hAnsi="Courier New"/>
          <w:sz w:val="15"/>
          <w:szCs w:val="15"/>
          <w:color w:val="auto"/>
        </w:rPr>
        <w:t>Cumulative compensation accrued is less than the total cumulative compensation as of December 31, 1997 because a portion of the total compensation has not yet been earned due to vesting provisions of the options.</w:t>
      </w:r>
    </w:p>
    <w:p>
      <w:pPr>
        <w:spacing w:after="0" w:line="174" w:lineRule="exact"/>
        <w:rPr>
          <w:sz w:val="20"/>
          <w:szCs w:val="20"/>
          <w:color w:val="auto"/>
        </w:rPr>
      </w:pPr>
    </w:p>
    <w:p>
      <w:pPr>
        <w:ind w:left="528" w:hanging="528"/>
        <w:spacing w:after="0"/>
        <w:tabs>
          <w:tab w:leader="none" w:pos="52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WITH RHONE-POULENC GROUP COMPANIES</w:t>
      </w:r>
    </w:p>
    <w:p>
      <w:pPr>
        <w:spacing w:after="0" w:line="176" w:lineRule="exact"/>
        <w:rPr>
          <w:sz w:val="20"/>
          <w:szCs w:val="20"/>
          <w:color w:val="auto"/>
        </w:rPr>
      </w:pPr>
    </w:p>
    <w:p>
      <w:pPr>
        <w:ind w:left="8" w:right="640"/>
        <w:spacing w:after="0" w:line="242" w:lineRule="auto"/>
        <w:rPr>
          <w:sz w:val="20"/>
          <w:szCs w:val="20"/>
          <w:color w:val="auto"/>
        </w:rPr>
      </w:pPr>
      <w:r>
        <w:rPr>
          <w:rFonts w:ascii="Courier New" w:cs="Courier New" w:eastAsia="Courier New" w:hAnsi="Courier New"/>
          <w:sz w:val="15"/>
          <w:szCs w:val="15"/>
          <w:color w:val="auto"/>
        </w:rPr>
        <w:t>The Rhone-Poulenc Jardin Division companies entered into various business transactions with Rhone-Poulenc Group companies mainly comprising of sales and purchases of active ingredients and finished goods. The combined financial statements do not include any expenses allocated by the Parent. However, the combined financial statements do include actual costs incurred by the Parent on behalf of Rhone-Poulenc Jardin SA (mainly salaries of employees). They result in a receivable from Rhone-Poulenc Group companies amounting to FF 2,089 thousand (of which FF 1,157 thousand receivable by Rhone-Poulenc Jardin SA from Rhone-Poulenc Agro Belgium) and a payable to Rhone-Poulenc Group companies amounting to FF 6,618 thousand (of which FF 6,592 thousand payable by Rhone-Poulenc Jardin SA to Rhone-Poulenc Agro SA).</w:t>
      </w:r>
    </w:p>
    <w:p>
      <w:pPr>
        <w:spacing w:after="0" w:line="179" w:lineRule="exact"/>
        <w:rPr>
          <w:sz w:val="20"/>
          <w:szCs w:val="20"/>
          <w:color w:val="auto"/>
        </w:rPr>
      </w:pPr>
    </w:p>
    <w:p>
      <w:pPr>
        <w:ind w:left="8" w:right="640"/>
        <w:spacing w:after="0" w:line="242" w:lineRule="auto"/>
        <w:rPr>
          <w:sz w:val="20"/>
          <w:szCs w:val="20"/>
          <w:color w:val="auto"/>
        </w:rPr>
      </w:pPr>
      <w:r>
        <w:rPr>
          <w:rFonts w:ascii="Courier New" w:cs="Courier New" w:eastAsia="Courier New" w:hAnsi="Courier New"/>
          <w:sz w:val="15"/>
          <w:szCs w:val="15"/>
          <w:color w:val="auto"/>
        </w:rPr>
        <w:t>As at September 30, 1998, they result in a receivable from Rhone-Poulenc Group companies amounting to FF 2,437 thousand (of which FF 867 thousand receivable by Celaflor GmbH from Rhone-Poulenc Rhodic SA and FF 618 thousand receivable by Rhone-Poulenc Jardin SA from Rhone-Poulenc Agro Belgium) and in a payable to Rhone-Poulenc Group companies amounting to FF 11,141 thousand (of which FF 7,973 thousand payable by Rhone-Poulenc Jardin SA to Rhone-Poulenc Agro SA).</w:t>
      </w:r>
    </w:p>
    <w:p>
      <w:pPr>
        <w:spacing w:after="0" w:line="176" w:lineRule="exact"/>
        <w:rPr>
          <w:sz w:val="20"/>
          <w:szCs w:val="20"/>
          <w:color w:val="auto"/>
        </w:rPr>
      </w:pPr>
    </w:p>
    <w:p>
      <w:pPr>
        <w:ind w:left="8" w:right="720"/>
        <w:spacing w:after="0" w:line="263" w:lineRule="auto"/>
        <w:rPr>
          <w:sz w:val="20"/>
          <w:szCs w:val="20"/>
          <w:color w:val="auto"/>
        </w:rPr>
      </w:pPr>
      <w:r>
        <w:rPr>
          <w:rFonts w:ascii="Courier New" w:cs="Courier New" w:eastAsia="Courier New" w:hAnsi="Courier New"/>
          <w:sz w:val="14"/>
          <w:szCs w:val="14"/>
          <w:color w:val="auto"/>
        </w:rPr>
        <w:t>As at September 30, 1997, they result in a receivable from Rhone-Poulenc Group companies amounting to FF 1,986 thousand (of which FF 1,110 thousand receivable by Rhone-Poulenc Jardin SA from Rhone-Poulenc Agro SA and FF 541 thousand receivable by Celaflor GmbH from Rhone-Poulenc Agro SA) and in a payable to Rhone-Poulenc Group companies amounting to FF 6,417 thousand (of which FF 6,069 thousand payable by Rhone-Poulenc Jardin SA to Rhone-Poulenc Agro SA).</w:t>
      </w:r>
    </w:p>
    <w:p>
      <w:pPr>
        <w:spacing w:after="0" w:line="161" w:lineRule="exact"/>
        <w:rPr>
          <w:sz w:val="20"/>
          <w:szCs w:val="20"/>
          <w:color w:val="auto"/>
        </w:rPr>
      </w:pPr>
    </w:p>
    <w:p>
      <w:pPr>
        <w:ind w:left="8" w:right="720"/>
        <w:spacing w:after="0" w:line="263" w:lineRule="auto"/>
        <w:rPr>
          <w:sz w:val="20"/>
          <w:szCs w:val="20"/>
          <w:color w:val="auto"/>
        </w:rPr>
      </w:pPr>
      <w:r>
        <w:rPr>
          <w:rFonts w:ascii="Courier New" w:cs="Courier New" w:eastAsia="Courier New" w:hAnsi="Courier New"/>
          <w:sz w:val="14"/>
          <w:szCs w:val="14"/>
          <w:color w:val="auto"/>
        </w:rPr>
        <w:t>These financial statements do not include a FF 34,755 thousand gain realized in December 1997 by Celaflor GmbH on the sale of the Celaflor Handelsgesellschaft shares. These shares have been sold to a Rhone-Poulenc affiliate, Rhone-Poulenc Agro Holding GmbH. This amount has not been included in the financial statements as the parties to the transaction are under common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FOR</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YEAR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182</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132</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314</w:t>
      </w:r>
    </w:p>
    <w:p>
      <w:pPr>
        <w:sectPr>
          <w:pgSz w:w="11900" w:h="16838" w:orient="portrait"/>
          <w:cols w:equalWidth="0" w:num="2">
            <w:col w:w="7788" w:space="540"/>
            <w:col w:w="1899"/>
          </w:cols>
          <w:pgMar w:left="232" w:top="289" w:right="1440" w:bottom="321" w:gutter="0" w:footer="0" w:header="0"/>
        </w:sectPr>
      </w:pPr>
    </w:p>
    <w:bookmarkStart w:id="23" w:name="page24"/>
    <w:bookmarkEnd w:id="23"/>
    <w:p>
      <w:pPr>
        <w:ind w:left="22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019"/>
          </w:cols>
          <w:pgMar w:left="1440" w:top="312" w:right="1440" w:bottom="1440" w:gutter="0" w:footer="0" w:header="0"/>
        </w:sectPr>
      </w:pPr>
    </w:p>
    <w:bookmarkStart w:id="24" w:name="page25"/>
    <w:bookmarkEnd w:id="24"/>
    <w:p>
      <w:pPr>
        <w:ind w:left="268"/>
        <w:spacing w:after="0"/>
        <w:rPr>
          <w:sz w:val="20"/>
          <w:szCs w:val="20"/>
          <w:color w:val="auto"/>
        </w:rPr>
      </w:pPr>
      <w:r>
        <w:rPr>
          <w:rFonts w:ascii="Courier New" w:cs="Courier New" w:eastAsia="Courier New" w:hAnsi="Courier New"/>
          <w:sz w:val="15"/>
          <w:szCs w:val="15"/>
          <w:color w:val="auto"/>
        </w:rPr>
        <w:t>20</w:t>
      </w:r>
    </w:p>
    <w:p>
      <w:pPr>
        <w:spacing w:after="0" w:line="2" w:lineRule="exact"/>
        <w:rPr>
          <w:sz w:val="20"/>
          <w:szCs w:val="20"/>
          <w:color w:val="auto"/>
        </w:rPr>
      </w:pPr>
    </w:p>
    <w:p>
      <w:pPr>
        <w:ind w:left="528" w:hanging="528"/>
        <w:spacing w:after="0"/>
        <w:tabs>
          <w:tab w:leader="none" w:pos="52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4" w:lineRule="exact"/>
        <w:rPr>
          <w:sz w:val="20"/>
          <w:szCs w:val="20"/>
          <w:color w:val="auto"/>
        </w:rPr>
      </w:pPr>
    </w:p>
    <w:p>
      <w:pPr>
        <w:ind w:left="348" w:hanging="348"/>
        <w:spacing w:after="0"/>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LITIGATIONS</w:t>
      </w:r>
    </w:p>
    <w:p>
      <w:pPr>
        <w:spacing w:after="0" w:line="348" w:lineRule="exact"/>
        <w:rPr>
          <w:sz w:val="20"/>
          <w:szCs w:val="20"/>
          <w:color w:val="auto"/>
        </w:rPr>
      </w:pPr>
    </w:p>
    <w:p>
      <w:pPr>
        <w:ind w:left="8" w:right="3259"/>
        <w:spacing w:after="0" w:line="260" w:lineRule="auto"/>
        <w:rPr>
          <w:sz w:val="20"/>
          <w:szCs w:val="20"/>
          <w:color w:val="auto"/>
        </w:rPr>
      </w:pPr>
      <w:r>
        <w:rPr>
          <w:rFonts w:ascii="Courier New" w:cs="Courier New" w:eastAsia="Courier New" w:hAnsi="Courier New"/>
          <w:sz w:val="14"/>
          <w:szCs w:val="14"/>
          <w:color w:val="auto"/>
        </w:rPr>
        <w:t>At December 31, 1997, Celaflor GmbH and Celaflor Handelsgesellschaft were involved in litigation related to a defective product as described in Footnote</w:t>
      </w:r>
    </w:p>
    <w:p>
      <w:pPr>
        <w:ind w:left="8" w:right="3959" w:hanging="8"/>
        <w:spacing w:after="0"/>
        <w:tabs>
          <w:tab w:leader="none" w:pos="36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1998, based on more current information, the companies have estimated their maximum liability to be FF 3,100 thousand.</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 December 1997, the Company received an expert report concluding the supplier, Perrycut Chemie AG, was responsible for the defective product. Celaflor GmbH filed claim for damaged inventory on hand and for possible costs of products returned by their distributors. In January 1998, Perrycut Chemie AG hired another expert who sited unfavorable conclusions against Celaflor GmbH. In February 1998, a third independent expert concluded Perrycut Chemie AG was responsible for the defective product. Finally, in March 1998, a settlement was reached whereby both parties agreed to bear half the costs for damaged and returned products. Based on this, a provision of FF 3,100,000 was recorded in the combined balance sheet in 1998.</w:t>
      </w:r>
    </w:p>
    <w:p>
      <w:pPr>
        <w:spacing w:after="0" w:line="177" w:lineRule="exact"/>
        <w:rPr>
          <w:sz w:val="20"/>
          <w:szCs w:val="20"/>
          <w:color w:val="auto"/>
        </w:rPr>
      </w:pPr>
    </w:p>
    <w:p>
      <w:pPr>
        <w:ind w:left="448" w:hanging="448"/>
        <w:spacing w:after="0"/>
        <w:tabs>
          <w:tab w:leader="none" w:pos="4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w:t>
      </w:r>
    </w:p>
    <w:p>
      <w:pPr>
        <w:spacing w:after="0" w:line="176" w:lineRule="exact"/>
        <w:rPr>
          <w:sz w:val="20"/>
          <w:szCs w:val="20"/>
          <w:color w:val="auto"/>
        </w:rPr>
      </w:pPr>
    </w:p>
    <w:p>
      <w:pPr>
        <w:ind w:left="8" w:right="3779"/>
        <w:spacing w:after="0"/>
        <w:rPr>
          <w:sz w:val="20"/>
          <w:szCs w:val="20"/>
          <w:color w:val="auto"/>
        </w:rPr>
      </w:pPr>
      <w:r>
        <w:rPr>
          <w:rFonts w:ascii="Courier New" w:cs="Courier New" w:eastAsia="Courier New" w:hAnsi="Courier New"/>
          <w:sz w:val="15"/>
          <w:szCs w:val="15"/>
          <w:color w:val="auto"/>
        </w:rPr>
        <w:t>In March 1997, the company offered 1,300 additional stock options to its directors and key executives at an exercise price of FF 1,214.</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In spring-summer 1998, the Rhone-Poulenc Jardin's parent company entered into discussions with a potential acquirer. Based on the selling price of the company's stock agreed upon by the two parties, and total options granted in 1994, 1996 and 1998 the total cumulative compensation would amount to FF 2,142 thousand.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28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21</w:t>
      </w:r>
    </w:p>
    <w:p>
      <w:pPr>
        <w:spacing w:after="0" w:line="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7(b)</w:t>
      </w:r>
      <w:r>
        <w:rPr>
          <w:sz w:val="20"/>
          <w:szCs w:val="20"/>
          <w:color w:val="auto"/>
        </w:rPr>
        <w:tab/>
      </w:r>
      <w:r>
        <w:rPr>
          <w:rFonts w:ascii="Courier New" w:cs="Courier New" w:eastAsia="Courier New" w:hAnsi="Courier New"/>
          <w:sz w:val="14"/>
          <w:szCs w:val="14"/>
          <w:color w:val="auto"/>
        </w:rPr>
        <w:t>Pro Forma Financial Information:</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UNAUDITED PRO FORMA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unaudited pro forma combined financial information gives effect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acquisition of Rhone-Poulenc Jardin ("RPJ") by The Scotts Company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which occurred on October 7, 1998. RPJ includes the assets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of Rhone-Poulenc Jardin SA, Celaflor GmbH and Celaflor</w:t>
      </w:r>
    </w:p>
    <w:p>
      <w:pPr>
        <w:spacing w:after="0" w:line="2"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5"/>
          <w:szCs w:val="15"/>
          <w:color w:val="auto"/>
        </w:rPr>
        <w:t>Handelsgesellschaft.</w:t>
        <w:tab/>
        <w:t>The initial estimated purchase price was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$193 million, however subsequent adjustments for reductions in acquired working</w:t>
      </w:r>
    </w:p>
    <w:p>
      <w:pPr>
        <w:spacing w:after="0" w:line="2" w:lineRule="exact"/>
        <w:rPr>
          <w:sz w:val="20"/>
          <w:szCs w:val="20"/>
          <w:color w:val="auto"/>
        </w:rPr>
      </w:pPr>
    </w:p>
    <w:p>
      <w:pPr>
        <w:spacing w:after="0"/>
        <w:tabs>
          <w:tab w:leader="none" w:pos="6680" w:val="left"/>
        </w:tabs>
        <w:rPr>
          <w:sz w:val="20"/>
          <w:szCs w:val="20"/>
          <w:color w:val="auto"/>
        </w:rPr>
      </w:pPr>
      <w:r>
        <w:rPr>
          <w:rFonts w:ascii="Courier New" w:cs="Courier New" w:eastAsia="Courier New" w:hAnsi="Courier New"/>
          <w:sz w:val="15"/>
          <w:szCs w:val="15"/>
          <w:color w:val="auto"/>
        </w:rPr>
        <w:t>capital resulted in a final purchase price of approximately $147 million.</w:t>
        <w:tab/>
        <w:t>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consideration for the acquired businesses, the Company issued non-interest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bearing notes with a present value of approximately $12.5 million to the</w:t>
      </w:r>
    </w:p>
    <w:p>
      <w:pPr>
        <w:spacing w:after="0" w:line="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seller.</w:t>
        <w:tab/>
        <w:t>The remaining purchase price was paid to the seller from funds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borrowed under the Company's revolving credit facility.</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connection with the acquisition, the Company entered into a Research and Development Access Rights Agreement with Rhone-Poulenc. In exchange for the rights provided under the agreement, the Company will make four annual payments of 39 million French Francs each beginning on October 1, 1999 (the present value of the payments is approximately $23.2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historical financial statements of RPJ were prepared in</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French francs and translated to U.S. dollars for inclusion in the unaudited pro forma combined statement of operations and balance sheet.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unaudited pro forma combined statement of operations for the twelve months ended September 30, 1998 gives effect to the acquisition of RPJ as if it had occurred on October 1, 1997. The financial data for RPJ included in the pro forma combined statement of operations is based on the unaudited results for the twelve months ended September 30, 1998. The results of operations for RPJ are not included in the Company's historical results for the year ended September 30, 1998. The unaudited pro forma combined balance sheet as of September 30, 1998 gives effect to the acquisition of RPJ as if it had occurred on that date. The adjustments, which are based on available information and upon certain assumptions which management believes are reasonable, are described in the accompanying notes. The pro forma combined financial information does not purport to represent what the financial position or results of operations of the Company actually would have been had the acquisition of RPJ occurred on the assumed dates or to project the financial position or results of operations of the Company for any future period or date.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UNAUDITED PRO FORMA COMBINED STATEMENT OF OPERATIONS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TWELVE MONTHS ENDED SEPTEMBER 30, 1998</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Scotts</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RPJ (a)</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Adjustments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4500" w:type="dxa"/>
            <w:vAlign w:val="bottom"/>
          </w:tcPr>
          <w:p>
            <w:pPr>
              <w:spacing w:after="0"/>
              <w:rPr>
                <w:sz w:val="14"/>
                <w:szCs w:val="14"/>
                <w:color w:val="auto"/>
              </w:rPr>
            </w:pP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$1,113.0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$144.3</w:t>
            </w:r>
          </w:p>
        </w:tc>
        <w:tc>
          <w:tcPr>
            <w:tcW w:w="1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$1,257.3</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715.0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75.4</w:t>
            </w:r>
          </w:p>
        </w:tc>
        <w:tc>
          <w:tcPr>
            <w:tcW w:w="1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790.4</w:t>
            </w:r>
          </w:p>
        </w:tc>
      </w:tr>
      <w:tr>
        <w:trPr>
          <w:trHeight w:val="172"/>
        </w:trPr>
        <w:tc>
          <w:tcPr>
            <w:tcW w:w="4500" w:type="dxa"/>
            <w:vAlign w:val="bottom"/>
          </w:tcPr>
          <w:p>
            <w:pPr>
              <w:spacing w:after="0"/>
              <w:rPr>
                <w:sz w:val="14"/>
                <w:szCs w:val="14"/>
                <w:color w:val="auto"/>
              </w:rPr>
            </w:pP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Gross profit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398.0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68.9</w:t>
            </w:r>
          </w:p>
        </w:tc>
        <w:tc>
          <w:tcPr>
            <w:tcW w:w="1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466.9</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271.6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55.7</w:t>
            </w:r>
          </w:p>
        </w:tc>
        <w:tc>
          <w:tcPr>
            <w:tcW w:w="1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327.3</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2.0(b)</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172"/>
        </w:trPr>
        <w:tc>
          <w:tcPr>
            <w:tcW w:w="4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1.5(c)</w:t>
            </w:r>
          </w:p>
        </w:tc>
        <w:tc>
          <w:tcPr>
            <w:tcW w:w="1080" w:type="dxa"/>
            <w:vAlign w:val="bottom"/>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15.4</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c>
          <w:tcPr>
            <w:tcW w:w="1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0.4</w:t>
            </w:r>
          </w:p>
        </w:tc>
        <w:tc>
          <w:tcPr>
            <w:tcW w:w="1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2"/>
        </w:trPr>
        <w:tc>
          <w:tcPr>
            <w:tcW w:w="4500" w:type="dxa"/>
            <w:vAlign w:val="bottom"/>
          </w:tcPr>
          <w:p>
            <w:pPr>
              <w:spacing w:after="0"/>
              <w:rPr>
                <w:sz w:val="14"/>
                <w:szCs w:val="14"/>
                <w:color w:val="auto"/>
              </w:rPr>
            </w:pP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Income from operations</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94.1</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99.3</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32.2</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11.8(d)</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2"/>
        </w:trPr>
        <w:tc>
          <w:tcPr>
            <w:tcW w:w="4500" w:type="dxa"/>
            <w:vAlign w:val="bottom"/>
          </w:tcPr>
          <w:p>
            <w:pPr>
              <w:spacing w:after="0"/>
              <w:rPr>
                <w:sz w:val="14"/>
                <w:szCs w:val="14"/>
                <w:color w:val="auto"/>
              </w:rPr>
            </w:pP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Income before income taxes</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55.1</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22.2</w:t>
            </w:r>
          </w:p>
        </w:tc>
      </w:tr>
      <w:tr>
        <w:trPr>
          <w:trHeight w:val="172"/>
        </w:trPr>
        <w:tc>
          <w:tcPr>
            <w:tcW w:w="4500" w:type="dxa"/>
            <w:vAlign w:val="bottom"/>
          </w:tcPr>
          <w:p>
            <w:pPr>
              <w:spacing w:after="0"/>
              <w:rPr>
                <w:sz w:val="14"/>
                <w:szCs w:val="14"/>
                <w:color w:val="auto"/>
              </w:rPr>
            </w:pP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Income before extraordinary item</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32.9</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w:t>
            </w: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2"/>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Income before extraordinary item</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500" w:type="dxa"/>
            <w:vAlign w:val="bottom"/>
          </w:tcPr>
          <w:p>
            <w:pPr>
              <w:ind w:left="340"/>
              <w:spacing w:after="0"/>
              <w:rPr>
                <w:sz w:val="20"/>
                <w:szCs w:val="20"/>
                <w:color w:val="auto"/>
              </w:rPr>
            </w:pPr>
            <w:r>
              <w:rPr>
                <w:rFonts w:ascii="Courier New" w:cs="Courier New" w:eastAsia="Courier New" w:hAnsi="Courier New"/>
                <w:sz w:val="15"/>
                <w:szCs w:val="15"/>
                <w:color w:val="auto"/>
              </w:rPr>
              <w:t>available to common shareholders</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27.2</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3.2</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(7.3)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$ 23.1</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 per share:</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$ 1.24</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$ 1.09</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Number of shares used in per share calculation:</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172"/>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30.3</w:t>
            </w:r>
          </w:p>
        </w:tc>
      </w:tr>
      <w:tr>
        <w:trPr>
          <w:trHeight w:val="688"/>
        </w:trPr>
        <w:tc>
          <w:tcPr>
            <w:tcW w:w="4500" w:type="dxa"/>
            <w:vAlign w:val="bottom"/>
          </w:tcPr>
          <w:p>
            <w:pPr>
              <w:ind w:left="3480"/>
              <w:spacing w:after="0"/>
              <w:rPr>
                <w:sz w:val="20"/>
                <w:szCs w:val="20"/>
                <w:color w:val="auto"/>
              </w:rPr>
            </w:pPr>
            <w:r>
              <w:rPr>
                <w:rFonts w:ascii="Courier New" w:cs="Courier New" w:eastAsia="Courier New" w:hAnsi="Courier New"/>
                <w:sz w:val="15"/>
                <w:szCs w:val="15"/>
                <w:color w:val="auto"/>
              </w:rPr>
              <w:t>22</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27" w:name="page28"/>
    <w:bookmarkEnd w:id="27"/>
    <w:p>
      <w:pPr>
        <w:ind w:left="268"/>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18"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THE UNAUDITED PRO FORMA</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COMBINED STATEMENT OF OPERATIONS</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(in millions)</w:t>
      </w:r>
    </w:p>
    <w:p>
      <w:pPr>
        <w:spacing w:after="0" w:line="348" w:lineRule="exact"/>
        <w:rPr>
          <w:sz w:val="20"/>
          <w:szCs w:val="20"/>
          <w:color w:val="auto"/>
        </w:rPr>
      </w:pPr>
    </w:p>
    <w:p>
      <w:pPr>
        <w:ind w:left="448" w:right="3079" w:hanging="448"/>
        <w:spacing w:after="0" w:line="241" w:lineRule="auto"/>
        <w:tabs>
          <w:tab w:leader="none" w:pos="4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 of operations for RPJ has been translated from French francs to U.S. dollars using the average exchange rate for the twelve months ended September 30, 1998 of FF 5.97: USD 1.</w:t>
      </w:r>
    </w:p>
    <w:p>
      <w:pPr>
        <w:spacing w:after="0" w:line="176" w:lineRule="exact"/>
        <w:rPr>
          <w:rFonts w:ascii="Courier New" w:cs="Courier New" w:eastAsia="Courier New" w:hAnsi="Courier New"/>
          <w:sz w:val="15"/>
          <w:szCs w:val="15"/>
          <w:color w:val="auto"/>
        </w:rPr>
      </w:pPr>
    </w:p>
    <w:p>
      <w:pPr>
        <w:ind w:left="448" w:right="3079" w:hanging="448"/>
        <w:spacing w:after="0"/>
        <w:tabs>
          <w:tab w:leader="none" w:pos="4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increased amortization of goodwill and other intangibles resulting from an allocation of the purchase price of the RPJ business:</w:t>
      </w:r>
    </w:p>
    <w:p>
      <w:pPr>
        <w:spacing w:after="0" w:line="200" w:lineRule="exact"/>
        <w:rPr>
          <w:sz w:val="20"/>
          <w:szCs w:val="20"/>
          <w:color w:val="auto"/>
        </w:rPr>
      </w:pPr>
    </w:p>
    <w:p>
      <w:pPr>
        <w:spacing w:after="0" w:line="318"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$147.0</w:t>
            </w:r>
          </w:p>
        </w:tc>
      </w:tr>
      <w:tr>
        <w:trPr>
          <w:trHeight w:val="172"/>
        </w:trPr>
        <w:tc>
          <w:tcPr>
            <w:tcW w:w="4480" w:type="dxa"/>
            <w:vAlign w:val="bottom"/>
          </w:tcPr>
          <w:p>
            <w:pPr>
              <w:spacing w:after="0"/>
              <w:rPr>
                <w:sz w:val="20"/>
                <w:szCs w:val="20"/>
                <w:color w:val="auto"/>
              </w:rPr>
            </w:pPr>
            <w:r>
              <w:rPr>
                <w:rFonts w:ascii="Courier New" w:cs="Courier New" w:eastAsia="Courier New" w:hAnsi="Courier New"/>
                <w:sz w:val="15"/>
                <w:szCs w:val="15"/>
                <w:color w:val="auto"/>
              </w:rPr>
              <w:t>Less amounts allocated to tangible</w:t>
            </w:r>
          </w:p>
        </w:tc>
        <w:tc>
          <w:tcPr>
            <w:tcW w:w="1520" w:type="dxa"/>
            <w:vAlign w:val="bottom"/>
          </w:tcPr>
          <w:p>
            <w:pPr>
              <w:spacing w:after="0"/>
              <w:rPr>
                <w:sz w:val="14"/>
                <w:szCs w:val="14"/>
                <w:color w:val="auto"/>
              </w:rPr>
            </w:pPr>
          </w:p>
        </w:tc>
      </w:tr>
      <w:tr>
        <w:trPr>
          <w:trHeight w:val="172"/>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assets and liabilities</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r>
      <w:tr>
        <w:trPr>
          <w:trHeight w:val="172"/>
        </w:trPr>
        <w:tc>
          <w:tcPr>
            <w:tcW w:w="4480" w:type="dxa"/>
            <w:vAlign w:val="bottom"/>
          </w:tcPr>
          <w:p>
            <w:pPr>
              <w:spacing w:after="0"/>
              <w:rPr>
                <w:sz w:val="14"/>
                <w:szCs w:val="14"/>
                <w:color w:val="auto"/>
              </w:rPr>
            </w:pP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480" w:type="dxa"/>
            <w:vAlign w:val="bottom"/>
          </w:tcPr>
          <w:p>
            <w:pPr>
              <w:spacing w:after="0"/>
              <w:rPr>
                <w:sz w:val="20"/>
                <w:szCs w:val="20"/>
                <w:color w:val="auto"/>
              </w:rPr>
            </w:pPr>
            <w:r>
              <w:rPr>
                <w:rFonts w:ascii="Courier New" w:cs="Courier New" w:eastAsia="Courier New" w:hAnsi="Courier New"/>
                <w:sz w:val="15"/>
                <w:szCs w:val="15"/>
                <w:color w:val="auto"/>
              </w:rPr>
              <w:t>Amount allocated to goodwill and</w:t>
            </w:r>
          </w:p>
        </w:tc>
        <w:tc>
          <w:tcPr>
            <w:tcW w:w="1520" w:type="dxa"/>
            <w:vAlign w:val="bottom"/>
          </w:tcPr>
          <w:p>
            <w:pPr>
              <w:spacing w:after="0"/>
              <w:rPr>
                <w:sz w:val="14"/>
                <w:szCs w:val="14"/>
                <w:color w:val="auto"/>
              </w:rPr>
            </w:pPr>
          </w:p>
        </w:tc>
      </w:tr>
      <w:tr>
        <w:trPr>
          <w:trHeight w:val="172"/>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other intangibles</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133.9</w:t>
            </w:r>
          </w:p>
        </w:tc>
      </w:tr>
      <w:tr>
        <w:trPr>
          <w:trHeight w:val="172"/>
        </w:trPr>
        <w:tc>
          <w:tcPr>
            <w:tcW w:w="4480" w:type="dxa"/>
            <w:vAlign w:val="bottom"/>
          </w:tcPr>
          <w:p>
            <w:pPr>
              <w:spacing w:after="0"/>
              <w:rPr>
                <w:sz w:val="20"/>
                <w:szCs w:val="20"/>
                <w:color w:val="auto"/>
              </w:rPr>
            </w:pPr>
            <w:r>
              <w:rPr>
                <w:rFonts w:ascii="Courier New" w:cs="Courier New" w:eastAsia="Courier New" w:hAnsi="Courier New"/>
                <w:sz w:val="15"/>
                <w:szCs w:val="15"/>
                <w:color w:val="auto"/>
              </w:rPr>
              <w:t>Average useful life (in years)</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31.0</w:t>
            </w:r>
          </w:p>
        </w:tc>
      </w:tr>
      <w:tr>
        <w:trPr>
          <w:trHeight w:val="172"/>
        </w:trPr>
        <w:tc>
          <w:tcPr>
            <w:tcW w:w="4480" w:type="dxa"/>
            <w:vAlign w:val="bottom"/>
          </w:tcPr>
          <w:p>
            <w:pPr>
              <w:spacing w:after="0"/>
              <w:rPr>
                <w:sz w:val="14"/>
                <w:szCs w:val="14"/>
                <w:color w:val="auto"/>
              </w:rPr>
            </w:pP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480" w:type="dxa"/>
            <w:vAlign w:val="bottom"/>
          </w:tcPr>
          <w:p>
            <w:pPr>
              <w:spacing w:after="0"/>
              <w:rPr>
                <w:sz w:val="14"/>
                <w:szCs w:val="14"/>
                <w:color w:val="auto"/>
              </w:rPr>
            </w:pP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w:t>
            </w:r>
          </w:p>
        </w:tc>
      </w:tr>
      <w:tr>
        <w:trPr>
          <w:trHeight w:val="172"/>
        </w:trPr>
        <w:tc>
          <w:tcPr>
            <w:tcW w:w="4480" w:type="dxa"/>
            <w:vAlign w:val="bottom"/>
          </w:tcPr>
          <w:p>
            <w:pPr>
              <w:spacing w:after="0"/>
              <w:rPr>
                <w:sz w:val="20"/>
                <w:szCs w:val="20"/>
                <w:color w:val="auto"/>
              </w:rPr>
            </w:pPr>
            <w:r>
              <w:rPr>
                <w:rFonts w:ascii="Courier New" w:cs="Courier New" w:eastAsia="Courier New" w:hAnsi="Courier New"/>
                <w:sz w:val="15"/>
                <w:szCs w:val="15"/>
                <w:color w:val="auto"/>
              </w:rPr>
              <w:t>Less amortization included in historical</w:t>
            </w:r>
          </w:p>
        </w:tc>
        <w:tc>
          <w:tcPr>
            <w:tcW w:w="1520" w:type="dxa"/>
            <w:vAlign w:val="bottom"/>
          </w:tcPr>
          <w:p>
            <w:pPr>
              <w:spacing w:after="0"/>
              <w:rPr>
                <w:sz w:val="14"/>
                <w:szCs w:val="14"/>
                <w:color w:val="auto"/>
              </w:rPr>
            </w:pPr>
          </w:p>
        </w:tc>
      </w:tr>
      <w:tr>
        <w:trPr>
          <w:trHeight w:val="172"/>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RPJ financial statements</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w:t>
            </w:r>
          </w:p>
        </w:tc>
      </w:tr>
      <w:tr>
        <w:trPr>
          <w:trHeight w:val="172"/>
        </w:trPr>
        <w:tc>
          <w:tcPr>
            <w:tcW w:w="4480" w:type="dxa"/>
            <w:vAlign w:val="bottom"/>
          </w:tcPr>
          <w:p>
            <w:pPr>
              <w:spacing w:after="0"/>
              <w:rPr>
                <w:sz w:val="14"/>
                <w:szCs w:val="14"/>
                <w:color w:val="auto"/>
              </w:rPr>
            </w:pP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480" w:type="dxa"/>
            <w:vAlign w:val="bottom"/>
          </w:tcPr>
          <w:p>
            <w:pPr>
              <w:spacing w:after="0"/>
              <w:rPr>
                <w:sz w:val="14"/>
                <w:szCs w:val="14"/>
                <w:color w:val="auto"/>
              </w:rPr>
            </w:pP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2.0</w:t>
            </w:r>
          </w:p>
        </w:tc>
      </w:tr>
    </w:tbl>
    <w:p>
      <w:pPr>
        <w:spacing w:after="0" w:line="348" w:lineRule="exact"/>
        <w:rPr>
          <w:sz w:val="20"/>
          <w:szCs w:val="20"/>
          <w:color w:val="auto"/>
        </w:rPr>
      </w:pPr>
    </w:p>
    <w:p>
      <w:pPr>
        <w:ind w:left="448" w:right="3259"/>
        <w:spacing w:after="0" w:line="242" w:lineRule="auto"/>
        <w:rPr>
          <w:sz w:val="20"/>
          <w:szCs w:val="20"/>
          <w:color w:val="auto"/>
        </w:rPr>
      </w:pPr>
      <w:r>
        <w:rPr>
          <w:rFonts w:ascii="Courier New" w:cs="Courier New" w:eastAsia="Courier New" w:hAnsi="Courier New"/>
          <w:sz w:val="15"/>
          <w:szCs w:val="15"/>
          <w:color w:val="auto"/>
        </w:rPr>
        <w:t>The average useful life of 31.0 years reflects the valuation of the RPJ business assigning a useful life of 40 years to intangibles such as tradenames and goodwill and shorter lives to intangibles such as customer relationships, workforce and supply agreements.</w:t>
      </w:r>
    </w:p>
    <w:p>
      <w:pPr>
        <w:spacing w:after="0" w:line="175" w:lineRule="exact"/>
        <w:rPr>
          <w:sz w:val="20"/>
          <w:szCs w:val="20"/>
          <w:color w:val="auto"/>
        </w:rPr>
      </w:pPr>
    </w:p>
    <w:p>
      <w:pPr>
        <w:ind w:left="448" w:right="3599" w:hanging="448"/>
        <w:spacing w:after="0"/>
        <w:tabs>
          <w:tab w:leader="none" w:pos="4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amortization of amounts to be paid under the Access Rights Agreement over the minimum term of the agreement (15 years).</w:t>
      </w:r>
    </w:p>
    <w:p>
      <w:pPr>
        <w:spacing w:after="0" w:line="176"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interest expense incurred to finance the RPJ acquisition. Borrowings under the Company's revolving credit facility of $134.5 million bear interest at an average rate of 6.37%. Non-interest bearing notes issued to the seller of $12.5 million and amounts to be paid under the Access Rights Agreement of $23.2 million are assumed to bear interest at 9.1%.</w:t>
      </w:r>
    </w:p>
    <w:p>
      <w:pPr>
        <w:spacing w:after="0" w:line="176"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estimated provision for income taxes on a pro forma basis using the effective tax rate for the Company on a stand-alone basis for fiscal 1998 of 40.3%.</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7"/>
          </w:cols>
          <w:pgMar w:left="232"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24</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UNAUDITED PRO FORMA COMBINED BALANCE SHEET</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AS OF SEPTEMBER 30, 1998</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Scotts</w:t>
            </w:r>
          </w:p>
        </w:tc>
        <w:tc>
          <w:tcPr>
            <w:tcW w:w="10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RPJ (a)</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Adjustments</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4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c>
          <w:tcPr>
            <w:tcW w:w="1480" w:type="dxa"/>
            <w:vAlign w:val="bottom"/>
          </w:tcPr>
          <w:p>
            <w:pPr>
              <w:spacing w:after="0"/>
              <w:rPr>
                <w:sz w:val="14"/>
                <w:szCs w:val="14"/>
                <w:color w:val="auto"/>
              </w:rPr>
            </w:pP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Cash pool amounts due from affiliates</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34.1</w:t>
            </w: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34.1</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146.6</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w:t>
            </w: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163.5</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177.7</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29.6</w:t>
            </w: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207.3</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10.1</w:t>
            </w: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42.4</w:t>
            </w:r>
          </w:p>
        </w:tc>
      </w:tr>
      <w:tr>
        <w:trPr>
          <w:trHeight w:val="172"/>
        </w:trPr>
        <w:tc>
          <w:tcPr>
            <w:tcW w:w="4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Total current assets</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367.2</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91.0</w:t>
            </w: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458.2</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Plant, property and equipment</w:t>
            </w:r>
          </w:p>
        </w:tc>
        <w:tc>
          <w:tcPr>
            <w:tcW w:w="720" w:type="dxa"/>
            <w:vAlign w:val="bottom"/>
          </w:tcPr>
          <w:p>
            <w:pPr>
              <w:spacing w:after="0"/>
              <w:rPr>
                <w:sz w:val="24"/>
                <w:szCs w:val="2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197.0</w:t>
            </w:r>
          </w:p>
        </w:tc>
        <w:tc>
          <w:tcPr>
            <w:tcW w:w="440" w:type="dxa"/>
            <w:vAlign w:val="bottom"/>
          </w:tcPr>
          <w:p>
            <w:pPr>
              <w:spacing w:after="0"/>
              <w:rPr>
                <w:sz w:val="24"/>
                <w:szCs w:val="2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201.4</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intangibles</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435.1</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82.2</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51.7(b)</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592.2</w:t>
            </w:r>
          </w:p>
        </w:tc>
      </w:tr>
      <w:tr>
        <w:trPr>
          <w:trHeight w:val="172"/>
        </w:trPr>
        <w:tc>
          <w:tcPr>
            <w:tcW w:w="4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23.2(c)</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35.9</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w:t>
            </w: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38.1</w:t>
            </w:r>
          </w:p>
        </w:tc>
      </w:tr>
      <w:tr>
        <w:trPr>
          <w:trHeight w:val="172"/>
        </w:trPr>
        <w:tc>
          <w:tcPr>
            <w:tcW w:w="4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1,035.2</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179.8</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74.9</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1,289.9</w:t>
            </w:r>
          </w:p>
        </w:tc>
      </w:tr>
      <w:tr>
        <w:trPr>
          <w:trHeight w:val="516"/>
        </w:trPr>
        <w:tc>
          <w:tcPr>
            <w:tcW w:w="4100" w:type="dxa"/>
            <w:vAlign w:val="bottom"/>
          </w:tcPr>
          <w:p>
            <w:pPr>
              <w:spacing w:after="0"/>
              <w:rPr>
                <w:sz w:val="20"/>
                <w:szCs w:val="20"/>
                <w:color w:val="auto"/>
              </w:rPr>
            </w:pPr>
            <w:r>
              <w:rPr>
                <w:rFonts w:ascii="Courier New" w:cs="Courier New" w:eastAsia="Courier New" w:hAnsi="Courier New"/>
                <w:sz w:val="15"/>
                <w:szCs w:val="15"/>
                <w:color w:val="auto"/>
              </w:rPr>
              <w:t>LIABILITIES AND EQUITY</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Cash pool amounts due to affiliates</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24.3</w:t>
            </w: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24.3</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Bank overdrafts</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77.8</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22.6</w:t>
            </w: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100.4</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140.8</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w:t>
            </w: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152.8</w:t>
            </w:r>
          </w:p>
        </w:tc>
      </w:tr>
      <w:tr>
        <w:trPr>
          <w:trHeight w:val="172"/>
        </w:trPr>
        <w:tc>
          <w:tcPr>
            <w:tcW w:w="4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Total current liabilities</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231.9</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61.4</w:t>
            </w: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293.3</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720" w:type="dxa"/>
            <w:vAlign w:val="bottom"/>
          </w:tcPr>
          <w:p>
            <w:pPr>
              <w:spacing w:after="0"/>
              <w:rPr>
                <w:sz w:val="24"/>
                <w:szCs w:val="2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359.2</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147.0(d)</w:t>
            </w:r>
          </w:p>
        </w:tc>
        <w:tc>
          <w:tcPr>
            <w:tcW w:w="32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529.4</w:t>
            </w:r>
          </w:p>
        </w:tc>
      </w:tr>
      <w:tr>
        <w:trPr>
          <w:trHeight w:val="172"/>
        </w:trPr>
        <w:tc>
          <w:tcPr>
            <w:tcW w:w="4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23.2(e)</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40.2</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w:t>
            </w: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63.3</w:t>
            </w:r>
          </w:p>
        </w:tc>
      </w:tr>
      <w:tr>
        <w:trPr>
          <w:trHeight w:val="172"/>
        </w:trPr>
        <w:tc>
          <w:tcPr>
            <w:tcW w:w="4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631.3</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84.5</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170.2</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886.0</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720" w:type="dxa"/>
            <w:vAlign w:val="bottom"/>
          </w:tcPr>
          <w:p>
            <w:pPr>
              <w:spacing w:after="0"/>
              <w:rPr>
                <w:sz w:val="24"/>
                <w:szCs w:val="2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177.3</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177.3</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Capital in excess of par</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208.7</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208.7</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76.6</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76.6</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Divisional equity</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87.4</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(87.4)(d)</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Cumulative foreign currency translation</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adjustment</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(7.9)(d)</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Treasury stock</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(55.9)</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(55.9)</w:t>
            </w:r>
          </w:p>
        </w:tc>
      </w:tr>
      <w:tr>
        <w:trPr>
          <w:trHeight w:val="172"/>
        </w:trPr>
        <w:tc>
          <w:tcPr>
            <w:tcW w:w="4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Total equity</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403.9</w:t>
            </w:r>
          </w:p>
        </w:tc>
        <w:tc>
          <w:tcPr>
            <w:tcW w:w="44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95.3</w:t>
            </w:r>
          </w:p>
        </w:tc>
        <w:tc>
          <w:tcPr>
            <w:tcW w:w="14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(95.3)</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403.9</w:t>
            </w:r>
          </w:p>
        </w:tc>
      </w:tr>
      <w:tr>
        <w:trPr>
          <w:trHeight w:val="172"/>
        </w:trPr>
        <w:tc>
          <w:tcPr>
            <w:tcW w:w="4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100" w:type="dxa"/>
            <w:vAlign w:val="bottom"/>
          </w:tcPr>
          <w:p>
            <w:pPr>
              <w:ind w:left="340"/>
              <w:spacing w:after="0"/>
              <w:rPr>
                <w:sz w:val="20"/>
                <w:szCs w:val="20"/>
                <w:color w:val="auto"/>
              </w:rPr>
            </w:pPr>
            <w:r>
              <w:rPr>
                <w:rFonts w:ascii="Courier New" w:cs="Courier New" w:eastAsia="Courier New" w:hAnsi="Courier New"/>
                <w:sz w:val="15"/>
                <w:szCs w:val="15"/>
                <w:color w:val="auto"/>
              </w:rPr>
              <w:t>Total liabilities and equity</w:t>
            </w:r>
          </w:p>
        </w:tc>
        <w:tc>
          <w:tcPr>
            <w:tcW w:w="7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$1,035.2</w:t>
            </w: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179.8</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74.9</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$1,289.9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29" w:name="page30"/>
    <w:bookmarkEnd w:id="29"/>
    <w:p>
      <w:pPr>
        <w:ind w:left="268"/>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THE UNAUDITED PRO FORMA</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COMBINED BALANCE SHEET</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(in millions)</w:t>
      </w:r>
    </w:p>
    <w:p>
      <w:pPr>
        <w:spacing w:after="0" w:line="348" w:lineRule="exact"/>
        <w:rPr>
          <w:sz w:val="20"/>
          <w:szCs w:val="20"/>
          <w:color w:val="auto"/>
        </w:rPr>
      </w:pPr>
    </w:p>
    <w:p>
      <w:pPr>
        <w:ind w:left="448" w:right="3079" w:hanging="448"/>
        <w:spacing w:after="0" w:line="242" w:lineRule="auto"/>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sheet for RPJ as of September 30, 1998 has been translated from French francs to U.S. dollars. Assets and liabilities were translated using the exchange rate as of September 30, 1998 of FF 5.60: USD 1. The divisional equity account was translated using an historical exchange rate of FF 6.15: USD 1.</w:t>
      </w:r>
    </w:p>
    <w:p>
      <w:pPr>
        <w:spacing w:after="0" w:line="175" w:lineRule="exact"/>
        <w:rPr>
          <w:rFonts w:ascii="Courier New" w:cs="Courier New" w:eastAsia="Courier New" w:hAnsi="Courier New"/>
          <w:sz w:val="15"/>
          <w:szCs w:val="15"/>
          <w:color w:val="auto"/>
        </w:rPr>
      </w:pPr>
    </w:p>
    <w:p>
      <w:pPr>
        <w:ind w:left="448" w:right="3339" w:hanging="448"/>
        <w:spacing w:after="0"/>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net adjustment to goodwill and other intangibles as a result of the RPJ acquisition as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amount of purchase price allocated to</w:t>
            </w:r>
          </w:p>
        </w:tc>
        <w:tc>
          <w:tcPr>
            <w:tcW w:w="1120" w:type="dxa"/>
            <w:vAlign w:val="bottom"/>
          </w:tcPr>
          <w:p>
            <w:pPr>
              <w:spacing w:after="0"/>
              <w:rPr>
                <w:sz w:val="14"/>
                <w:szCs w:val="14"/>
                <w:color w:val="auto"/>
              </w:rPr>
            </w:pPr>
          </w:p>
        </w:tc>
      </w:tr>
      <w:tr>
        <w:trPr>
          <w:trHeight w:val="172"/>
        </w:trPr>
        <w:tc>
          <w:tcPr>
            <w:tcW w:w="4780" w:type="dxa"/>
            <w:vAlign w:val="bottom"/>
          </w:tcPr>
          <w:p>
            <w:pPr>
              <w:ind w:left="180"/>
              <w:spacing w:after="0"/>
              <w:rPr>
                <w:sz w:val="20"/>
                <w:szCs w:val="20"/>
                <w:color w:val="auto"/>
              </w:rPr>
            </w:pPr>
            <w:r>
              <w:rPr>
                <w:rFonts w:ascii="Courier New" w:cs="Courier New" w:eastAsia="Courier New" w:hAnsi="Courier New"/>
                <w:sz w:val="15"/>
                <w:szCs w:val="15"/>
                <w:color w:val="auto"/>
              </w:rPr>
              <w:t>Goodwill and other intangibles (see note</w:t>
            </w:r>
          </w:p>
        </w:tc>
        <w:tc>
          <w:tcPr>
            <w:tcW w:w="1120" w:type="dxa"/>
            <w:vAlign w:val="bottom"/>
          </w:tcPr>
          <w:p>
            <w:pPr>
              <w:spacing w:after="0"/>
              <w:rPr>
                <w:sz w:val="14"/>
                <w:szCs w:val="14"/>
                <w:color w:val="auto"/>
              </w:rPr>
            </w:pPr>
          </w:p>
        </w:tc>
      </w:tr>
      <w:tr>
        <w:trPr>
          <w:trHeight w:val="172"/>
        </w:trPr>
        <w:tc>
          <w:tcPr>
            <w:tcW w:w="4780" w:type="dxa"/>
            <w:vAlign w:val="bottom"/>
          </w:tcPr>
          <w:p>
            <w:pPr>
              <w:ind w:left="180"/>
              <w:spacing w:after="0"/>
              <w:rPr>
                <w:sz w:val="20"/>
                <w:szCs w:val="20"/>
                <w:color w:val="auto"/>
              </w:rPr>
            </w:pPr>
            <w:r>
              <w:rPr>
                <w:rFonts w:ascii="Courier New" w:cs="Courier New" w:eastAsia="Courier New" w:hAnsi="Courier New"/>
                <w:sz w:val="15"/>
                <w:szCs w:val="15"/>
                <w:color w:val="auto"/>
              </w:rPr>
              <w:t>(b) to the pro forma statement of operations)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$133.9</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intangibles included in</w:t>
            </w:r>
          </w:p>
        </w:tc>
        <w:tc>
          <w:tcPr>
            <w:tcW w:w="1120" w:type="dxa"/>
            <w:vAlign w:val="bottom"/>
          </w:tcPr>
          <w:p>
            <w:pPr>
              <w:spacing w:after="0"/>
              <w:rPr>
                <w:sz w:val="24"/>
                <w:szCs w:val="24"/>
                <w:color w:val="auto"/>
              </w:rPr>
            </w:pPr>
          </w:p>
        </w:tc>
      </w:tr>
      <w:tr>
        <w:trPr>
          <w:trHeight w:val="172"/>
        </w:trPr>
        <w:tc>
          <w:tcPr>
            <w:tcW w:w="4780" w:type="dxa"/>
            <w:vAlign w:val="bottom"/>
          </w:tcPr>
          <w:p>
            <w:pPr>
              <w:ind w:left="180"/>
              <w:spacing w:after="0"/>
              <w:rPr>
                <w:sz w:val="20"/>
                <w:szCs w:val="20"/>
                <w:color w:val="auto"/>
              </w:rPr>
            </w:pPr>
            <w:r>
              <w:rPr>
                <w:rFonts w:ascii="Courier New" w:cs="Courier New" w:eastAsia="Courier New" w:hAnsi="Courier New"/>
                <w:sz w:val="15"/>
                <w:szCs w:val="15"/>
                <w:color w:val="auto"/>
              </w:rPr>
              <w:t>historical RPJ balance sheet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82.2</w:t>
            </w:r>
          </w:p>
        </w:tc>
      </w:tr>
      <w:tr>
        <w:trPr>
          <w:trHeight w:val="172"/>
        </w:trPr>
        <w:tc>
          <w:tcPr>
            <w:tcW w:w="47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Pro forma adjustment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$ 51.7</w:t>
            </w:r>
          </w:p>
        </w:tc>
      </w:tr>
    </w:tbl>
    <w:p>
      <w:pPr>
        <w:spacing w:after="0" w:line="348" w:lineRule="exact"/>
        <w:rPr>
          <w:sz w:val="20"/>
          <w:szCs w:val="20"/>
          <w:color w:val="auto"/>
        </w:rPr>
      </w:pPr>
    </w:p>
    <w:p>
      <w:pPr>
        <w:ind w:left="448" w:right="3259" w:hanging="448"/>
        <w:spacing w:after="0"/>
        <w:tabs>
          <w:tab w:leader="none" w:pos="4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intangible asset for payments to be made under the Access Rights Agreement.</w:t>
      </w:r>
    </w:p>
    <w:p>
      <w:pPr>
        <w:spacing w:after="0" w:line="176"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additional borrowings under the Company's revolving credit facility of $134.5 million and notes due to the seller of $12.5 million in consideration for the RPJ acquisition.</w:t>
      </w:r>
    </w:p>
    <w:p>
      <w:pPr>
        <w:spacing w:after="0" w:line="176" w:lineRule="exact"/>
        <w:rPr>
          <w:rFonts w:ascii="Courier New" w:cs="Courier New" w:eastAsia="Courier New" w:hAnsi="Courier New"/>
          <w:sz w:val="15"/>
          <w:szCs w:val="15"/>
          <w:color w:val="auto"/>
        </w:rPr>
      </w:pPr>
    </w:p>
    <w:p>
      <w:pPr>
        <w:ind w:left="448" w:right="3699" w:hanging="448"/>
        <w:spacing w:after="0"/>
        <w:tabs>
          <w:tab w:leader="none" w:pos="4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present value of amounts to be paid under the Access Rights Agreement.</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historical equity accounts of RPJ.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7"/>
          </w:cols>
          <w:pgMar w:left="232" w:top="289" w:right="1440" w:bottom="1440" w:gutter="0" w:footer="0" w:header="0"/>
        </w:sectPr>
      </w:pPr>
    </w:p>
    <w:bookmarkStart w:id="30" w:name="page31"/>
    <w:bookmarkEnd w:id="30"/>
    <w:p>
      <w:pPr>
        <w:ind w:left="268"/>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tbl>
      <w:tblPr>
        <w:tblLayout w:type="fixed"/>
        <w:tblInd w:w="708"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4840" w:type="dxa"/>
            <w:vAlign w:val="bottom"/>
          </w:tcPr>
          <w:p>
            <w:pPr>
              <w:ind w:left="1980"/>
              <w:spacing w:after="0"/>
              <w:rPr>
                <w:sz w:val="20"/>
                <w:szCs w:val="20"/>
                <w:color w:val="auto"/>
              </w:rPr>
            </w:pPr>
            <w:r>
              <w:rPr>
                <w:rFonts w:ascii="Courier New" w:cs="Courier New" w:eastAsia="Courier New" w:hAnsi="Courier New"/>
                <w:sz w:val="15"/>
                <w:szCs w:val="15"/>
                <w:color w:val="auto"/>
              </w:rPr>
              <w:t>INDEX TO EXHIBITS</w:t>
            </w:r>
          </w:p>
        </w:tc>
      </w:tr>
      <w:tr>
        <w:trPr>
          <w:trHeight w:val="172"/>
        </w:trPr>
        <w:tc>
          <w:tcPr>
            <w:tcW w:w="1700" w:type="dxa"/>
            <w:vAlign w:val="bottom"/>
          </w:tcPr>
          <w:p>
            <w:pPr>
              <w:spacing w:after="0"/>
              <w:rPr>
                <w:sz w:val="14"/>
                <w:szCs w:val="14"/>
                <w:color w:val="auto"/>
              </w:rPr>
            </w:pPr>
          </w:p>
        </w:tc>
        <w:tc>
          <w:tcPr>
            <w:tcW w:w="4840" w:type="dxa"/>
            <w:vAlign w:val="bottom"/>
          </w:tcPr>
          <w:p>
            <w:pPr>
              <w:ind w:left="1980"/>
              <w:spacing w:after="0"/>
              <w:rPr>
                <w:sz w:val="20"/>
                <w:szCs w:val="20"/>
                <w:color w:val="auto"/>
              </w:rPr>
            </w:pPr>
            <w:r>
              <w:rPr>
                <w:rFonts w:ascii="Courier New" w:cs="Courier New" w:eastAsia="Courier New" w:hAnsi="Courier New"/>
                <w:sz w:val="15"/>
                <w:szCs w:val="15"/>
                <w:color w:val="auto"/>
              </w:rPr>
              <w:t>-----------------</w:t>
            </w: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EXHIBIT NUMBER</w:t>
            </w:r>
          </w:p>
        </w:tc>
        <w:tc>
          <w:tcPr>
            <w:tcW w:w="4840" w:type="dxa"/>
            <w:vAlign w:val="bottom"/>
          </w:tcPr>
          <w:p>
            <w:pPr>
              <w:ind w:left="216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840" w:type="dxa"/>
            <w:vAlign w:val="bottom"/>
          </w:tcPr>
          <w:p>
            <w:pPr>
              <w:ind w:left="2160"/>
              <w:spacing w:after="0"/>
              <w:rPr>
                <w:sz w:val="20"/>
                <w:szCs w:val="20"/>
                <w:color w:val="auto"/>
              </w:rPr>
            </w:pPr>
            <w:r>
              <w:rPr>
                <w:rFonts w:ascii="Courier New" w:cs="Courier New" w:eastAsia="Courier New" w:hAnsi="Courier New"/>
                <w:sz w:val="15"/>
                <w:szCs w:val="15"/>
                <w:color w:val="auto"/>
              </w:rPr>
              <w:t>-----------</w:t>
            </w:r>
          </w:p>
        </w:tc>
      </w:tr>
      <w:tr>
        <w:trPr>
          <w:trHeight w:val="344"/>
        </w:trPr>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2</w:t>
            </w:r>
          </w:p>
        </w:tc>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w w:val="98"/>
              </w:rPr>
              <w:t>Master Contract, dated September 30, 1998, by and</w:t>
            </w:r>
          </w:p>
        </w:tc>
      </w:tr>
      <w:tr>
        <w:trPr>
          <w:trHeight w:val="172"/>
        </w:trPr>
        <w:tc>
          <w:tcPr>
            <w:tcW w:w="1700" w:type="dxa"/>
            <w:vAlign w:val="bottom"/>
          </w:tcPr>
          <w:p>
            <w:pPr>
              <w:spacing w:after="0"/>
              <w:rPr>
                <w:sz w:val="14"/>
                <w:szCs w:val="14"/>
                <w:color w:val="auto"/>
              </w:rPr>
            </w:pPr>
          </w:p>
        </w:tc>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between Rhone-Poulenc Agro; The Scotts Company;</w:t>
            </w:r>
          </w:p>
        </w:tc>
      </w:tr>
      <w:tr>
        <w:trPr>
          <w:trHeight w:val="172"/>
        </w:trPr>
        <w:tc>
          <w:tcPr>
            <w:tcW w:w="1700" w:type="dxa"/>
            <w:vAlign w:val="bottom"/>
          </w:tcPr>
          <w:p>
            <w:pPr>
              <w:spacing w:after="0"/>
              <w:rPr>
                <w:sz w:val="14"/>
                <w:szCs w:val="14"/>
                <w:color w:val="auto"/>
              </w:rPr>
            </w:pPr>
          </w:p>
        </w:tc>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Scotts Celaflor GmbH &amp; Co. K.G.; "David"</w:t>
            </w:r>
          </w:p>
        </w:tc>
      </w:tr>
      <w:tr>
        <w:trPr>
          <w:trHeight w:val="172"/>
        </w:trPr>
        <w:tc>
          <w:tcPr>
            <w:tcW w:w="1700" w:type="dxa"/>
            <w:vAlign w:val="bottom"/>
          </w:tcPr>
          <w:p>
            <w:pPr>
              <w:spacing w:after="0"/>
              <w:rPr>
                <w:sz w:val="14"/>
                <w:szCs w:val="14"/>
                <w:color w:val="auto"/>
              </w:rPr>
            </w:pPr>
          </w:p>
        </w:tc>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Sechsundfunfzigste Beteiligungs und</w:t>
            </w:r>
          </w:p>
        </w:tc>
      </w:tr>
      <w:tr>
        <w:trPr>
          <w:trHeight w:val="172"/>
        </w:trPr>
        <w:tc>
          <w:tcPr>
            <w:tcW w:w="1700" w:type="dxa"/>
            <w:vAlign w:val="bottom"/>
          </w:tcPr>
          <w:p>
            <w:pPr>
              <w:spacing w:after="0"/>
              <w:rPr>
                <w:sz w:val="14"/>
                <w:szCs w:val="14"/>
                <w:color w:val="auto"/>
              </w:rPr>
            </w:pPr>
          </w:p>
        </w:tc>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Verwaltungsgesellschaft GmbH; Rhone-Poulenc Agro</w:t>
            </w:r>
          </w:p>
        </w:tc>
      </w:tr>
      <w:tr>
        <w:trPr>
          <w:trHeight w:val="172"/>
        </w:trPr>
        <w:tc>
          <w:tcPr>
            <w:tcW w:w="1700" w:type="dxa"/>
            <w:vAlign w:val="bottom"/>
          </w:tcPr>
          <w:p>
            <w:pPr>
              <w:spacing w:after="0"/>
              <w:rPr>
                <w:sz w:val="14"/>
                <w:szCs w:val="14"/>
                <w:color w:val="auto"/>
              </w:rPr>
            </w:pPr>
          </w:p>
        </w:tc>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Europe GmbH; Scotts France Holdings S.A.R.L.;</w:t>
            </w:r>
          </w:p>
        </w:tc>
      </w:tr>
      <w:tr>
        <w:trPr>
          <w:trHeight w:val="172"/>
        </w:trPr>
        <w:tc>
          <w:tcPr>
            <w:tcW w:w="1700" w:type="dxa"/>
            <w:vAlign w:val="bottom"/>
          </w:tcPr>
          <w:p>
            <w:pPr>
              <w:spacing w:after="0"/>
              <w:rPr>
                <w:sz w:val="14"/>
                <w:szCs w:val="14"/>
                <w:color w:val="auto"/>
              </w:rPr>
            </w:pPr>
          </w:p>
        </w:tc>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Scotts France S.A.R.L.; and Scotts Belgium 2</w:t>
            </w:r>
          </w:p>
        </w:tc>
      </w:tr>
      <w:tr>
        <w:trPr>
          <w:trHeight w:val="172"/>
        </w:trPr>
        <w:tc>
          <w:tcPr>
            <w:tcW w:w="1700" w:type="dxa"/>
            <w:vAlign w:val="bottom"/>
          </w:tcPr>
          <w:p>
            <w:pPr>
              <w:spacing w:after="0"/>
              <w:rPr>
                <w:sz w:val="14"/>
                <w:szCs w:val="14"/>
                <w:color w:val="auto"/>
              </w:rPr>
            </w:pPr>
          </w:p>
        </w:tc>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B.V.B.A.</w:t>
            </w:r>
          </w:p>
        </w:tc>
      </w:tr>
      <w:tr>
        <w:trPr>
          <w:trHeight w:val="344"/>
        </w:trPr>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23</w:t>
            </w:r>
          </w:p>
        </w:tc>
        <w:tc>
          <w:tcPr>
            <w:tcW w:w="4840" w:type="dxa"/>
            <w:vAlign w:val="bottom"/>
          </w:tcPr>
          <w:p>
            <w:pPr>
              <w:ind w:left="460"/>
              <w:spacing w:after="0"/>
              <w:rPr>
                <w:sz w:val="20"/>
                <w:szCs w:val="20"/>
                <w:color w:val="auto"/>
              </w:rPr>
            </w:pPr>
            <w:r>
              <w:rPr>
                <w:rFonts w:ascii="Courier New" w:cs="Courier New" w:eastAsia="Courier New" w:hAnsi="Courier New"/>
                <w:sz w:val="15"/>
                <w:szCs w:val="15"/>
                <w:color w:val="auto"/>
              </w:rPr>
              <w:t>Consent of Independent Accountants</w:t>
            </w:r>
          </w:p>
        </w:tc>
      </w:tr>
    </w:tbl>
    <w:p>
      <w:pPr>
        <w:spacing w:after="0" w:line="174" w:lineRule="exact"/>
        <w:rPr>
          <w:sz w:val="20"/>
          <w:szCs w:val="20"/>
          <w:color w:val="auto"/>
        </w:rPr>
      </w:pPr>
    </w:p>
    <w:p>
      <w:pPr>
        <w:ind w:left="2868" w:hanging="1616"/>
        <w:spacing w:after="0"/>
        <w:tabs>
          <w:tab w:leader="none" w:pos="286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Press Release issued October 7, 1998</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3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Filed herewith.</w:t>
      </w:r>
    </w:p>
    <w:p>
      <w:pPr>
        <w:spacing w:after="0" w:line="200" w:lineRule="exact"/>
        <w:rPr>
          <w:sz w:val="20"/>
          <w:szCs w:val="20"/>
          <w:color w:val="auto"/>
        </w:rPr>
      </w:pPr>
    </w:p>
    <w:p>
      <w:pPr>
        <w:spacing w:after="0" w:line="318" w:lineRule="exact"/>
        <w:rPr>
          <w:sz w:val="20"/>
          <w:szCs w:val="20"/>
          <w:color w:val="auto"/>
        </w:rPr>
      </w:pPr>
    </w:p>
    <w:p>
      <w:pPr>
        <w:jc w:val="center"/>
        <w:ind w:right="92"/>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PAGE NO.</w:t>
      </w:r>
    </w:p>
    <w:p>
      <w:pPr>
        <w:spacing w:after="0" w:line="2"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pacing w:after="0" w:line="242" w:lineRule="auto"/>
        <w:rPr>
          <w:sz w:val="20"/>
          <w:szCs w:val="20"/>
          <w:color w:val="auto"/>
        </w:rPr>
      </w:pPr>
      <w:r>
        <w:rPr>
          <w:rFonts w:ascii="Courier New" w:cs="Courier New" w:eastAsia="Courier New" w:hAnsi="Courier New"/>
          <w:sz w:val="15"/>
          <w:szCs w:val="15"/>
          <w:color w:val="auto"/>
        </w:rPr>
        <w:t>Incorporated herein by reference to the Registrant's Current Report on Form 8-K filed on October 22, 1998 (File No. 1-11593) [Exhibit 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pacing w:after="0" w:line="263" w:lineRule="auto"/>
        <w:rPr>
          <w:sz w:val="20"/>
          <w:szCs w:val="20"/>
          <w:color w:val="auto"/>
        </w:rPr>
      </w:pPr>
      <w:r>
        <w:rPr>
          <w:rFonts w:ascii="Courier New" w:cs="Courier New" w:eastAsia="Courier New" w:hAnsi="Courier New"/>
          <w:sz w:val="14"/>
          <w:szCs w:val="14"/>
          <w:color w:val="auto"/>
        </w:rPr>
        <w:t>Incorporated herein by reference to the Registrant's Current Report on Form 8-K filed on October 22, 1998 (File No. 1-11593) [Exhibit 99]</w:t>
      </w:r>
    </w:p>
    <w:p>
      <w:pPr>
        <w:sectPr>
          <w:pgSz w:w="11900" w:h="16838" w:orient="portrait"/>
          <w:cols w:equalWidth="0" w:num="2">
            <w:col w:w="7248" w:space="260"/>
            <w:col w:w="2780"/>
          </w:cols>
          <w:pgMar w:left="232" w:top="289" w:right="1379"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w:t>
      </w:r>
    </w:p>
    <w:p>
      <w:pPr>
        <w:spacing w:after="0" w:line="346"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8"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We consent to the incorporation by reference in the Registration Statements of The Scotts Company on Form S-8 (File Nos. 33-47073, 33-60056, 333-00021,</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333-06061, and 333-27561) of our report dated September 11, 1998 on our audit of the combined financial statements of Rhone-Poulenc Jardin as of December 31, 1997 and for the year then ended, which report is incorporated by reference in this Current Report on Form 8-K.</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Audit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Lyon, France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2000</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2)"/>
      <w:numFmt w:val="lowerLetter"/>
      <w:start w:val="1"/>
    </w:lvl>
  </w:abstractNum>
  <w:abstractNum w:abstractNumId="1">
    <w:nsid w:val="25E45D32"/>
    <w:multiLevelType w:val="hybridMultilevel"/>
    <w:lvl w:ilvl="0">
      <w:lvlJc w:val="left"/>
      <w:lvlText w:val="2"/>
      <w:numFmt w:val="bullet"/>
      <w:start w:val="1"/>
    </w:lvl>
  </w:abstractNum>
  <w:abstractNum w:abstractNumId="2">
    <w:nsid w:val="519B500D"/>
    <w:multiLevelType w:val="hybridMultilevel"/>
    <w:lvl w:ilvl="0">
      <w:lvlJc w:val="left"/>
      <w:lvlText w:val="%1"/>
      <w:numFmt w:val="decimal"/>
      <w:start w:val="23"/>
    </w:lvl>
  </w:abstractNum>
  <w:abstractNum w:abstractNumId="3">
    <w:nsid w:val="431BD7B7"/>
    <w:multiLevelType w:val="hybridMultilevel"/>
    <w:lvl w:ilvl="0">
      <w:lvlJc w:val="left"/>
      <w:lvlText w:val="%1"/>
      <w:numFmt w:val="decimal"/>
      <w:start w:val="99"/>
    </w:lvl>
  </w:abstractNum>
  <w:abstractNum w:abstractNumId="4">
    <w:nsid w:val="3F2DBA31"/>
    <w:multiLevelType w:val="hybridMultilevel"/>
    <w:lvl w:ilvl="0">
      <w:lvlJc w:val="left"/>
      <w:lvlText w:val="%1"/>
      <w:numFmt w:val="decimal"/>
      <w:start w:val="23"/>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2"/>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3"/>
    </w:lvl>
  </w:abstractNum>
  <w:abstractNum w:abstractNumId="10">
    <w:nsid w:val="333AB105"/>
    <w:multiLevelType w:val="hybridMultilevel"/>
    <w:lvl w:ilvl="0">
      <w:lvlJc w:val="left"/>
      <w:lvlText w:val="%1."/>
      <w:numFmt w:val="decimal"/>
      <w:start w:val="5"/>
    </w:lvl>
  </w:abstractNum>
  <w:abstractNum w:abstractNumId="11">
    <w:nsid w:val="721DA317"/>
    <w:multiLevelType w:val="hybridMultilevel"/>
    <w:lvl w:ilvl="0">
      <w:lvlJc w:val="left"/>
      <w:lvlText w:val="%1."/>
      <w:numFmt w:val="decimal"/>
      <w:start w:val="6"/>
    </w:lvl>
  </w:abstractNum>
  <w:abstractNum w:abstractNumId="12">
    <w:nsid w:val="2443A858"/>
    <w:multiLevelType w:val="hybridMultilevel"/>
    <w:lvl w:ilvl="0">
      <w:lvlJc w:val="left"/>
      <w:lvlText w:val="%1."/>
      <w:numFmt w:val="decimal"/>
      <w:start w:val="8"/>
    </w:lvl>
  </w:abstractNum>
  <w:abstractNum w:abstractNumId="13">
    <w:nsid w:val="2D1D5AE9"/>
    <w:multiLevelType w:val="hybridMultilevel"/>
    <w:lvl w:ilvl="0">
      <w:lvlJc w:val="left"/>
      <w:lvlText w:val="%1."/>
      <w:numFmt w:val="decimal"/>
      <w:start w:val="10"/>
    </w:lvl>
  </w:abstractNum>
  <w:abstractNum w:abstractNumId="14">
    <w:nsid w:val="6763845E"/>
    <w:multiLevelType w:val="hybridMultilevel"/>
    <w:lvl w:ilvl="0">
      <w:lvlJc w:val="left"/>
      <w:lvlText w:val="%1."/>
      <w:numFmt w:val="decimal"/>
      <w:start w:val="11"/>
    </w:lvl>
  </w:abstractNum>
  <w:abstractNum w:abstractNumId="15">
    <w:nsid w:val="75A2A8D4"/>
    <w:multiLevelType w:val="hybridMultilevel"/>
    <w:lvl w:ilvl="0">
      <w:lvlJc w:val="left"/>
      <w:lvlText w:val="%1."/>
      <w:numFmt w:val="decimal"/>
      <w:start w:val="12"/>
    </w:lvl>
  </w:abstractNum>
  <w:abstractNum w:abstractNumId="16">
    <w:nsid w:val="8EDBDAB"/>
    <w:multiLevelType w:val="hybridMultilevel"/>
    <w:lvl w:ilvl="0">
      <w:lvlJc w:val="left"/>
      <w:lvlText w:val="%1."/>
      <w:numFmt w:val="decimal"/>
      <w:start w:val="13"/>
    </w:lvl>
  </w:abstractNum>
  <w:abstractNum w:abstractNumId="17">
    <w:nsid w:val="79838CB2"/>
    <w:multiLevelType w:val="hybridMultilevel"/>
    <w:lvl w:ilvl="0">
      <w:lvlJc w:val="left"/>
      <w:lvlText w:val="%1"/>
      <w:numFmt w:val="upperLetter"/>
      <w:start w:val="32"/>
    </w:lvl>
  </w:abstractNum>
  <w:abstractNum w:abstractNumId="18">
    <w:nsid w:val="4353D0CD"/>
    <w:multiLevelType w:val="hybridMultilevel"/>
    <w:lvl w:ilvl="0">
      <w:lvlJc w:val="left"/>
      <w:lvlText w:val="%1."/>
      <w:numFmt w:val="decimal"/>
      <w:start w:val="15"/>
    </w:lvl>
  </w:abstractNum>
  <w:abstractNum w:abstractNumId="19">
    <w:nsid w:val="B03E0C6"/>
    <w:multiLevelType w:val="hybridMultilevel"/>
    <w:lvl w:ilvl="0">
      <w:lvlJc w:val="left"/>
      <w:lvlText w:val="%1."/>
      <w:numFmt w:val="decimal"/>
      <w:start w:val="16"/>
    </w:lvl>
  </w:abstractNum>
  <w:abstractNum w:abstractNumId="20">
    <w:nsid w:val="189A769B"/>
    <w:multiLevelType w:val="hybridMultilevel"/>
    <w:lvl w:ilvl="0">
      <w:lvlJc w:val="left"/>
      <w:lvlText w:val="%1."/>
      <w:numFmt w:val="decimal"/>
      <w:start w:val="17"/>
    </w:lvl>
  </w:abstractNum>
  <w:abstractNum w:abstractNumId="21">
    <w:nsid w:val="54E49EB4"/>
    <w:multiLevelType w:val="hybridMultilevel"/>
    <w:lvl w:ilvl="0">
      <w:lvlJc w:val="left"/>
      <w:lvlText w:val="%1."/>
      <w:numFmt w:val="decimal"/>
      <w:start w:val="18"/>
    </w:lvl>
  </w:abstractNum>
  <w:abstractNum w:abstractNumId="22">
    <w:nsid w:val="71F32454"/>
    <w:multiLevelType w:val="hybridMultilevel"/>
    <w:lvl w:ilvl="0">
      <w:lvlJc w:val="left"/>
      <w:lvlText w:val="%1."/>
      <w:numFmt w:val="decimal"/>
      <w:start w:val="19"/>
    </w:lvl>
  </w:abstractNum>
  <w:abstractNum w:abstractNumId="23">
    <w:nsid w:val="2CA88611"/>
    <w:multiLevelType w:val="hybridMultilevel"/>
    <w:lvl w:ilvl="0">
      <w:lvlJc w:val="left"/>
      <w:lvlText w:val="%1."/>
      <w:numFmt w:val="decimal"/>
      <w:start w:val="20"/>
    </w:lvl>
  </w:abstractNum>
  <w:abstractNum w:abstractNumId="24">
    <w:nsid w:val="836C40E"/>
    <w:multiLevelType w:val="hybridMultilevel"/>
    <w:lvl w:ilvl="0">
      <w:lvlJc w:val="left"/>
      <w:lvlText w:val="%1)"/>
      <w:numFmt w:val="lowerRoman"/>
      <w:start w:val="1"/>
    </w:lvl>
  </w:abstractNum>
  <w:abstractNum w:abstractNumId="25">
    <w:nsid w:val="2901D82"/>
    <w:multiLevelType w:val="hybridMultilevel"/>
    <w:lvl w:ilvl="0">
      <w:lvlJc w:val="left"/>
      <w:lvlText w:val="%1."/>
      <w:numFmt w:val="decimal"/>
      <w:start w:val="11"/>
    </w:lvl>
  </w:abstractNum>
  <w:abstractNum w:abstractNumId="26">
    <w:nsid w:val="3A95F874"/>
    <w:multiLevelType w:val="hybridMultilevel"/>
    <w:lvl w:ilvl="0">
      <w:lvlJc w:val="left"/>
      <w:lvlText w:val="%1)"/>
      <w:numFmt w:val="lowerRoman"/>
      <w:start w:val="2"/>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3"/>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Letter"/>
      <w:start w:val="3"/>
    </w:lvl>
  </w:abstractNum>
  <w:abstractNum w:abstractNumId="31">
    <w:nsid w:val="6CEAF087"/>
    <w:multiLevelType w:val="hybridMultilevel"/>
    <w:lvl w:ilvl="0">
      <w:lvlJc w:val="left"/>
      <w:lvlText w:val="-"/>
      <w:numFmt w:val="bullet"/>
      <w:start w:val="1"/>
    </w:lvl>
    <w:lvl w:ilvl="1">
      <w:lvlJc w:val="left"/>
      <w:lvlText w:val="%2"/>
      <w:numFmt w:val="decimal"/>
      <w:start w:val="9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2019-12-12T00:29:01Z</dcterms:created>
  <dcterms:modified xsi:type="dcterms:W3CDTF">2019-12-12T00:29:01Z</dcterms:modified>
</cp:coreProperties>
</file>