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791845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_________________________________________</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SD</w:t>
      </w:r>
    </w:p>
    <w:p>
      <w:pPr>
        <w:spacing w:after="0" w:line="6"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30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53"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34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Ohio</w:t>
            </w:r>
          </w:p>
        </w:tc>
        <w:tc>
          <w:tcPr>
            <w:tcW w:w="3360" w:type="dxa"/>
            <w:vAlign w:val="bottom"/>
          </w:tcPr>
          <w:p>
            <w:pPr>
              <w:jc w:val="right"/>
              <w:ind w:right="1330"/>
              <w:spacing w:after="0"/>
              <w:rPr>
                <w:sz w:val="20"/>
                <w:szCs w:val="20"/>
                <w:color w:val="auto"/>
              </w:rPr>
            </w:pPr>
            <w:r>
              <w:rPr>
                <w:rFonts w:ascii="Arial" w:cs="Arial" w:eastAsia="Arial" w:hAnsi="Arial"/>
                <w:sz w:val="18"/>
                <w:szCs w:val="18"/>
                <w:b w:val="1"/>
                <w:bCs w:val="1"/>
                <w:color w:val="auto"/>
              </w:rPr>
              <w:t>001-11593</w:t>
            </w:r>
          </w:p>
        </w:tc>
        <w:tc>
          <w:tcPr>
            <w:tcW w:w="264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31-1414921</w:t>
            </w:r>
          </w:p>
        </w:tc>
      </w:tr>
      <w:tr>
        <w:trPr>
          <w:trHeight w:val="270"/>
        </w:trPr>
        <w:tc>
          <w:tcPr>
            <w:tcW w:w="344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w:t>
            </w:r>
          </w:p>
        </w:tc>
        <w:tc>
          <w:tcPr>
            <w:tcW w:w="3360" w:type="dxa"/>
            <w:vAlign w:val="bottom"/>
          </w:tcPr>
          <w:p>
            <w:pPr>
              <w:ind w:left="1080"/>
              <w:spacing w:after="0"/>
              <w:rPr>
                <w:sz w:val="20"/>
                <w:szCs w:val="20"/>
                <w:color w:val="auto"/>
              </w:rPr>
            </w:pPr>
            <w:r>
              <w:rPr>
                <w:rFonts w:ascii="Arial" w:cs="Arial" w:eastAsia="Arial" w:hAnsi="Arial"/>
                <w:sz w:val="18"/>
                <w:szCs w:val="18"/>
                <w:color w:val="auto"/>
              </w:rPr>
              <w:t>(Commission</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3"/>
              </w:rPr>
              <w:t>(IRS Employer</w:t>
            </w:r>
          </w:p>
        </w:tc>
      </w:tr>
      <w:tr>
        <w:trPr>
          <w:trHeight w:val="270"/>
        </w:trPr>
        <w:tc>
          <w:tcPr>
            <w:tcW w:w="3440" w:type="dxa"/>
            <w:vAlign w:val="bottom"/>
          </w:tcPr>
          <w:p>
            <w:pPr>
              <w:jc w:val="center"/>
              <w:ind w:right="990"/>
              <w:spacing w:after="0"/>
              <w:rPr>
                <w:sz w:val="20"/>
                <w:szCs w:val="20"/>
                <w:color w:val="auto"/>
              </w:rPr>
            </w:pPr>
            <w:r>
              <w:rPr>
                <w:rFonts w:ascii="Arial" w:cs="Arial" w:eastAsia="Arial" w:hAnsi="Arial"/>
                <w:sz w:val="18"/>
                <w:szCs w:val="18"/>
                <w:color w:val="auto"/>
                <w:w w:val="92"/>
              </w:rPr>
              <w:t>of incorporation or organization)</w:t>
            </w:r>
          </w:p>
        </w:tc>
        <w:tc>
          <w:tcPr>
            <w:tcW w:w="3360" w:type="dxa"/>
            <w:vAlign w:val="bottom"/>
          </w:tcPr>
          <w:p>
            <w:pPr>
              <w:ind w:left="1100"/>
              <w:spacing w:after="0"/>
              <w:rPr>
                <w:sz w:val="20"/>
                <w:szCs w:val="20"/>
                <w:color w:val="auto"/>
              </w:rPr>
            </w:pPr>
            <w:r>
              <w:rPr>
                <w:rFonts w:ascii="Arial" w:cs="Arial" w:eastAsia="Arial" w:hAnsi="Arial"/>
                <w:sz w:val="18"/>
                <w:szCs w:val="18"/>
                <w:color w:val="auto"/>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ectPr>
          <w:pgSz w:w="11900" w:h="16838" w:orient="portrait"/>
          <w:cols w:equalWidth="0" w:num="1">
            <w:col w:w="11360"/>
          </w:cols>
          <w:pgMar w:left="240" w:top="1440" w:right="299" w:bottom="1440" w:gutter="0" w:footer="0" w:header="0"/>
        </w:sectPr>
      </w:pPr>
    </w:p>
    <w:p>
      <w:pPr>
        <w:spacing w:after="0" w:line="200" w:lineRule="exact"/>
        <w:rPr>
          <w:sz w:val="24"/>
          <w:szCs w:val="24"/>
          <w:color w:val="auto"/>
        </w:rPr>
      </w:pPr>
    </w:p>
    <w:p>
      <w:pPr>
        <w:spacing w:after="0" w:line="392"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14111 Scottslawn Road, Marysville, 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43041</w:t>
      </w:r>
    </w:p>
    <w:p>
      <w:pPr>
        <w:spacing w:after="0" w:line="101" w:lineRule="exact"/>
        <w:rPr>
          <w:sz w:val="24"/>
          <w:szCs w:val="24"/>
          <w:color w:val="auto"/>
        </w:rPr>
      </w:pPr>
    </w:p>
    <w:p>
      <w:pPr>
        <w:sectPr>
          <w:pgSz w:w="11900" w:h="16838" w:orient="portrait"/>
          <w:cols w:equalWidth="0" w:num="2">
            <w:col w:w="8540" w:space="720"/>
            <w:col w:w="2100"/>
          </w:cols>
          <w:pgMar w:left="240" w:top="1440" w:right="29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60" w:space="720"/>
            <w:col w:w="2280"/>
          </w:cols>
          <w:pgMar w:left="240" w:top="1440" w:right="299" w:bottom="1440" w:gutter="0" w:footer="0" w:header="0"/>
          <w:type w:val="continuous"/>
        </w:sectPr>
      </w:pPr>
    </w:p>
    <w:p>
      <w:pPr>
        <w:spacing w:after="0" w:line="71"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Ivan C. Smith</w:t>
      </w:r>
    </w:p>
    <w:p>
      <w:pPr>
        <w:spacing w:after="0" w:line="27"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937-644-0011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1140" w:right="3160" w:hanging="1132"/>
        <w:spacing w:after="0" w:line="277" w:lineRule="auto"/>
        <w:tabs>
          <w:tab w:leader="none" w:pos="49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29" w:lineRule="exact"/>
        <w:rPr>
          <w:sz w:val="20"/>
          <w:szCs w:val="20"/>
          <w:color w:val="auto"/>
        </w:rPr>
      </w:pPr>
    </w:p>
    <w:p>
      <w:pPr>
        <w:ind w:right="120" w:firstLine="413"/>
        <w:spacing w:after="0" w:line="264" w:lineRule="auto"/>
        <w:tabs>
          <w:tab w:leader="none" w:pos="75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Scotts Miracle-Gro Company (including its consolidated subsidiaries, the “Company”), other than AeroGrow International, Inc. (OTCBB:AERO) (“</w:t>
      </w:r>
      <w:r>
        <w:rPr>
          <w:rFonts w:ascii="Arial" w:cs="Arial" w:eastAsia="Arial" w:hAnsi="Arial"/>
          <w:sz w:val="18"/>
          <w:szCs w:val="18"/>
          <w:b w:val="1"/>
          <w:bCs w:val="1"/>
          <w:i w:val="1"/>
          <w:iCs w:val="1"/>
          <w:color w:val="auto"/>
        </w:rPr>
        <w:t>AeroGrow</w:t>
      </w:r>
      <w:r>
        <w:rPr>
          <w:rFonts w:ascii="Arial" w:cs="Arial" w:eastAsia="Arial" w:hAnsi="Arial"/>
          <w:sz w:val="18"/>
          <w:szCs w:val="18"/>
          <w:color w:val="auto"/>
        </w:rPr>
        <w:t>”) which is discussed in (ii) below) is filing this Form SD pursuant to Rule 13p-1 under the Securities Exchange Act of 1934, as amended, for the reporting period from January 1, 2018 to December 31, 2018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8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6"/>
          <w:szCs w:val="16"/>
          <w:b w:val="1"/>
          <w:bCs w:val="1"/>
          <w:i w:val="1"/>
          <w:iCs w:val="1"/>
          <w:color w:val="auto"/>
        </w:rPr>
        <w:t>conflict minerals</w:t>
      </w:r>
      <w:r>
        <w:rPr>
          <w:rFonts w:ascii="Arial" w:cs="Arial" w:eastAsia="Arial" w:hAnsi="Arial"/>
          <w:sz w:val="16"/>
          <w:szCs w:val="16"/>
          <w:color w:val="auto"/>
        </w:rPr>
        <w:t>” as: (i)</w:t>
      </w:r>
    </w:p>
    <w:p>
      <w:pPr>
        <w:ind w:right="160" w:firstLine="8"/>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columbite-tantalite, (b) cassiterite, (c) gold and (d) wolframite,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w:t>
      </w:r>
    </w:p>
    <w:p>
      <w:pPr>
        <w:spacing w:after="0" w:line="19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During the Reporting Period, the Company manufactured or contracted to manufacture, products for which conflict minerals are necessary to the functionality or production of those products (collectively, the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 Country of Origin Inquiry</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required by Form SD, the Company has conducted a good faith reasonable country of origin inquiry (“</w:t>
      </w:r>
      <w:r>
        <w:rPr>
          <w:rFonts w:ascii="Arial" w:cs="Arial" w:eastAsia="Arial" w:hAnsi="Arial"/>
          <w:sz w:val="18"/>
          <w:szCs w:val="18"/>
          <w:b w:val="1"/>
          <w:bCs w:val="1"/>
          <w:i w:val="1"/>
          <w:iCs w:val="1"/>
          <w:color w:val="auto"/>
        </w:rPr>
        <w:t>RCOI</w:t>
      </w:r>
      <w:r>
        <w:rPr>
          <w:rFonts w:ascii="Arial" w:cs="Arial" w:eastAsia="Arial" w:hAnsi="Arial"/>
          <w:sz w:val="18"/>
          <w:szCs w:val="18"/>
          <w:color w:val="auto"/>
        </w:rPr>
        <w:t>”) regarding the conflict minerals included in its products during the Reporting Period, which the Company refers to as the “</w:t>
      </w:r>
      <w:r>
        <w:rPr>
          <w:rFonts w:ascii="Arial" w:cs="Arial" w:eastAsia="Arial" w:hAnsi="Arial"/>
          <w:sz w:val="18"/>
          <w:szCs w:val="18"/>
          <w:b w:val="1"/>
          <w:bCs w:val="1"/>
          <w:i w:val="1"/>
          <w:iCs w:val="1"/>
          <w:color w:val="auto"/>
        </w:rPr>
        <w:t>Subject Minerals</w:t>
      </w:r>
      <w:r>
        <w:rPr>
          <w:rFonts w:ascii="Arial" w:cs="Arial" w:eastAsia="Arial" w:hAnsi="Arial"/>
          <w:sz w:val="18"/>
          <w:szCs w:val="18"/>
          <w:color w:val="auto"/>
        </w:rPr>
        <w:t>,” to determine whether any such Subject Minerals originated in the Covered Countries and/or whether any of the Subject Minerals were from recycled or scrap sources, in accordance with Form SD and related guidance provided by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Company’s RCOI regarding the Subject Minerals is set out below.</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of materials and components to provide information regarding the origin of any conflict minerals that are included in their materials and components.</w:t>
      </w:r>
    </w:p>
    <w:p>
      <w:pPr>
        <w:spacing w:after="0" w:line="18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Company’s research and development, supply chain, legal, compliance and finance departments worked together to search the Company’s Product Life-cycle Management (“</w:t>
      </w:r>
      <w:r>
        <w:rPr>
          <w:rFonts w:ascii="Arial" w:cs="Arial" w:eastAsia="Arial" w:hAnsi="Arial"/>
          <w:sz w:val="17"/>
          <w:szCs w:val="17"/>
          <w:b w:val="1"/>
          <w:bCs w:val="1"/>
          <w:i w:val="1"/>
          <w:iCs w:val="1"/>
          <w:color w:val="auto"/>
        </w:rPr>
        <w:t>PLM</w:t>
      </w:r>
      <w:r>
        <w:rPr>
          <w:rFonts w:ascii="Arial" w:cs="Arial" w:eastAsia="Arial" w:hAnsi="Arial"/>
          <w:sz w:val="17"/>
          <w:szCs w:val="17"/>
          <w:color w:val="auto"/>
        </w:rPr>
        <w:t>”) database to identify where Subject Minerals were used in its products. While no responsive conflict mineral matches were uncovered in this system, the cross functional team recognized that several product lines were not incorporated into the PLM database. As a result, the Company identified a small number of suppliers of materials for products falling outside the PLM database that contained metallic parts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The Company put in place a consultation of the Covered Suppliers to confirm whether the Subject Minerals were contained in these products. The Company inventoried the responses it received from Covered Suppliers and determined that two vendors confirmed on the usage of Subject Minerals in a product it supplied the Company. These vendors, however, certified that they have no reason to believe that the Subject Minerals originated in the Covered Countries.</w:t>
      </w:r>
    </w:p>
    <w:p>
      <w:pPr>
        <w:spacing w:after="0" w:line="17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RCOI conducted by the Company identified no evidence the Subject Minerals contained in its products during the Reporting Period may have originated in the Covered Countries.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required by Form SD, the disclosure contained in this Form SD regarding the Company’s RCOI is available on the Company’s website located at http://investor.scotts.com.</w:t>
      </w:r>
    </w:p>
    <w:p>
      <w:pPr>
        <w:spacing w:after="0" w:line="170" w:lineRule="exact"/>
        <w:rPr>
          <w:sz w:val="20"/>
          <w:szCs w:val="20"/>
          <w:color w:val="auto"/>
        </w:rPr>
      </w:pPr>
    </w:p>
    <w:p>
      <w:pPr>
        <w:ind w:right="480" w:firstLine="413"/>
        <w:spacing w:after="0" w:line="277"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AeroGrow, a consolidated subsidiary of the Company, creates, manufactures and markets soil-free indoor gardens. The disclosures made by AeroGrow in its Form SD for the Reporting Period are incorporated by reference.</w:t>
      </w:r>
    </w:p>
    <w:p>
      <w:pPr>
        <w:sectPr>
          <w:pgSz w:w="11900" w:h="16838" w:orient="portrait"/>
          <w:cols w:equalWidth="0" w:num="1">
            <w:col w:w="11360"/>
          </w:cols>
          <w:pgMar w:left="240" w:top="58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 SCOTTS MIRACLE-GRO COMPANY</w:t>
      </w:r>
    </w:p>
    <w:p>
      <w:pPr>
        <w:spacing w:after="0" w:line="333"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18"/>
          <w:szCs w:val="18"/>
          <w:color w:val="auto"/>
        </w:rPr>
        <w:t>Dated: May 29, 2019</w:t>
      </w:r>
      <w:r>
        <w:rPr>
          <w:sz w:val="20"/>
          <w:szCs w:val="20"/>
          <w:color w:val="auto"/>
        </w:rPr>
        <w:tab/>
      </w:r>
      <w:r>
        <w:rPr>
          <w:rFonts w:ascii="Arial" w:cs="Arial" w:eastAsia="Arial" w:hAnsi="Arial"/>
          <w:sz w:val="17"/>
          <w:szCs w:val="17"/>
          <w:color w:val="auto"/>
        </w:rPr>
        <w:t>By: /s/ IVAN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Printed Name: Ivan C. Smith</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Title: Executive Vice President, General Counsel, Corporate Secretary and Chief</w:t>
      </w:r>
    </w:p>
    <w:p>
      <w:pPr>
        <w:spacing w:after="0" w:line="3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Compliance Officer</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2019-12-02T08:14:25Z</dcterms:created>
  <dcterms:modified xsi:type="dcterms:W3CDTF">2019-12-02T08:14:25Z</dcterms:modified>
</cp:coreProperties>
</file>