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60" w:type="dxa"/>
        <w:tblCellMar>
          <w:top w:w="0" w:type="dxa"/>
          <w:left w:w="0" w:type="dxa"/>
          <w:bottom w:w="0" w:type="dxa"/>
          <w:right w:w="0" w:type="dxa"/>
        </w:tblCellMar>
      </w:tblPr>
      <w:tr>
        <w:trPr>
          <w:trHeight w:val="204"/>
        </w:trPr>
        <w:tc>
          <w:tcPr>
            <w:tcW w:w="684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SECURITIES AND EXCHANGE COMMISSION</w:t>
            </w:r>
          </w:p>
        </w:tc>
      </w:tr>
      <w:tr>
        <w:trPr>
          <w:trHeight w:val="296"/>
        </w:trPr>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WASHINGTON,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D.C. 20549</w:t>
            </w:r>
          </w:p>
        </w:tc>
      </w:tr>
      <w:tr>
        <w:trPr>
          <w:trHeight w:val="405"/>
        </w:trPr>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311"/>
        </w:trPr>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Pursuant to Section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 or 15(d) of the</w:t>
            </w:r>
          </w:p>
        </w:tc>
      </w:tr>
      <w:tr>
        <w:trPr>
          <w:trHeight w:val="296"/>
        </w:trPr>
        <w:tc>
          <w:tcPr>
            <w:tcW w:w="6840" w:type="dxa"/>
            <w:vAlign w:val="bottom"/>
            <w:gridSpan w:val="2"/>
          </w:tcPr>
          <w:p>
            <w:pPr>
              <w:ind w:left="1780"/>
              <w:spacing w:after="0"/>
              <w:rPr>
                <w:sz w:val="20"/>
                <w:szCs w:val="20"/>
                <w:color w:val="auto"/>
              </w:rPr>
            </w:pPr>
            <w:r>
              <w:rPr>
                <w:rFonts w:ascii="Courier New" w:cs="Courier New" w:eastAsia="Courier New" w:hAnsi="Courier New"/>
                <w:sz w:val="18"/>
                <w:szCs w:val="18"/>
                <w:color w:val="auto"/>
              </w:rPr>
              <w:t>Securities Exchange Act of 1934</w:t>
            </w:r>
          </w:p>
        </w:tc>
      </w:tr>
      <w:tr>
        <w:trPr>
          <w:trHeight w:val="514"/>
        </w:trPr>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w w:val="96"/>
              </w:rPr>
              <w:t>Date of Report (Date of earliest</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w w:val="97"/>
              </w:rPr>
              <w:t>event reported): August 21, 2002</w:t>
            </w:r>
          </w:p>
        </w:tc>
      </w:tr>
      <w:tr>
        <w:trPr>
          <w:trHeight w:val="296"/>
        </w:trPr>
        <w:tc>
          <w:tcPr>
            <w:tcW w:w="3420" w:type="dxa"/>
            <w:vAlign w:val="bottom"/>
          </w:tcPr>
          <w:p>
            <w:pPr>
              <w:spacing w:after="0"/>
              <w:rPr>
                <w:sz w:val="24"/>
                <w:szCs w:val="24"/>
                <w:color w:val="auto"/>
              </w:rPr>
            </w:pPr>
          </w:p>
        </w:tc>
        <w:tc>
          <w:tcPr>
            <w:tcW w:w="3420" w:type="dxa"/>
            <w:vAlign w:val="bottom"/>
          </w:tcPr>
          <w:p>
            <w:pPr>
              <w:ind w:left="1840"/>
              <w:spacing w:after="0"/>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4"/>
          <w:szCs w:val="24"/>
          <w:color w:val="auto"/>
        </w:rPr>
      </w:pPr>
    </w:p>
    <w:p>
      <w:pPr>
        <w:spacing w:after="0" w:line="31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22" w:right="1440" w:bottom="1440" w:gutter="0" w:footer="0" w:header="0"/>
        </w:sectPr>
      </w:pPr>
    </w:p>
    <w:p>
      <w:pPr>
        <w:spacing w:after="0" w:line="200" w:lineRule="exact"/>
        <w:rPr>
          <w:sz w:val="24"/>
          <w:szCs w:val="24"/>
          <w:color w:val="auto"/>
        </w:rPr>
      </w:pPr>
    </w:p>
    <w:p>
      <w:pPr>
        <w:spacing w:after="0" w:line="37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OHIO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(State or other jurisdiction</w:t>
      </w:r>
    </w:p>
    <w:p>
      <w:pPr>
        <w:ind w:left="7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1-13292</w:t>
      </w:r>
    </w:p>
    <w:p>
      <w:pPr>
        <w:spacing w:after="0" w:line="3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31-1414921</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380" w:space="420"/>
            <w:col w:w="2000" w:space="520"/>
            <w:col w:w="3899"/>
          </w:cols>
          <w:pgMar w:left="240" w:top="622" w:right="1440" w:bottom="1440" w:gutter="0" w:footer="0" w:header="0"/>
          <w:type w:val="continuous"/>
        </w:sectPr>
      </w:pPr>
    </w:p>
    <w:p>
      <w:pPr>
        <w:spacing w:after="0" w:line="374" w:lineRule="exact"/>
        <w:rPr>
          <w:sz w:val="24"/>
          <w:szCs w:val="24"/>
          <w:color w:val="auto"/>
        </w:rPr>
      </w:pPr>
    </w:p>
    <w:p>
      <w:pPr>
        <w:ind w:left="1900"/>
        <w:spacing w:after="0"/>
        <w:tabs>
          <w:tab w:leader="none" w:pos="6940" w:val="left"/>
        </w:tabs>
        <w:rPr>
          <w:sz w:val="20"/>
          <w:szCs w:val="20"/>
          <w:color w:val="auto"/>
        </w:rPr>
      </w:pPr>
      <w:r>
        <w:rPr>
          <w:rFonts w:ascii="Courier New" w:cs="Courier New" w:eastAsia="Courier New" w:hAnsi="Courier New"/>
          <w:sz w:val="18"/>
          <w:szCs w:val="18"/>
          <w:color w:val="auto"/>
        </w:rPr>
        <w:t>14111 SCOTTSLAWN ROAD, MARYSVILLE, OHIO</w:t>
      </w:r>
      <w:r>
        <w:rPr>
          <w:sz w:val="20"/>
          <w:szCs w:val="20"/>
          <w:color w:val="auto"/>
        </w:rPr>
        <w:tab/>
      </w:r>
      <w:r>
        <w:rPr>
          <w:rFonts w:ascii="Courier New" w:cs="Courier New" w:eastAsia="Courier New" w:hAnsi="Courier New"/>
          <w:sz w:val="16"/>
          <w:szCs w:val="16"/>
          <w:color w:val="auto"/>
        </w:rPr>
        <w:t>43041</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580"/>
        <w:spacing w:after="0"/>
        <w:tabs>
          <w:tab w:leader="none" w:pos="66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22" w:right="1440" w:bottom="1440" w:gutter="0" w:footer="0" w:header="0"/>
          <w:type w:val="continuous"/>
        </w:sectPr>
      </w:pPr>
    </w:p>
    <w:p>
      <w:pPr>
        <w:spacing w:after="0" w:line="37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(937) 644-0011</w:t>
      </w:r>
    </w:p>
    <w:p>
      <w:pPr>
        <w:spacing w:after="0" w:line="53"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Index to Exhibits is on Page 3.</w:t>
      </w:r>
    </w:p>
    <w:p>
      <w:pPr>
        <w:sectPr>
          <w:pgSz w:w="11900" w:h="16838" w:orient="portrait"/>
          <w:cols w:equalWidth="0" w:num="1">
            <w:col w:w="10219"/>
          </w:cols>
          <w:pgMar w:left="240" w:top="622" w:right="1440" w:bottom="1440" w:gutter="0" w:footer="0" w:header="0"/>
          <w:type w:val="continuous"/>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required.</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required.</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3060" w:hanging="945"/>
        <w:spacing w:after="0"/>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issued August 21, 2002</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9.</w:t>
      </w:r>
      <w:r>
        <w:rPr>
          <w:rFonts w:ascii="Courier New" w:cs="Courier New" w:eastAsia="Courier New" w:hAnsi="Courier New"/>
          <w:sz w:val="16"/>
          <w:szCs w:val="16"/>
          <w:color w:val="auto"/>
        </w:rPr>
        <w:t>Regulation FD Disclosure</w:t>
      </w:r>
    </w:p>
    <w:p>
      <w:pPr>
        <w:spacing w:after="0" w:line="201" w:lineRule="exact"/>
        <w:rPr>
          <w:sz w:val="20"/>
          <w:szCs w:val="20"/>
          <w:color w:val="auto"/>
        </w:rPr>
      </w:pPr>
    </w:p>
    <w:p>
      <w:pPr>
        <w:ind w:right="1879" w:firstLine="1475"/>
        <w:spacing w:after="0" w:line="256" w:lineRule="auto"/>
        <w:rPr>
          <w:sz w:val="20"/>
          <w:szCs w:val="20"/>
          <w:color w:val="auto"/>
        </w:rPr>
      </w:pPr>
      <w:r>
        <w:rPr>
          <w:rFonts w:ascii="Courier New" w:cs="Courier New" w:eastAsia="Courier New" w:hAnsi="Courier New"/>
          <w:sz w:val="18"/>
          <w:szCs w:val="18"/>
          <w:color w:val="auto"/>
        </w:rPr>
        <w:t>On August 21, 2002, The Scotts Company issued a press release announcing that the Hagedorn Partnership, L.P. exercised warrants for 1,140,750 common shares of Scotts on a cashless basis. The Hagedorn Partnership received 467,092 common shares of Scotts on a net basis and has remaining warrants for 1,792,608 common shares of Scotts, which are exercisable on, or prior to, November 19, 2003. The press release is attached hereto as Exhibit 99 and incorporated herein by reference.</w:t>
      </w:r>
    </w:p>
    <w:p>
      <w:pPr>
        <w:spacing w:after="0" w:line="200" w:lineRule="exact"/>
        <w:rPr>
          <w:sz w:val="20"/>
          <w:szCs w:val="20"/>
          <w:color w:val="auto"/>
        </w:rPr>
      </w:pPr>
    </w:p>
    <w:p>
      <w:pPr>
        <w:spacing w:after="0" w:line="3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1096" w:right="1440" w:bottom="10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22,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jc w:val="both"/>
        <w:ind w:right="1879" w:hanging="315"/>
        <w:spacing w:after="0" w:line="274" w:lineRule="auto"/>
        <w:rPr>
          <w:sz w:val="20"/>
          <w:szCs w:val="20"/>
          <w:color w:val="auto"/>
        </w:rPr>
      </w:pPr>
      <w:r>
        <w:rPr>
          <w:rFonts w:ascii="Courier New" w:cs="Courier New" w:eastAsia="Courier New" w:hAnsi="Courier New"/>
          <w:sz w:val="18"/>
          <w:szCs w:val="18"/>
          <w:color w:val="auto"/>
        </w:rPr>
        <w:t>By: /s/ David M. Aronowitz --------------------------------------------- David M. Aronowitz, Executive Vice President, General Counsel and Secretary</w:t>
      </w:r>
    </w:p>
    <w:p>
      <w:pPr>
        <w:spacing w:after="0" w:line="200" w:lineRule="exact"/>
        <w:rPr>
          <w:sz w:val="20"/>
          <w:szCs w:val="20"/>
          <w:color w:val="auto"/>
        </w:rPr>
      </w:pPr>
    </w:p>
    <w:p>
      <w:pPr>
        <w:sectPr>
          <w:pgSz w:w="11900" w:h="16838" w:orient="portrait"/>
          <w:cols w:equalWidth="0" w:num="3">
            <w:col w:w="540" w:space="200"/>
            <w:col w:w="2120" w:space="720"/>
            <w:col w:w="6639"/>
          </w:cols>
          <w:pgMar w:left="240" w:top="1096" w:right="1440" w:bottom="101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096" w:right="1440" w:bottom="1019" w:gutter="0" w:footer="0" w:header="0"/>
          <w:type w:val="continuous"/>
        </w:sectPr>
      </w:pPr>
    </w:p>
    <w:bookmarkStart w:id="2" w:name="page3"/>
    <w:bookmarkEnd w:id="2"/>
    <w:p>
      <w:pPr>
        <w:ind w:left="3380"/>
        <w:spacing w:after="0"/>
        <w:rPr>
          <w:sz w:val="20"/>
          <w:szCs w:val="20"/>
          <w:color w:val="auto"/>
        </w:rPr>
      </w:pPr>
      <w:r>
        <w:rPr>
          <w:rFonts w:ascii="Courier New" w:cs="Courier New" w:eastAsia="Courier New" w:hAnsi="Courier New"/>
          <w:sz w:val="16"/>
          <w:szCs w:val="16"/>
          <w:color w:val="auto"/>
        </w:rPr>
        <w:t>INDEX TO EXHIBITS</w:t>
      </w:r>
    </w:p>
    <w:p>
      <w:pPr>
        <w:spacing w:after="0" w:line="53"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96" w:right="1440" w:bottom="1440" w:gutter="0" w:footer="0" w:header="0"/>
        </w:sectPr>
      </w:pPr>
    </w:p>
    <w:p>
      <w:pPr>
        <w:spacing w:after="0" w:line="394" w:lineRule="exact"/>
        <w:rPr>
          <w:sz w:val="20"/>
          <w:szCs w:val="20"/>
          <w:color w:val="auto"/>
        </w:rPr>
      </w:pPr>
    </w:p>
    <w:p>
      <w:pPr>
        <w:ind w:right="320"/>
        <w:spacing w:after="0" w:line="402"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2020" w:space="720"/>
            <w:col w:w="7479"/>
          </w:cols>
          <w:pgMar w:left="240" w:top="109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issued August 21, 2002</w:t>
      </w:r>
    </w:p>
    <w:p>
      <w:pPr>
        <w:spacing w:after="0" w:line="222" w:lineRule="exact"/>
        <w:rPr>
          <w:sz w:val="20"/>
          <w:szCs w:val="20"/>
          <w:color w:val="auto"/>
        </w:rPr>
      </w:pPr>
    </w:p>
    <w:p>
      <w:pPr>
        <w:sectPr>
          <w:pgSz w:w="11900" w:h="16838" w:orient="portrait"/>
          <w:cols w:equalWidth="0" w:num="2">
            <w:col w:w="2020" w:space="720"/>
            <w:col w:w="7479"/>
          </w:cols>
          <w:pgMar w:left="240" w:top="109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096"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FOR IMMEDIATE RELEASE</w:t>
      </w:r>
    </w:p>
    <w:p>
      <w:pPr>
        <w:spacing w:after="0" w:line="224" w:lineRule="exact"/>
        <w:rPr>
          <w:sz w:val="20"/>
          <w:szCs w:val="20"/>
          <w:color w:val="auto"/>
        </w:rPr>
      </w:pPr>
    </w:p>
    <w:p>
      <w:pPr>
        <w:spacing w:after="0"/>
        <w:tabs>
          <w:tab w:leader="none" w:pos="7460" w:val="left"/>
        </w:tabs>
        <w:rPr>
          <w:sz w:val="20"/>
          <w:szCs w:val="20"/>
          <w:color w:val="auto"/>
        </w:rPr>
      </w:pPr>
      <w:r>
        <w:rPr>
          <w:rFonts w:ascii="Courier New" w:cs="Courier New" w:eastAsia="Courier New" w:hAnsi="Courier New"/>
          <w:sz w:val="18"/>
          <w:szCs w:val="18"/>
          <w:color w:val="auto"/>
        </w:rPr>
        <w:t>THE SCOTTS COMPANY</w:t>
      </w:r>
      <w:r>
        <w:rPr>
          <w:sz w:val="20"/>
          <w:szCs w:val="20"/>
          <w:color w:val="auto"/>
        </w:rPr>
        <w:tab/>
      </w:r>
      <w:r>
        <w:rPr>
          <w:rFonts w:ascii="Courier New" w:cs="Courier New" w:eastAsia="Courier New" w:hAnsi="Courier New"/>
          <w:sz w:val="16"/>
          <w:szCs w:val="16"/>
          <w:color w:val="auto"/>
        </w:rPr>
        <w:t>NEWS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SCOTTS ANNOUNCES PARTIAL EXERCISE OF</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HAGEDORN PARTNERSHIP WARRANTS</w:t>
      </w:r>
    </w:p>
    <w:p>
      <w:pPr>
        <w:spacing w:after="0" w:line="169"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MARYSVLLLE, Ohio (August 21, 2002) -- The Scotts Company (NYSE: SMG), the global leader in the consumer lawn and garden industry, announced today that the Hagedorn Partnership, L.P. exercised warrants for 1,140,750 common shares on a cashless basis in accordance with the terms of the warrants and the 1995 merger agreement between Scotts and the former shareholders of Stern's Miracle-Gro.</w:t>
      </w:r>
    </w:p>
    <w:p>
      <w:pPr>
        <w:spacing w:after="0" w:line="93"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The Hagedorn Partnership received 467,092 common shares on a net basis and has remaining warrants for 1,792,608 common shares, which are exercisable on, or prior to, November 19, 2003.</w:t>
      </w:r>
    </w:p>
    <w:p>
      <w:pPr>
        <w:spacing w:after="0" w:line="66"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James Hagedorn, Scotts' President and Chief Executive Officer, and a general partner in the Hagedorn Partnership, stated, "I have no present intention to sell any of the common shares I own or that are held for my account by the Partnership, including the shares that were acquired today."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Scotts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The Scotts Company is the world's leading supplier of consumer products for lawn and garden care, with a full range of products for professional horticulture as well. The company owns the industry's most recognized brands. In the U.S., the company's Scotts(R), Miracle-Gro(R) and Ortho(R) brands are market leading In their categories, as is the consumer Roundup(R) brand which is marketed in North America and most of Europe exclusively by Scotts and owned by Monsanto. In Europe, Scotts' brands Weedol(R), Pathclear(R), Evergreen(R), Levington(R), Miracle-Gro(R), Fertiligene(R), KB(R) and Substral(R).</w:t>
      </w:r>
    </w:p>
    <w:p>
      <w:pPr>
        <w:spacing w:after="0" w:line="77"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STATEMENT UNDER THE PRIVATE SECURITIES LITIGATION ACT OF 1995: Certain of the statements contained in this press release, including but not limited to, information regarding the future economic performance and financial condition of the company, the plans and objectives of the company's management, and the company's assumptions regarding such performance and plans are forward looking in nature. Actual results could differ materially from the forward looking information in this release, due to a variety of factors, including, but not limited to:</w:t>
      </w:r>
    </w:p>
    <w:p>
      <w:pPr>
        <w:sectPr>
          <w:pgSz w:w="11900" w:h="16838" w:orient="portrait"/>
          <w:cols w:equalWidth="0" w:num="1">
            <w:col w:w="10219"/>
          </w:cols>
          <w:pgMar w:left="240" w:top="1123" w:right="1440" w:bottom="1440" w:gutter="0" w:footer="0" w:header="0"/>
        </w:sectPr>
      </w:pPr>
    </w:p>
    <w:bookmarkStart w:id="4" w:name="page5"/>
    <w:bookmarkEnd w:id="4"/>
    <w:p>
      <w:pPr>
        <w:ind w:left="1900" w:right="2739" w:hanging="944"/>
        <w:spacing w:after="0" w:line="347"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weather conditions could adversely affect the Company's sales and financial results;</w:t>
      </w:r>
    </w:p>
    <w:p>
      <w:pPr>
        <w:spacing w:after="0" w:line="18" w:lineRule="exact"/>
        <w:rPr>
          <w:rFonts w:ascii="Courier New" w:cs="Courier New" w:eastAsia="Courier New" w:hAnsi="Courier New"/>
          <w:sz w:val="18"/>
          <w:szCs w:val="18"/>
          <w:color w:val="auto"/>
        </w:rPr>
      </w:pPr>
    </w:p>
    <w:p>
      <w:pPr>
        <w:ind w:left="1900" w:right="2319" w:hanging="944"/>
        <w:spacing w:after="0" w:line="292"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historical seasonality could impair the Company's ability to pay obligations as they come due and operating expenses;</w:t>
      </w:r>
    </w:p>
    <w:p>
      <w:pPr>
        <w:spacing w:after="0" w:line="66" w:lineRule="exact"/>
        <w:rPr>
          <w:rFonts w:ascii="Courier New" w:cs="Courier New" w:eastAsia="Courier New" w:hAnsi="Courier New"/>
          <w:sz w:val="18"/>
          <w:szCs w:val="18"/>
          <w:color w:val="auto"/>
        </w:rPr>
      </w:pPr>
    </w:p>
    <w:p>
      <w:pPr>
        <w:ind w:left="1900" w:right="1879" w:hanging="944"/>
        <w:spacing w:after="0" w:line="347"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substantial indebtedness could adversely affect the Company's financial health;</w:t>
      </w:r>
    </w:p>
    <w:p>
      <w:pPr>
        <w:spacing w:after="0" w:line="18" w:lineRule="exact"/>
        <w:rPr>
          <w:rFonts w:ascii="Courier New" w:cs="Courier New" w:eastAsia="Courier New" w:hAnsi="Courier New"/>
          <w:sz w:val="18"/>
          <w:szCs w:val="18"/>
          <w:color w:val="auto"/>
        </w:rPr>
      </w:pPr>
    </w:p>
    <w:p>
      <w:pPr>
        <w:ind w:left="1900" w:right="2419" w:hanging="944"/>
        <w:spacing w:after="0" w:line="347"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perceptions regarding the safety of the Company's products could adversely affect the Company;</w:t>
      </w:r>
    </w:p>
    <w:p>
      <w:pPr>
        <w:spacing w:after="0" w:line="18" w:lineRule="exact"/>
        <w:rPr>
          <w:rFonts w:ascii="Courier New" w:cs="Courier New" w:eastAsia="Courier New" w:hAnsi="Courier New"/>
          <w:sz w:val="18"/>
          <w:szCs w:val="18"/>
          <w:color w:val="auto"/>
        </w:rPr>
      </w:pPr>
    </w:p>
    <w:p>
      <w:pPr>
        <w:ind w:left="1900" w:right="1879" w:hanging="944"/>
        <w:spacing w:after="0" w:line="274"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loss of one or more of the Company's top customers could adversely affect the Company's financial results because of the concentration of the Company's sales to a small number of retail customers;</w:t>
      </w:r>
    </w:p>
    <w:p>
      <w:pPr>
        <w:spacing w:after="0" w:line="81" w:lineRule="exact"/>
        <w:rPr>
          <w:rFonts w:ascii="Courier New" w:cs="Courier New" w:eastAsia="Courier New" w:hAnsi="Courier New"/>
          <w:sz w:val="18"/>
          <w:szCs w:val="18"/>
          <w:color w:val="auto"/>
        </w:rPr>
      </w:pPr>
    </w:p>
    <w:p>
      <w:pPr>
        <w:ind w:left="1900" w:right="1779" w:hanging="944"/>
        <w:spacing w:after="0" w:line="347"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certain patents could substantially increase the Company's competition in the United States;</w:t>
      </w:r>
    </w:p>
    <w:p>
      <w:pPr>
        <w:spacing w:after="0" w:line="18" w:lineRule="exact"/>
        <w:rPr>
          <w:rFonts w:ascii="Courier New" w:cs="Courier New" w:eastAsia="Courier New" w:hAnsi="Courier New"/>
          <w:sz w:val="18"/>
          <w:szCs w:val="18"/>
          <w:color w:val="auto"/>
        </w:rPr>
      </w:pPr>
    </w:p>
    <w:p>
      <w:pPr>
        <w:ind w:left="1900" w:right="2619" w:hanging="944"/>
        <w:spacing w:after="0" w:line="292"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environmental and other public health regulations could increase the Company's cost of doing business; and</w:t>
      </w:r>
    </w:p>
    <w:p>
      <w:pPr>
        <w:spacing w:after="0" w:line="66" w:lineRule="exact"/>
        <w:rPr>
          <w:rFonts w:ascii="Courier New" w:cs="Courier New" w:eastAsia="Courier New" w:hAnsi="Courier New"/>
          <w:sz w:val="18"/>
          <w:szCs w:val="18"/>
          <w:color w:val="auto"/>
        </w:rPr>
      </w:pPr>
    </w:p>
    <w:p>
      <w:pPr>
        <w:ind w:left="1900" w:right="1879" w:hanging="944"/>
        <w:spacing w:after="0" w:line="344" w:lineRule="auto"/>
        <w:tabs>
          <w:tab w:leader="none" w:pos="19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significant international operations make the Company more susceptible to fluctuations in currency exchange rates and to the costs of international regulation.</w:t>
      </w:r>
    </w:p>
    <w:p>
      <w:pPr>
        <w:spacing w:after="0" w:line="31"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p>
    <w:sectPr>
      <w:pgSz w:w="11900" w:h="16838" w:orient="portrait"/>
      <w:cols w:equalWidth="0" w:num="1">
        <w:col w:w="10219"/>
      </w:cols>
      <w:pgMar w:left="240" w:top="10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2019-12-20T06:22:03Z</dcterms:created>
  <dcterms:modified xsi:type="dcterms:W3CDTF">2019-12-20T06:22:03Z</dcterms:modified>
</cp:coreProperties>
</file>