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80"/>
        <w:spacing w:after="0"/>
        <w:rPr>
          <w:sz w:val="20"/>
          <w:szCs w:val="20"/>
          <w:color w:val="auto"/>
        </w:rPr>
      </w:pPr>
      <w:r>
        <w:rPr>
          <w:rFonts w:ascii="Courier New" w:cs="Courier New" w:eastAsia="Courier New" w:hAnsi="Courier New"/>
          <w:sz w:val="18"/>
          <w:szCs w:val="18"/>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SCHEDULE 13G. INFORMATION TO BE INCLUDED IN STATEMENTS FILED PURSUANT TO 13D-1(B) AND AMENDMENTS THERETO FILED PURSUANT TO 13D-2(B)</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 the following</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box if a fee</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w w:val="98"/>
              </w:rPr>
              <w:t>is being paid with this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 fee is not required only if the filing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more than five percent of the class</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w:t>
            </w:r>
          </w:p>
        </w:tc>
        <w:tc>
          <w:tcPr>
            <w:tcW w:w="2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(2) has filed no amendment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subsequent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five percent or less of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such 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ectPr>
          <w:pgSz w:w="11900" w:h="16838" w:orient="portrait"/>
          <w:cols w:equalWidth="0" w:num="1">
            <w:col w:w="10219"/>
          </w:cols>
          <w:pgMar w:left="240" w:top="447" w:right="1440" w:bottom="1440" w:gutter="0" w:footer="0" w:header="0"/>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PAGE 2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5700" w:hanging="1057"/>
        <w:spacing w:after="0" w:line="238" w:lineRule="auto"/>
        <w:tabs>
          <w:tab w:leader="none" w:pos="5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1057"/>
        <w:spacing w:after="0" w:line="238" w:lineRule="auto"/>
        <w:tabs>
          <w:tab w:leader="none" w:pos="5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ORGANIZED UNDER THE BUSINESS CORPORATIONS ACT (ONTARIO), IN THE COUNTRY OF CANADA.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8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58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1,561,800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6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2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1,561,800</w:t>
            </w:r>
          </w:p>
        </w:tc>
      </w:tr>
    </w:tbl>
    <w:p>
      <w:pPr>
        <w:spacing w:after="0" w:line="207" w:lineRule="exact"/>
        <w:rPr>
          <w:sz w:val="20"/>
          <w:szCs w:val="20"/>
          <w:color w:val="auto"/>
        </w:rPr>
      </w:pPr>
    </w:p>
    <w:p>
      <w:pPr>
        <w:ind w:left="960" w:right="293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1,561,800</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960" w:right="4099" w:hanging="952"/>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5.38%</w:t>
      </w:r>
    </w:p>
    <w:p>
      <w:pPr>
        <w:spacing w:after="0" w:line="208"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1122"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90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90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5140 Yonge Street</w:t>
      </w:r>
    </w:p>
    <w:p>
      <w:pPr>
        <w:ind w:left="1900"/>
        <w:spacing w:after="0" w:line="238" w:lineRule="auto"/>
        <w:rPr>
          <w:sz w:val="20"/>
          <w:szCs w:val="20"/>
          <w:color w:val="auto"/>
        </w:rPr>
      </w:pPr>
      <w:r>
        <w:rPr>
          <w:rFonts w:ascii="Courier New" w:cs="Courier New" w:eastAsia="Courier New" w:hAnsi="Courier New"/>
          <w:sz w:val="18"/>
          <w:szCs w:val="18"/>
          <w:color w:val="auto"/>
        </w:rPr>
        <w:t>Suite 900</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Toronto, Ontario</w:t>
      </w:r>
      <w:r>
        <w:rPr>
          <w:sz w:val="20"/>
          <w:szCs w:val="20"/>
          <w:color w:val="auto"/>
        </w:rPr>
        <w:tab/>
      </w:r>
      <w:r>
        <w:rPr>
          <w:rFonts w:ascii="Courier New" w:cs="Courier New" w:eastAsia="Courier New" w:hAnsi="Courier New"/>
          <w:sz w:val="16"/>
          <w:szCs w:val="16"/>
          <w:color w:val="auto"/>
        </w:rPr>
        <w:t>M2N 6X7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Organized under the laws of Canada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Class A</w:t>
      </w:r>
    </w:p>
    <w:p>
      <w:pPr>
        <w:spacing w:after="0" w:line="201" w:lineRule="exact"/>
        <w:rPr>
          <w:sz w:val="20"/>
          <w:szCs w:val="20"/>
          <w:color w:val="auto"/>
        </w:rPr>
      </w:pPr>
    </w:p>
    <w:p>
      <w:pPr>
        <w:spacing w:after="0"/>
        <w:tabs>
          <w:tab w:leader="none" w:pos="1260" w:val="left"/>
          <w:tab w:leader="none" w:pos="2940" w:val="left"/>
        </w:tabs>
        <w:rPr>
          <w:sz w:val="20"/>
          <w:szCs w:val="20"/>
          <w:color w:val="auto"/>
        </w:rPr>
      </w:pPr>
      <w:r>
        <w:rPr>
          <w:rFonts w:ascii="Courier New" w:cs="Courier New" w:eastAsia="Courier New" w:hAnsi="Courier New"/>
          <w:sz w:val="18"/>
          <w:szCs w:val="18"/>
          <w:color w:val="auto"/>
        </w:rPr>
        <w:t>ITEM 2 (e)</w:t>
        <w:tab/>
        <w:t>CUSIP NUMBER:</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9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960" w:right="24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960" w:right="1999" w:hanging="952"/>
        <w:spacing w:after="0" w:line="236"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provisions of Employee Retirement Income Security Act of 1974 or Endowment Fund; see Rule 13d-1(b)(1)(ii)(F).</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4" w:lineRule="exact"/>
        <w:rPr>
          <w:rFonts w:ascii="Courier New" w:cs="Courier New" w:eastAsia="Courier New" w:hAnsi="Courier New"/>
          <w:sz w:val="18"/>
          <w:szCs w:val="18"/>
          <w:color w:val="auto"/>
        </w:rPr>
      </w:pPr>
    </w:p>
    <w:p>
      <w:pPr>
        <w:ind w:left="960" w:right="177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960" w:right="2099" w:hanging="952"/>
        <w:spacing w:after="0" w:line="236"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919"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ITEM 4</w:t>
        <w:tab/>
        <w:t>(a) - (c)</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information in items 1 and 5-11 on the cover page (p 2) of this statement on Schedule 13G is hereby incorporated by reference.</w:t>
      </w:r>
    </w:p>
    <w:p>
      <w:pPr>
        <w:sectPr>
          <w:pgSz w:w="11900" w:h="16838" w:orient="portrait"/>
          <w:cols w:equalWidth="0" w:num="1">
            <w:col w:w="10219"/>
          </w:cols>
          <w:pgMar w:left="240" w:top="1122" w:right="1440" w:bottom="1440" w:gutter="0" w:footer="0" w:header="0"/>
        </w:sectPr>
      </w:pPr>
    </w:p>
    <w:p>
      <w:pPr>
        <w:spacing w:after="0" w:line="208" w:lineRule="exact"/>
        <w:rPr>
          <w:sz w:val="20"/>
          <w:szCs w:val="20"/>
          <w:color w:val="auto"/>
        </w:rPr>
      </w:pPr>
    </w:p>
    <w:p>
      <w:pPr>
        <w:ind w:right="1060"/>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Not Applicable.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6760" w:space="720"/>
            <w:col w:w="2739"/>
          </w:cols>
          <w:pgMar w:left="240" w:top="1122" w:right="1440" w:bottom="1440" w:gutter="0" w:footer="0" w:header="0"/>
          <w:type w:val="continuous"/>
        </w:sectPr>
      </w:pPr>
    </w:p>
    <w:p>
      <w:pPr>
        <w:spacing w:after="0" w:line="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line="208" w:lineRule="exact"/>
        <w:rPr>
          <w:sz w:val="20"/>
          <w:szCs w:val="20"/>
          <w:color w:val="auto"/>
        </w:rPr>
      </w:pPr>
    </w:p>
    <w:p>
      <w:pPr>
        <w:ind w:right="1879"/>
        <w:spacing w:after="0"/>
        <w:rPr>
          <w:sz w:val="20"/>
          <w:szCs w:val="20"/>
          <w:color w:val="auto"/>
        </w:rPr>
      </w:pPr>
      <w:r>
        <w:rPr>
          <w:rFonts w:ascii="Courier New" w:cs="Courier New" w:eastAsia="Courier New" w:hAnsi="Courier New"/>
          <w:sz w:val="18"/>
          <w:szCs w:val="18"/>
          <w:color w:val="auto"/>
        </w:rPr>
        <w:t>ITEM 7 IDENTIFICATION AND CLASSIFICATION OF THE SUBSIDIARIES WHICH ACQUIRED THE SECURITY BEING REPORTED ON BY THE PARENT HOLDING COMPANY: Not Applicable.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A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122"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12, 2002</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Susan Han</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Susan Han,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General Counsel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Funds Management, Inc.</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2019-12-20T15:22:13Z</dcterms:created>
  <dcterms:modified xsi:type="dcterms:W3CDTF">2019-12-20T15:22:13Z</dcterms:modified>
</cp:coreProperties>
</file>