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_________________________________________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18"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5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00" w:lineRule="exact"/>
        <w:rPr>
          <w:sz w:val="24"/>
          <w:szCs w:val="24"/>
          <w:color w:val="auto"/>
        </w:rPr>
      </w:pPr>
    </w:p>
    <w:p>
      <w:pPr>
        <w:spacing w:after="0" w:line="223"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38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Ohio</w:t>
            </w:r>
          </w:p>
        </w:tc>
        <w:tc>
          <w:tcPr>
            <w:tcW w:w="298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001-11593</w:t>
            </w:r>
          </w:p>
        </w:tc>
        <w:tc>
          <w:tcPr>
            <w:tcW w:w="260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31-1414921</w:t>
            </w:r>
          </w:p>
        </w:tc>
      </w:tr>
      <w:tr>
        <w:trPr>
          <w:trHeight w:val="230"/>
        </w:trPr>
        <w:tc>
          <w:tcPr>
            <w:tcW w:w="3860" w:type="dxa"/>
            <w:vAlign w:val="bottom"/>
          </w:tcPr>
          <w:p>
            <w:pPr>
              <w:jc w:val="center"/>
              <w:ind w:right="1190"/>
              <w:spacing w:after="0"/>
              <w:rPr>
                <w:sz w:val="20"/>
                <w:szCs w:val="20"/>
                <w:color w:val="auto"/>
              </w:rPr>
            </w:pPr>
            <w:r>
              <w:rPr>
                <w:rFonts w:ascii="Arial" w:cs="Arial" w:eastAsia="Arial" w:hAnsi="Arial"/>
                <w:sz w:val="18"/>
                <w:szCs w:val="18"/>
                <w:color w:val="auto"/>
                <w:w w:val="92"/>
              </w:rPr>
              <w:t>(State or other jurisdiction</w:t>
            </w:r>
          </w:p>
        </w:tc>
        <w:tc>
          <w:tcPr>
            <w:tcW w:w="2980" w:type="dxa"/>
            <w:vAlign w:val="bottom"/>
          </w:tcPr>
          <w:p>
            <w:pPr>
              <w:ind w:left="720"/>
              <w:spacing w:after="0"/>
              <w:rPr>
                <w:sz w:val="20"/>
                <w:szCs w:val="20"/>
                <w:color w:val="auto"/>
              </w:rPr>
            </w:pPr>
            <w:r>
              <w:rPr>
                <w:rFonts w:ascii="Arial" w:cs="Arial" w:eastAsia="Arial" w:hAnsi="Arial"/>
                <w:sz w:val="18"/>
                <w:szCs w:val="18"/>
                <w:color w:val="auto"/>
              </w:rPr>
              <w:t>(Commission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43"/>
        </w:trPr>
        <w:tc>
          <w:tcPr>
            <w:tcW w:w="3860" w:type="dxa"/>
            <w:vAlign w:val="bottom"/>
          </w:tcPr>
          <w:p>
            <w:pPr>
              <w:jc w:val="center"/>
              <w:ind w:right="1170"/>
              <w:spacing w:after="0"/>
              <w:rPr>
                <w:sz w:val="20"/>
                <w:szCs w:val="20"/>
                <w:color w:val="auto"/>
              </w:rPr>
            </w:pPr>
            <w:r>
              <w:rPr>
                <w:rFonts w:ascii="Arial" w:cs="Arial" w:eastAsia="Arial" w:hAnsi="Arial"/>
                <w:sz w:val="18"/>
                <w:szCs w:val="18"/>
                <w:color w:val="auto"/>
                <w:w w:val="92"/>
              </w:rPr>
              <w:t>of incorporation or organization)</w:t>
            </w:r>
          </w:p>
        </w:tc>
        <w:tc>
          <w:tcPr>
            <w:tcW w:w="2980" w:type="dxa"/>
            <w:vAlign w:val="bottom"/>
          </w:tcPr>
          <w:p>
            <w:pPr>
              <w:ind w:left="740"/>
              <w:spacing w:after="0"/>
              <w:rPr>
                <w:sz w:val="20"/>
                <w:szCs w:val="20"/>
                <w:color w:val="auto"/>
              </w:rPr>
            </w:pPr>
            <w:r>
              <w:rPr>
                <w:rFonts w:ascii="Arial" w:cs="Arial" w:eastAsia="Arial" w:hAnsi="Arial"/>
                <w:sz w:val="18"/>
                <w:szCs w:val="18"/>
                <w:color w:val="auto"/>
              </w:rPr>
              <w:t>File 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797"/>
        </w:trPr>
        <w:tc>
          <w:tcPr>
            <w:tcW w:w="3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14111 Scottslawn Road, Marysville, Ohio</w:t>
            </w:r>
          </w:p>
        </w:tc>
        <w:tc>
          <w:tcPr>
            <w:tcW w:w="2980" w:type="dxa"/>
            <w:vAlign w:val="bottom"/>
          </w:tcPr>
          <w:p>
            <w:pPr>
              <w:spacing w:after="0"/>
              <w:rPr>
                <w:sz w:val="24"/>
                <w:szCs w:val="24"/>
                <w:color w:val="auto"/>
              </w:rPr>
            </w:pPr>
          </w:p>
        </w:tc>
        <w:tc>
          <w:tcPr>
            <w:tcW w:w="2600" w:type="dxa"/>
            <w:vAlign w:val="bottom"/>
          </w:tcPr>
          <w:p>
            <w:pPr>
              <w:jc w:val="right"/>
              <w:ind w:right="410"/>
              <w:spacing w:after="0"/>
              <w:rPr>
                <w:sz w:val="20"/>
                <w:szCs w:val="20"/>
                <w:color w:val="auto"/>
              </w:rPr>
            </w:pPr>
            <w:r>
              <w:rPr>
                <w:rFonts w:ascii="Arial" w:cs="Arial" w:eastAsia="Arial" w:hAnsi="Arial"/>
                <w:sz w:val="18"/>
                <w:szCs w:val="18"/>
                <w:b w:val="1"/>
                <w:bCs w:val="1"/>
                <w:color w:val="auto"/>
              </w:rPr>
              <w:t>43041</w:t>
            </w:r>
          </w:p>
        </w:tc>
      </w:tr>
      <w:tr>
        <w:trPr>
          <w:trHeight w:val="243"/>
        </w:trPr>
        <w:tc>
          <w:tcPr>
            <w:tcW w:w="3860" w:type="dxa"/>
            <w:vAlign w:val="bottom"/>
          </w:tcPr>
          <w:p>
            <w:pPr>
              <w:jc w:val="center"/>
              <w:ind w:right="630"/>
              <w:spacing w:after="0"/>
              <w:rPr>
                <w:sz w:val="20"/>
                <w:szCs w:val="20"/>
                <w:color w:val="auto"/>
              </w:rPr>
            </w:pPr>
            <w:r>
              <w:rPr>
                <w:rFonts w:ascii="Arial" w:cs="Arial" w:eastAsia="Arial" w:hAnsi="Arial"/>
                <w:sz w:val="18"/>
                <w:szCs w:val="18"/>
                <w:color w:val="auto"/>
                <w:w w:val="92"/>
              </w:rPr>
              <w:t>(Address of principal executive offices)</w:t>
            </w:r>
          </w:p>
        </w:tc>
        <w:tc>
          <w:tcPr>
            <w:tcW w:w="2980" w:type="dxa"/>
            <w:vAlign w:val="bottom"/>
          </w:tcPr>
          <w:p>
            <w:pPr>
              <w:spacing w:after="0"/>
              <w:rPr>
                <w:sz w:val="21"/>
                <w:szCs w:val="21"/>
                <w:color w:val="auto"/>
              </w:rPr>
            </w:pPr>
          </w:p>
        </w:tc>
        <w:tc>
          <w:tcPr>
            <w:tcW w:w="260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Dimiter Todorov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937-644-0011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_________________________________</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180" w:right="3180" w:hanging="172"/>
        <w:spacing w:after="0" w:line="277"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43" w:lineRule="exact"/>
        <w:rPr>
          <w:sz w:val="20"/>
          <w:szCs w:val="20"/>
          <w:color w:val="auto"/>
        </w:rPr>
      </w:pPr>
    </w:p>
    <w:p>
      <w:pPr>
        <w:ind w:right="220" w:firstLine="405"/>
        <w:spacing w:after="0" w:line="291" w:lineRule="auto"/>
        <w:rPr>
          <w:sz w:val="20"/>
          <w:szCs w:val="20"/>
          <w:color w:val="auto"/>
        </w:rPr>
      </w:pPr>
      <w:r>
        <w:rPr>
          <w:rFonts w:ascii="Arial" w:cs="Arial" w:eastAsia="Arial" w:hAnsi="Arial"/>
          <w:sz w:val="17"/>
          <w:szCs w:val="17"/>
          <w:color w:val="auto"/>
        </w:rPr>
        <w:t>The Scotts Miracle-Gro Company (including its consolidated subsidiaries, the “Company”) is filing this Form SD pursuant to Rule 13p-1 under the Securities Exchange Act of 1934, as amended, for the reporting period from January 1, 2022 to December 31, 2022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74" w:lineRule="exact"/>
        <w:rPr>
          <w:sz w:val="20"/>
          <w:szCs w:val="20"/>
          <w:color w:val="auto"/>
        </w:rPr>
      </w:pPr>
    </w:p>
    <w:p>
      <w:pPr>
        <w:ind w:right="320" w:firstLine="441"/>
        <w:spacing w:after="0" w:line="259"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(b) cassiterite, (c) gold and (d) wolframite, or their derivatives, which are currently limited to tantalum, tin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87" w:lineRule="exact"/>
        <w:rPr>
          <w:sz w:val="20"/>
          <w:szCs w:val="20"/>
          <w:color w:val="auto"/>
        </w:rPr>
      </w:pPr>
    </w:p>
    <w:p>
      <w:pPr>
        <w:ind w:right="360" w:firstLine="441"/>
        <w:spacing w:after="0" w:line="261" w:lineRule="auto"/>
        <w:rPr>
          <w:sz w:val="20"/>
          <w:szCs w:val="20"/>
          <w:color w:val="auto"/>
        </w:rPr>
      </w:pPr>
      <w:r>
        <w:rPr>
          <w:rFonts w:ascii="Arial" w:cs="Arial" w:eastAsia="Arial" w:hAnsi="Arial"/>
          <w:sz w:val="18"/>
          <w:szCs w:val="18"/>
          <w:color w:val="auto"/>
        </w:rPr>
        <w:t>During the Reporting Period, the Company manufactured or contracted to manufacture, products for which conflict minerals are necessary to the functionality or production of those products (collectively, the “</w:t>
      </w:r>
      <w:r>
        <w:rPr>
          <w:rFonts w:ascii="Arial" w:cs="Arial" w:eastAsia="Arial" w:hAnsi="Arial"/>
          <w:sz w:val="18"/>
          <w:szCs w:val="18"/>
          <w:b w:val="1"/>
          <w:bCs w:val="1"/>
          <w:i w:val="1"/>
          <w:iCs w:val="1"/>
          <w:color w:val="auto"/>
        </w:rPr>
        <w:t>products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239" w:lineRule="exact"/>
        <w:rPr>
          <w:sz w:val="20"/>
          <w:szCs w:val="20"/>
          <w:color w:val="auto"/>
        </w:rPr>
      </w:pPr>
    </w:p>
    <w:p>
      <w:pPr>
        <w:ind w:firstLine="441"/>
        <w:spacing w:after="0" w:line="243" w:lineRule="auto"/>
        <w:rPr>
          <w:sz w:val="20"/>
          <w:szCs w:val="20"/>
          <w:color w:val="auto"/>
        </w:rPr>
      </w:pPr>
      <w:r>
        <w:rPr>
          <w:rFonts w:ascii="Arial" w:cs="Arial" w:eastAsia="Arial" w:hAnsi="Arial"/>
          <w:sz w:val="18"/>
          <w:szCs w:val="18"/>
          <w:color w:val="auto"/>
        </w:rPr>
        <w:t>As required by Form SD, the Company has conducted a good faith reasonable country of origin inquiry (“</w:t>
      </w:r>
      <w:r>
        <w:rPr>
          <w:rFonts w:ascii="Arial" w:cs="Arial" w:eastAsia="Arial" w:hAnsi="Arial"/>
          <w:sz w:val="18"/>
          <w:szCs w:val="18"/>
          <w:b w:val="1"/>
          <w:bCs w:val="1"/>
          <w:i w:val="1"/>
          <w:iCs w:val="1"/>
          <w:color w:val="auto"/>
        </w:rPr>
        <w:t>RCOI</w:t>
      </w:r>
      <w:r>
        <w:rPr>
          <w:rFonts w:ascii="Arial" w:cs="Arial" w:eastAsia="Arial" w:hAnsi="Arial"/>
          <w:sz w:val="18"/>
          <w:szCs w:val="18"/>
          <w:color w:val="auto"/>
        </w:rPr>
        <w:t>”) regarding the conflict minerals included in its products during the Reporting Period, which the Company refers to as the “</w:t>
      </w:r>
      <w:r>
        <w:rPr>
          <w:rFonts w:ascii="Arial" w:cs="Arial" w:eastAsia="Arial" w:hAnsi="Arial"/>
          <w:sz w:val="18"/>
          <w:szCs w:val="18"/>
          <w:b w:val="1"/>
          <w:bCs w:val="1"/>
          <w:i w:val="1"/>
          <w:iCs w:val="1"/>
          <w:color w:val="auto"/>
        </w:rPr>
        <w:t>Subject Minerals</w:t>
      </w:r>
      <w:r>
        <w:rPr>
          <w:rFonts w:ascii="Arial" w:cs="Arial" w:eastAsia="Arial" w:hAnsi="Arial"/>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Company’s RCOI regarding the Subject Minerals is set out below.</w:t>
      </w:r>
    </w:p>
    <w:p>
      <w:pPr>
        <w:spacing w:after="0" w:line="239" w:lineRule="exact"/>
        <w:rPr>
          <w:sz w:val="20"/>
          <w:szCs w:val="20"/>
          <w:color w:val="auto"/>
        </w:rPr>
      </w:pPr>
    </w:p>
    <w:p>
      <w:pPr>
        <w:ind w:right="40" w:firstLine="441"/>
        <w:spacing w:after="0" w:line="241"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203" w:lineRule="exact"/>
        <w:rPr>
          <w:sz w:val="20"/>
          <w:szCs w:val="20"/>
          <w:color w:val="auto"/>
        </w:rPr>
      </w:pPr>
    </w:p>
    <w:p>
      <w:pPr>
        <w:ind w:right="80" w:firstLine="441"/>
        <w:spacing w:after="0" w:line="254" w:lineRule="auto"/>
        <w:rPr>
          <w:sz w:val="20"/>
          <w:szCs w:val="20"/>
          <w:color w:val="auto"/>
        </w:rPr>
      </w:pPr>
      <w:r>
        <w:rPr>
          <w:rFonts w:ascii="Arial" w:cs="Arial" w:eastAsia="Arial" w:hAnsi="Arial"/>
          <w:sz w:val="17"/>
          <w:szCs w:val="17"/>
          <w:color w:val="auto"/>
        </w:rPr>
        <w:t>The Company’s research and development, supply chain, legal and compliance departments worked together to search the Company’s Product Life-cycle Management (“</w:t>
      </w:r>
      <w:r>
        <w:rPr>
          <w:rFonts w:ascii="Arial" w:cs="Arial" w:eastAsia="Arial" w:hAnsi="Arial"/>
          <w:sz w:val="17"/>
          <w:szCs w:val="17"/>
          <w:b w:val="1"/>
          <w:bCs w:val="1"/>
          <w:i w:val="1"/>
          <w:iCs w:val="1"/>
          <w:color w:val="auto"/>
        </w:rPr>
        <w:t>PLM</w:t>
      </w:r>
      <w:r>
        <w:rPr>
          <w:rFonts w:ascii="Arial" w:cs="Arial" w:eastAsia="Arial" w:hAnsi="Arial"/>
          <w:sz w:val="17"/>
          <w:szCs w:val="17"/>
          <w:color w:val="auto"/>
        </w:rPr>
        <w:t>”) database to identify where Subject Minerals were used in its products. While no responsive conflict mineral matches were uncovered in this system, the cross functional team recognized that several product lines would not necessarily be identified by PLM as containing Subject Minerals. As a result, the Company identified suppliers of materials for products falling outside the PLM database that contained metallic parts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The Company put in place a survey of the Covered Suppliers to confirm whether the Subject Minerals were contained in these products. The Company inventoried the responses it received from Covered Suppliers and determined that several vendors utilized Subject Minerals originating in the Covered Countries in products it supplied the Company. These materials and products were incorporated into finished goods sold by the Company to its customers.</w:t>
      </w:r>
    </w:p>
    <w:p>
      <w:pPr>
        <w:spacing w:after="0" w:line="208"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The RCOI conducted by the Company identified evidence that the Subject Minerals contained in several of its products during the Reporting Period originated in the Covered Countries.</w:t>
      </w:r>
    </w:p>
    <w:p>
      <w:pPr>
        <w:spacing w:after="0" w:line="198"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As required by Form SD, the disclosure contained in this Form SD regarding the Company’s RCOI is available on the Company’s website located at http://investor.scotts.com.</w:t>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8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THE SCOTTS MIRACLE-GRO COMPANY</w:t>
      </w:r>
    </w:p>
    <w:p>
      <w:pPr>
        <w:spacing w:after="0" w:line="266" w:lineRule="exact"/>
        <w:rPr>
          <w:sz w:val="20"/>
          <w:szCs w:val="20"/>
          <w:color w:val="auto"/>
        </w:rPr>
      </w:pPr>
    </w:p>
    <w:p>
      <w:pPr>
        <w:ind w:left="1380"/>
        <w:spacing w:after="0"/>
        <w:tabs>
          <w:tab w:leader="none" w:pos="5940" w:val="left"/>
        </w:tabs>
        <w:rPr>
          <w:sz w:val="20"/>
          <w:szCs w:val="20"/>
          <w:color w:val="auto"/>
        </w:rPr>
      </w:pPr>
      <w:r>
        <w:rPr>
          <w:rFonts w:ascii="Arial" w:cs="Arial" w:eastAsia="Arial" w:hAnsi="Arial"/>
          <w:sz w:val="18"/>
          <w:szCs w:val="18"/>
          <w:color w:val="auto"/>
        </w:rPr>
        <w:t>Dated: May 23, 2023</w:t>
      </w:r>
      <w:r>
        <w:rPr>
          <w:sz w:val="20"/>
          <w:szCs w:val="20"/>
          <w:color w:val="auto"/>
        </w:rPr>
        <w:tab/>
      </w:r>
      <w:r>
        <w:rPr>
          <w:rFonts w:ascii="Arial" w:cs="Arial" w:eastAsia="Arial" w:hAnsi="Arial"/>
          <w:sz w:val="17"/>
          <w:szCs w:val="17"/>
          <w:color w:val="auto"/>
        </w:rPr>
        <w:t>By: /s/ DIMITER TODOROV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2529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Printed Name: Dimiter Todorov</w:t>
      </w:r>
    </w:p>
    <w:p>
      <w:pPr>
        <w:spacing w:after="0" w:line="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Executive Vice President, General Counsel,</w:t>
      </w:r>
    </w:p>
    <w:p>
      <w:pPr>
        <w:ind w:left="5920"/>
        <w:spacing w:after="0"/>
        <w:rPr>
          <w:sz w:val="20"/>
          <w:szCs w:val="20"/>
          <w:color w:val="auto"/>
        </w:rPr>
      </w:pPr>
      <w:r>
        <w:rPr>
          <w:rFonts w:ascii="Arial" w:cs="Arial" w:eastAsia="Arial" w:hAnsi="Arial"/>
          <w:sz w:val="18"/>
          <w:szCs w:val="18"/>
          <w:color w:val="auto"/>
        </w:rPr>
        <w:t>Corporate Secretary and Chief Compliance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2023-05-23T15:35:52Z</dcterms:created>
  <dcterms:modified xsi:type="dcterms:W3CDTF">2023-05-23T15:35:52Z</dcterms:modified>
</cp:coreProperties>
</file>