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7045960" cy="4681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681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Scheiwer Mark J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4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CFO &amp; CAO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3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06/26/2025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8.769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8.769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64.86</w:t>
            </w:r>
          </w:p>
        </w:tc>
        <w:tc>
          <w:tcPr>
            <w:tcW w:w="9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1,046.907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of phantom stock represents the right to receive one common share of Issuer or the cash value thereof.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phantom stock are payable in cash following termination of the reporting person's employment with Issuer. The reporting person may transfer his/her phantom stock into an alternative investment at any time.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Kathy L. Uttley as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06/30/2025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354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4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Mark J. Scheiwer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12128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830165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2025-06-30T10:49:34Z</dcterms:created>
  <dcterms:modified xsi:type="dcterms:W3CDTF">2025-06-30T10:49:34Z</dcterms:modified>
</cp:coreProperties>
</file>