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The Scotts Miracle-Gro Company</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810186106</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December 31, 2011</w:t>
      </w:r>
    </w:p>
    <w:p>
      <w:pPr>
        <w:ind w:left="13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536"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CUSIP No. 810186106</w:t>
      </w:r>
    </w:p>
    <w:p>
      <w:pPr>
        <w:spacing w:after="0" w:line="200" w:lineRule="exact"/>
        <w:rPr>
          <w:sz w:val="24"/>
          <w:szCs w:val="24"/>
          <w:color w:val="auto"/>
        </w:rPr>
      </w:pPr>
    </w:p>
    <w:p>
      <w:pPr>
        <w:spacing w:after="0" w:line="204" w:lineRule="exact"/>
        <w:rPr>
          <w:sz w:val="24"/>
          <w:szCs w:val="24"/>
          <w:color w:val="auto"/>
        </w:rPr>
      </w:pPr>
    </w:p>
    <w:p>
      <w:pPr>
        <w:ind w:left="1380" w:hanging="635"/>
        <w:spacing w:after="0"/>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w:t>
      </w:r>
    </w:p>
    <w:p>
      <w:pPr>
        <w:spacing w:after="0" w:line="4" w:lineRule="exact"/>
        <w:rPr>
          <w:rFonts w:ascii="Courier New" w:cs="Courier New" w:eastAsia="Courier New" w:hAnsi="Courier New"/>
          <w:sz w:val="18"/>
          <w:szCs w:val="18"/>
          <w:color w:val="auto"/>
        </w:rPr>
      </w:pPr>
    </w:p>
    <w:p>
      <w:pPr>
        <w:ind w:left="1380" w:right="441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I.R.S. Identification Nos. of above person Independent Franchise Partners, LLP</w:t>
      </w:r>
    </w:p>
    <w:p>
      <w:pPr>
        <w:ind w:left="1380" w:hanging="635"/>
        <w:spacing w:after="0"/>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6" w:lineRule="exact"/>
        <w:rPr>
          <w:rFonts w:ascii="Courier New" w:cs="Courier New" w:eastAsia="Courier New" w:hAnsi="Courier New"/>
          <w:sz w:val="18"/>
          <w:szCs w:val="18"/>
          <w:color w:val="auto"/>
        </w:rPr>
      </w:pPr>
    </w:p>
    <w:p>
      <w:pPr>
        <w:jc w:val="both"/>
        <w:ind w:left="1380" w:right="80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(a) [ ] (b)</w:t>
      </w:r>
    </w:p>
    <w:p>
      <w:pPr>
        <w:spacing w:after="0" w:line="164"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1380" w:right="5059" w:hanging="635"/>
        <w:spacing w:after="0" w:line="470" w:lineRule="auto"/>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Kingdom</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368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 3,290,909</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480" w:type="dxa"/>
            <w:vAlign w:val="bottom"/>
          </w:tcPr>
          <w:p>
            <w:pPr>
              <w:spacing w:after="0"/>
              <w:rPr>
                <w:sz w:val="17"/>
                <w:szCs w:val="17"/>
                <w:color w:val="auto"/>
              </w:rPr>
            </w:pPr>
          </w:p>
        </w:tc>
        <w:tc>
          <w:tcPr>
            <w:tcW w:w="3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 123,172</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tcPr>
          <w:p>
            <w:pPr>
              <w:spacing w:after="0"/>
              <w:rPr>
                <w:sz w:val="17"/>
                <w:szCs w:val="17"/>
                <w:color w:val="auto"/>
              </w:rPr>
            </w:pPr>
          </w:p>
        </w:tc>
        <w:tc>
          <w:tcPr>
            <w:tcW w:w="3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Sole Dispositive Power:  3,414,081</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480" w:type="dxa"/>
            <w:vAlign w:val="bottom"/>
          </w:tcPr>
          <w:p>
            <w:pPr>
              <w:spacing w:after="0"/>
              <w:rPr>
                <w:sz w:val="17"/>
                <w:szCs w:val="17"/>
                <w:color w:val="auto"/>
              </w:rPr>
            </w:pPr>
          </w:p>
        </w:tc>
        <w:tc>
          <w:tcPr>
            <w:tcW w:w="3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 0</w:t>
            </w:r>
          </w:p>
        </w:tc>
      </w:tr>
    </w:tbl>
    <w:p>
      <w:pPr>
        <w:spacing w:after="0" w:line="207" w:lineRule="exact"/>
        <w:rPr>
          <w:sz w:val="24"/>
          <w:szCs w:val="24"/>
          <w:color w:val="auto"/>
        </w:rPr>
      </w:pPr>
    </w:p>
    <w:p>
      <w:pPr>
        <w:ind w:left="1380" w:right="2519" w:hanging="635"/>
        <w:spacing w:after="0" w:line="470"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3,414,081</w:t>
      </w:r>
    </w:p>
    <w:p>
      <w:pPr>
        <w:spacing w:after="0" w:line="6"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6" w:lineRule="exact"/>
        <w:rPr>
          <w:rFonts w:ascii="Courier New" w:cs="Courier New" w:eastAsia="Courier New" w:hAnsi="Courier New"/>
          <w:sz w:val="18"/>
          <w:szCs w:val="18"/>
          <w:color w:val="auto"/>
        </w:rPr>
      </w:pPr>
    </w:p>
    <w:p>
      <w:pPr>
        <w:ind w:left="1380" w:right="3679" w:hanging="635"/>
        <w:spacing w:after="0" w:line="470"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5.60%</w:t>
      </w:r>
    </w:p>
    <w:p>
      <w:pPr>
        <w:spacing w:after="0" w:line="6"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ectPr>
          <w:pgSz w:w="11900" w:h="16855" w:orient="portrait"/>
          <w:cols w:equalWidth="0" w:num="1">
            <w:col w:w="10219"/>
          </w:cols>
          <w:pgMar w:left="240" w:top="244" w:right="1440" w:bottom="0" w:gutter="0" w:footer="0" w:header="0"/>
        </w:sectPr>
      </w:pPr>
    </w:p>
    <w:bookmarkStart w:id="1" w:name="page2"/>
    <w:bookmarkEnd w:id="1"/>
    <w:p>
      <w:pPr>
        <w:ind w:left="138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 (a)</w:t>
      </w:r>
      <w:r>
        <w:rPr>
          <w:sz w:val="20"/>
          <w:szCs w:val="20"/>
          <w:color w:val="auto"/>
        </w:rPr>
        <w:tab/>
      </w:r>
      <w:r>
        <w:rPr>
          <w:rFonts w:ascii="Courier New" w:cs="Courier New" w:eastAsia="Courier New" w:hAnsi="Courier New"/>
          <w:sz w:val="16"/>
          <w:szCs w:val="16"/>
          <w:color w:val="auto"/>
        </w:rPr>
        <w:t>Name of Issuer: The Scotts Miracle-Gro Company</w:t>
      </w:r>
    </w:p>
    <w:p>
      <w:pPr>
        <w:spacing w:after="0" w:line="201" w:lineRule="exact"/>
        <w:rPr>
          <w:sz w:val="20"/>
          <w:szCs w:val="20"/>
          <w:color w:val="auto"/>
        </w:rPr>
      </w:pPr>
    </w:p>
    <w:p>
      <w:pPr>
        <w:ind w:left="1380" w:hanging="529"/>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1380" w:right="6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14111 Scottslawn Road Marysville, Ohio 43041</w:t>
      </w:r>
    </w:p>
    <w:p>
      <w:pPr>
        <w:spacing w:after="0" w:line="16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Independent Franchise Partners, LLP</w:t>
      </w:r>
    </w:p>
    <w:p>
      <w:pPr>
        <w:spacing w:after="0" w:line="201" w:lineRule="exact"/>
        <w:rPr>
          <w:sz w:val="20"/>
          <w:szCs w:val="20"/>
          <w:color w:val="auto"/>
        </w:rPr>
      </w:pPr>
    </w:p>
    <w:p>
      <w:pPr>
        <w:ind w:left="1380" w:hanging="529"/>
        <w:spacing w:after="0"/>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Offices:</w:t>
      </w:r>
    </w:p>
    <w:p>
      <w:pPr>
        <w:spacing w:after="0" w:line="206" w:lineRule="exact"/>
        <w:rPr>
          <w:rFonts w:ascii="Courier New" w:cs="Courier New" w:eastAsia="Courier New" w:hAnsi="Courier New"/>
          <w:sz w:val="18"/>
          <w:szCs w:val="18"/>
          <w:color w:val="auto"/>
        </w:rPr>
      </w:pPr>
    </w:p>
    <w:p>
      <w:pPr>
        <w:ind w:left="1380" w:right="68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 Balderton Street London, W1K 6TL United Kingdom</w:t>
      </w: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refer to Item 4 on each cover sheet for each filing person</w:t>
      </w:r>
    </w:p>
    <w:p>
      <w:pPr>
        <w:spacing w:after="0" w:line="206" w:lineRule="exact"/>
        <w:rPr>
          <w:rFonts w:ascii="Courier New" w:cs="Courier New" w:eastAsia="Courier New" w:hAnsi="Courier New"/>
          <w:sz w:val="18"/>
          <w:szCs w:val="18"/>
          <w:color w:val="auto"/>
        </w:rPr>
      </w:pPr>
    </w:p>
    <w:p>
      <w:pPr>
        <w:ind w:left="1380" w:right="5899" w:hanging="529"/>
        <w:spacing w:after="0" w:line="470"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6"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810186106</w:t>
      </w:r>
    </w:p>
    <w:p>
      <w:pPr>
        <w:spacing w:after="0" w:line="207" w:lineRule="exact"/>
        <w:rPr>
          <w:sz w:val="20"/>
          <w:szCs w:val="20"/>
          <w:color w:val="auto"/>
        </w:rPr>
      </w:pPr>
    </w:p>
    <w:p>
      <w:pPr>
        <w:ind w:left="860" w:right="209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Item 3.</w:t>
        <w:tab/>
        <w:t>If This Statement is Filed Pursuant to Rule 13d-1(b), or 13d-2(b) or (c), Check Whether the Person Filing is a:</w:t>
      </w:r>
    </w:p>
    <w:p>
      <w:pPr>
        <w:spacing w:after="0" w:line="203" w:lineRule="exact"/>
        <w:rPr>
          <w:sz w:val="20"/>
          <w:szCs w:val="20"/>
          <w:color w:val="auto"/>
        </w:rPr>
      </w:pPr>
    </w:p>
    <w:p>
      <w:pPr>
        <w:ind w:left="1380" w:hanging="529"/>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800" w:right="2939" w:hanging="949"/>
        <w:spacing w:after="0" w:line="235" w:lineRule="auto"/>
        <w:tabs>
          <w:tab w:leader="none" w:pos="137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An investment adviser in accordance with Rule 13d-1(b)(1)(ii)(E);</w:t>
      </w:r>
    </w:p>
    <w:p>
      <w:pPr>
        <w:spacing w:after="0" w:line="223" w:lineRule="exact"/>
        <w:rPr>
          <w:rFonts w:ascii="Courier New" w:cs="Courier New" w:eastAsia="Courier New" w:hAnsi="Courier New"/>
          <w:sz w:val="16"/>
          <w:szCs w:val="16"/>
          <w:color w:val="auto"/>
        </w:rPr>
      </w:pPr>
    </w:p>
    <w:p>
      <w:pPr>
        <w:ind w:left="1800" w:right="1999" w:hanging="949"/>
        <w:spacing w:after="0" w:line="235" w:lineRule="auto"/>
        <w:tabs>
          <w:tab w:leader="none" w:pos="137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800" w:right="1999" w:hanging="949"/>
        <w:spacing w:after="0" w:line="235" w:lineRule="auto"/>
        <w:tabs>
          <w:tab w:leader="none" w:pos="137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2"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w:t>
      </w:r>
    </w:p>
    <w:p>
      <w:pPr>
        <w:ind w:left="1800"/>
        <w:spacing w:after="0" w:line="238" w:lineRule="auto"/>
        <w:rPr>
          <w:sz w:val="20"/>
          <w:szCs w:val="20"/>
          <w:color w:val="auto"/>
        </w:rPr>
      </w:pPr>
      <w:r>
        <w:rPr>
          <w:rFonts w:ascii="Courier New" w:cs="Courier New" w:eastAsia="Courier New" w:hAnsi="Courier New"/>
          <w:sz w:val="18"/>
          <w:szCs w:val="18"/>
          <w:color w:val="auto"/>
        </w:rPr>
        <w:t>Federal Deposit Insurance Act (12 U.S.C. 1813);</w:t>
      </w:r>
    </w:p>
    <w:p>
      <w:pPr>
        <w:spacing w:after="0" w:line="207" w:lineRule="exact"/>
        <w:rPr>
          <w:sz w:val="20"/>
          <w:szCs w:val="20"/>
          <w:color w:val="auto"/>
        </w:rPr>
      </w:pPr>
    </w:p>
    <w:p>
      <w:pPr>
        <w:ind w:left="1800" w:right="2199" w:hanging="949"/>
        <w:spacing w:after="0" w:line="236" w:lineRule="auto"/>
        <w:tabs>
          <w:tab w:leader="none" w:pos="137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8"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 non-U.S. institution in accordance with Rule 13d-1(b)(1)(ii)(J);</w:t>
      </w:r>
    </w:p>
    <w:p>
      <w:pPr>
        <w:spacing w:after="0" w:line="218" w:lineRule="exact"/>
        <w:rPr>
          <w:rFonts w:ascii="Courier New" w:cs="Courier New" w:eastAsia="Courier New" w:hAnsi="Courier New"/>
          <w:sz w:val="16"/>
          <w:szCs w:val="16"/>
          <w:color w:val="auto"/>
        </w:rPr>
      </w:pPr>
    </w:p>
    <w:p>
      <w:pPr>
        <w:ind w:left="1380" w:hanging="529"/>
        <w:spacing w:after="0"/>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13d-1(b)(1)(ii)(K).</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960" w:right="3159"/>
        <w:spacing w:after="0" w:line="235" w:lineRule="auto"/>
        <w:rPr>
          <w:sz w:val="20"/>
          <w:szCs w:val="20"/>
          <w:color w:val="auto"/>
        </w:rPr>
      </w:pPr>
      <w:r>
        <w:rPr>
          <w:rFonts w:ascii="Courier New" w:cs="Courier New" w:eastAsia="Courier New" w:hAnsi="Courier New"/>
          <w:sz w:val="18"/>
          <w:szCs w:val="18"/>
          <w:color w:val="auto"/>
        </w:rPr>
        <w:t>Please see Items 5 - 9 and 11 on each cover sheet for each Reporting Person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ectPr>
          <w:pgSz w:w="11900" w:h="16838" w:orient="portrait"/>
          <w:cols w:equalWidth="0" w:num="1">
            <w:col w:w="10219"/>
          </w:cols>
          <w:pgMar w:left="240" w:top="339" w:right="1440" w:bottom="0" w:gutter="0" w:footer="0" w:header="0"/>
        </w:sectPr>
      </w:pPr>
    </w:p>
    <w:bookmarkStart w:id="2" w:name="page3"/>
    <w:bookmarkEnd w:id="2"/>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7, 2012</w:t>
      </w:r>
    </w:p>
    <w:p>
      <w:pPr>
        <w:ind w:left="4120"/>
        <w:spacing w:after="0" w:line="238" w:lineRule="auto"/>
        <w:rPr>
          <w:sz w:val="20"/>
          <w:szCs w:val="20"/>
          <w:color w:val="auto"/>
        </w:rPr>
      </w:pPr>
      <w:r>
        <w:rPr>
          <w:rFonts w:ascii="Courier New" w:cs="Courier New" w:eastAsia="Courier New" w:hAnsi="Courier New"/>
          <w:sz w:val="18"/>
          <w:szCs w:val="18"/>
          <w:color w:val="auto"/>
        </w:rPr>
        <w:t>Independent Franchise Partners, LLP</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John Kelly-Jones</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Name: John Kelly-Jones</w:t>
      </w:r>
    </w:p>
    <w:p>
      <w:pPr>
        <w:ind w:left="4120"/>
        <w:spacing w:after="0" w:line="237" w:lineRule="auto"/>
        <w:rPr>
          <w:sz w:val="20"/>
          <w:szCs w:val="20"/>
          <w:color w:val="auto"/>
        </w:rPr>
      </w:pPr>
      <w:r>
        <w:rPr>
          <w:rFonts w:ascii="Courier New" w:cs="Courier New" w:eastAsia="Courier New" w:hAnsi="Courier New"/>
          <w:sz w:val="18"/>
          <w:szCs w:val="18"/>
          <w:color w:val="auto"/>
        </w:rPr>
        <w:t>Title: Chief Operating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9"/>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2019-12-09T15:26:01Z</dcterms:created>
  <dcterms:modified xsi:type="dcterms:W3CDTF">2019-12-09T15:26:01Z</dcterms:modified>
</cp:coreProperties>
</file>