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53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SANDERS BARRY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EVP Global Tech and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80" w:type="dxa"/>
            <w:vAlign w:val="bottom"/>
          </w:tcPr>
          <w:p>
            <w:pPr>
              <w:ind w:left="640"/>
              <w:spacing w:after="0"/>
              <w:rPr>
                <w:sz w:val="20"/>
                <w:szCs w:val="20"/>
                <w:color w:val="auto"/>
              </w:rPr>
            </w:pPr>
            <w:r>
              <w:rPr>
                <w:rFonts w:ascii="Arial" w:cs="Arial" w:eastAsia="Arial" w:hAnsi="Arial"/>
                <w:sz w:val="18"/>
                <w:szCs w:val="18"/>
                <w:color w:val="0000FF"/>
              </w:rPr>
              <w:t>7,500</w:t>
            </w:r>
          </w:p>
        </w:tc>
        <w:tc>
          <w:tcPr>
            <w:tcW w:w="860" w:type="dxa"/>
            <w:vAlign w:val="bottom"/>
          </w:tcPr>
          <w:p>
            <w:pPr>
              <w:jc w:val="right"/>
              <w:ind w:right="41"/>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8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center"/>
              <w:ind w:left="611"/>
              <w:spacing w:after="0"/>
              <w:rPr>
                <w:sz w:val="20"/>
                <w:szCs w:val="20"/>
                <w:color w:val="auto"/>
              </w:rPr>
            </w:pPr>
            <w:r>
              <w:rPr>
                <w:rFonts w:ascii="Arial" w:cs="Arial" w:eastAsia="Arial" w:hAnsi="Arial"/>
                <w:sz w:val="14"/>
                <w:szCs w:val="14"/>
                <w:color w:val="0000FF"/>
                <w:w w:val="88"/>
              </w:rPr>
              <w:t>11/07/2005</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11/06/2012</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23.925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w:t>
            </w:r>
          </w:p>
        </w:tc>
        <w:tc>
          <w:tcPr>
            <w:tcW w:w="1580" w:type="dxa"/>
            <w:vAlign w:val="bottom"/>
            <w:gridSpan w:val="2"/>
          </w:tcPr>
          <w:p>
            <w:pPr>
              <w:jc w:val="center"/>
              <w:ind w:left="611"/>
              <w:spacing w:after="0"/>
              <w:rPr>
                <w:sz w:val="20"/>
                <w:szCs w:val="20"/>
                <w:color w:val="auto"/>
              </w:rPr>
            </w:pPr>
            <w:r>
              <w:rPr>
                <w:rFonts w:ascii="Arial" w:cs="Arial" w:eastAsia="Arial" w:hAnsi="Arial"/>
                <w:sz w:val="14"/>
                <w:szCs w:val="14"/>
                <w:color w:val="0000FF"/>
                <w:w w:val="88"/>
              </w:rPr>
              <w:t>11/19/2006</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11/18/2013</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24,000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29.08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center"/>
              <w:ind w:left="611"/>
              <w:spacing w:after="0"/>
              <w:rPr>
                <w:sz w:val="20"/>
                <w:szCs w:val="20"/>
                <w:color w:val="auto"/>
              </w:rPr>
            </w:pPr>
            <w:r>
              <w:rPr>
                <w:rFonts w:ascii="Arial" w:cs="Arial" w:eastAsia="Arial" w:hAnsi="Arial"/>
                <w:sz w:val="14"/>
                <w:szCs w:val="14"/>
                <w:color w:val="0000FF"/>
                <w:w w:val="88"/>
              </w:rPr>
              <w:t>12/01/2007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12/01/2014</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34.5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center"/>
              <w:ind w:left="611"/>
              <w:spacing w:after="0"/>
              <w:rPr>
                <w:sz w:val="20"/>
                <w:szCs w:val="20"/>
                <w:color w:val="auto"/>
              </w:rPr>
            </w:pPr>
            <w:r>
              <w:rPr>
                <w:rFonts w:ascii="Arial" w:cs="Arial" w:eastAsia="Arial" w:hAnsi="Arial"/>
                <w:sz w:val="14"/>
                <w:szCs w:val="14"/>
                <w:color w:val="0000FF"/>
                <w:w w:val="88"/>
              </w:rPr>
              <w:t>10/12/2008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10/12/2015</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22,600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42.505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Shares</w:t>
            </w:r>
          </w:p>
        </w:tc>
        <w:tc>
          <w:tcPr>
            <w:tcW w:w="1580" w:type="dxa"/>
            <w:vAlign w:val="bottom"/>
            <w:gridSpan w:val="2"/>
          </w:tcPr>
          <w:p>
            <w:pPr>
              <w:jc w:val="center"/>
              <w:ind w:left="611"/>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04/01/2007</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10,000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center"/>
              <w:ind w:left="611"/>
              <w:spacing w:after="0"/>
              <w:rPr>
                <w:sz w:val="20"/>
                <w:szCs w:val="20"/>
                <w:color w:val="auto"/>
              </w:rPr>
            </w:pPr>
            <w:r>
              <w:rPr>
                <w:rFonts w:ascii="Arial" w:cs="Arial" w:eastAsia="Arial" w:hAnsi="Arial"/>
                <w:sz w:val="14"/>
                <w:szCs w:val="14"/>
                <w:color w:val="0000FF"/>
                <w:w w:val="88"/>
              </w:rPr>
              <w:t>10/11/2009</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10/11/2016</w:t>
            </w:r>
          </w:p>
        </w:tc>
        <w:tc>
          <w:tcPr>
            <w:tcW w:w="1880" w:type="dxa"/>
            <w:vAlign w:val="bottom"/>
          </w:tcPr>
          <w:p>
            <w:pPr>
              <w:ind w:left="440"/>
              <w:spacing w:after="0"/>
              <w:rPr>
                <w:sz w:val="20"/>
                <w:szCs w:val="20"/>
                <w:color w:val="auto"/>
              </w:rPr>
            </w:pPr>
            <w:r>
              <w:rPr>
                <w:rFonts w:ascii="Arial" w:cs="Arial" w:eastAsia="Arial" w:hAnsi="Arial"/>
                <w:sz w:val="18"/>
                <w:szCs w:val="18"/>
                <w:color w:val="0000FF"/>
              </w:rPr>
              <w:t>Common Shares</w:t>
            </w:r>
          </w:p>
        </w:tc>
        <w:tc>
          <w:tcPr>
            <w:tcW w:w="860" w:type="dxa"/>
            <w:vAlign w:val="bottom"/>
          </w:tcPr>
          <w:p>
            <w:pPr>
              <w:jc w:val="right"/>
              <w:ind w:right="21"/>
              <w:spacing w:after="0"/>
              <w:rPr>
                <w:sz w:val="20"/>
                <w:szCs w:val="20"/>
                <w:color w:val="auto"/>
              </w:rPr>
            </w:pPr>
            <w:r>
              <w:rPr>
                <w:rFonts w:ascii="Arial" w:cs="Arial" w:eastAsia="Arial" w:hAnsi="Arial"/>
                <w:sz w:val="18"/>
                <w:szCs w:val="18"/>
                <w:color w:val="0000FF"/>
              </w:rPr>
              <w:t>13,000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performance share represents a contingent right to receive one common share of The Scotts Miracle-Gro Company. The performance shares will vest on April 1, 2007 if Mr. Sanders has established FY06 and FY07 strategic goals and metrics for his Business Unit.</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01/31/2007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officer and/or director of The Scotts Miracle-Gro Company (the "Company"), hereby constitutes and appoints each of David M. Aronowitz, Andrew B. Coogle and Kathy L. Uttley, signing singly, the undersigned's true and lawful attorney-in-fact to:</w:t>
      </w:r>
    </w:p>
    <w:p>
      <w:pPr>
        <w:spacing w:after="0" w:line="209" w:lineRule="exact"/>
        <w:rPr>
          <w:sz w:val="20"/>
          <w:szCs w:val="20"/>
          <w:color w:val="auto"/>
        </w:rPr>
      </w:pPr>
    </w:p>
    <w:p>
      <w:pPr>
        <w:ind w:right="241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January, 2007.</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88328"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2019-12-23T22:41:58Z</dcterms:created>
  <dcterms:modified xsi:type="dcterms:W3CDTF">2019-12-23T22:41:58Z</dcterms:modified>
</cp:coreProperties>
</file>