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6"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FORM 10-Q</w:t>
      </w:r>
    </w:p>
    <w:p>
      <w:pPr>
        <w:spacing w:after="0" w:line="201"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 C. 20549</w:t>
      </w:r>
    </w:p>
    <w:p>
      <w:pPr>
        <w:spacing w:after="0" w:line="169" w:lineRule="exact"/>
        <w:rPr>
          <w:sz w:val="24"/>
          <w:szCs w:val="24"/>
          <w:color w:val="auto"/>
        </w:rPr>
      </w:pPr>
    </w:p>
    <w:p>
      <w:pPr>
        <w:ind w:left="1900" w:hanging="417"/>
        <w:spacing w:after="0"/>
        <w:tabs>
          <w:tab w:leader="none" w:pos="19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w:t>
      </w:r>
    </w:p>
    <w:p>
      <w:pPr>
        <w:spacing w:after="0" w:line="30" w:lineRule="exact"/>
        <w:rPr>
          <w:rFonts w:ascii="Courier New" w:cs="Courier New" w:eastAsia="Courier New" w:hAnsi="Courier New"/>
          <w:sz w:val="18"/>
          <w:szCs w:val="18"/>
          <w:color w:val="auto"/>
        </w:rPr>
      </w:pPr>
    </w:p>
    <w:p>
      <w:pPr>
        <w:ind w:left="2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OF THE SECURITIES EXCHANGE ACT OF 1934</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quarterly period ended December 28, 1996</w:t>
      </w:r>
    </w:p>
    <w:p>
      <w:pPr>
        <w:spacing w:after="0" w:line="20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4"/>
          <w:szCs w:val="24"/>
          <w:color w:val="auto"/>
        </w:rPr>
      </w:pPr>
    </w:p>
    <w:p>
      <w:pPr>
        <w:ind w:left="1700" w:hanging="217"/>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w:t>
      </w:r>
    </w:p>
    <w:p>
      <w:pPr>
        <w:spacing w:after="0" w:line="30" w:lineRule="exact"/>
        <w:rPr>
          <w:rFonts w:ascii="Courier New" w:cs="Courier New" w:eastAsia="Courier New" w:hAnsi="Courier New"/>
          <w:sz w:val="18"/>
          <w:szCs w:val="18"/>
          <w:color w:val="auto"/>
        </w:rPr>
      </w:pPr>
    </w:p>
    <w:p>
      <w:pPr>
        <w:ind w:left="2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OF THE SECURITIES EXCHANGE ACT OF 1934</w:t>
      </w:r>
    </w:p>
    <w:p>
      <w:pPr>
        <w:spacing w:after="0" w:line="169"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For the transition period from ____________ to ____________</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Commission file number 1-11593</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SCOTTS COMPANY</w:t>
      </w:r>
    </w:p>
    <w:p>
      <w:pPr>
        <w:spacing w:after="0" w:line="29"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_____________________________________________________________</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168" w:lineRule="exact"/>
        <w:rPr>
          <w:sz w:val="24"/>
          <w:szCs w:val="24"/>
          <w:color w:val="auto"/>
        </w:rPr>
      </w:pPr>
    </w:p>
    <w:tbl>
      <w:tblPr>
        <w:tblLayout w:type="fixed"/>
        <w:tblInd w:w="120" w:type="dxa"/>
        <w:tblCellMar>
          <w:top w:w="0" w:type="dxa"/>
          <w:left w:w="0" w:type="dxa"/>
          <w:bottom w:w="0" w:type="dxa"/>
          <w:right w:w="0" w:type="dxa"/>
        </w:tblCellMar>
      </w:tblPr>
      <w:tr>
        <w:trPr>
          <w:trHeight w:val="204"/>
        </w:trPr>
        <w:tc>
          <w:tcPr>
            <w:tcW w:w="3900" w:type="dxa"/>
            <w:vAlign w:val="bottom"/>
          </w:tcPr>
          <w:p>
            <w:pPr>
              <w:jc w:val="right"/>
              <w:ind w:right="2032"/>
              <w:spacing w:after="0"/>
              <w:rPr>
                <w:sz w:val="20"/>
                <w:szCs w:val="20"/>
                <w:color w:val="auto"/>
              </w:rPr>
            </w:pPr>
            <w:r>
              <w:rPr>
                <w:rFonts w:ascii="Courier New" w:cs="Courier New" w:eastAsia="Courier New" w:hAnsi="Courier New"/>
                <w:sz w:val="18"/>
                <w:szCs w:val="18"/>
                <w:color w:val="auto"/>
              </w:rPr>
              <w:t>OHIO</w:t>
            </w:r>
          </w:p>
        </w:tc>
        <w:tc>
          <w:tcPr>
            <w:tcW w:w="4420" w:type="dxa"/>
            <w:vAlign w:val="bottom"/>
          </w:tcPr>
          <w:p>
            <w:pPr>
              <w:jc w:val="right"/>
              <w:ind w:right="1292"/>
              <w:spacing w:after="0"/>
              <w:rPr>
                <w:sz w:val="20"/>
                <w:szCs w:val="20"/>
                <w:color w:val="auto"/>
              </w:rPr>
            </w:pPr>
            <w:r>
              <w:rPr>
                <w:rFonts w:ascii="Courier New" w:cs="Courier New" w:eastAsia="Courier New" w:hAnsi="Courier New"/>
                <w:sz w:val="18"/>
                <w:szCs w:val="18"/>
                <w:color w:val="auto"/>
              </w:rPr>
              <w:t>31-1199481</w:t>
            </w:r>
          </w:p>
        </w:tc>
      </w:tr>
      <w:tr>
        <w:trPr>
          <w:trHeight w:val="203"/>
        </w:trPr>
        <w:tc>
          <w:tcPr>
            <w:tcW w:w="39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6"/>
              </w:rPr>
              <w:t>_______________________________</w:t>
            </w:r>
          </w:p>
        </w:tc>
        <w:tc>
          <w:tcPr>
            <w:tcW w:w="4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____________________________________</w:t>
            </w:r>
          </w:p>
        </w:tc>
      </w:tr>
      <w:tr>
        <w:trPr>
          <w:trHeight w:val="203"/>
        </w:trPr>
        <w:tc>
          <w:tcPr>
            <w:tcW w:w="39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6"/>
              </w:rPr>
              <w:t>(State or other jurisdiction of</w:t>
            </w:r>
          </w:p>
        </w:tc>
        <w:tc>
          <w:tcPr>
            <w:tcW w:w="442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w w:val="97"/>
              </w:rPr>
              <w:t>(I.R.S. Employer Identification No.)</w:t>
            </w:r>
          </w:p>
        </w:tc>
      </w:tr>
      <w:tr>
        <w:trPr>
          <w:trHeight w:val="296"/>
        </w:trPr>
        <w:tc>
          <w:tcPr>
            <w:tcW w:w="3900" w:type="dxa"/>
            <w:vAlign w:val="bottom"/>
          </w:tcPr>
          <w:p>
            <w:pPr>
              <w:jc w:val="right"/>
              <w:ind w:right="552"/>
              <w:spacing w:after="0"/>
              <w:rPr>
                <w:sz w:val="20"/>
                <w:szCs w:val="20"/>
                <w:color w:val="auto"/>
              </w:rPr>
            </w:pPr>
            <w:r>
              <w:rPr>
                <w:rFonts w:ascii="Courier New" w:cs="Courier New" w:eastAsia="Courier New" w:hAnsi="Courier New"/>
                <w:sz w:val="18"/>
                <w:szCs w:val="18"/>
                <w:color w:val="auto"/>
                <w:w w:val="99"/>
              </w:rPr>
              <w:t>incorporation or organization)</w:t>
            </w:r>
          </w:p>
        </w:tc>
        <w:tc>
          <w:tcPr>
            <w:tcW w:w="4420" w:type="dxa"/>
            <w:vAlign w:val="bottom"/>
          </w:tcPr>
          <w:p>
            <w:pPr>
              <w:spacing w:after="0"/>
              <w:rPr>
                <w:sz w:val="24"/>
                <w:szCs w:val="24"/>
                <w:color w:val="auto"/>
              </w:rPr>
            </w:pPr>
          </w:p>
        </w:tc>
      </w:tr>
    </w:tbl>
    <w:p>
      <w:pPr>
        <w:spacing w:after="0" w:line="109"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14111 Scottslawn Road</w:t>
      </w:r>
    </w:p>
    <w:p>
      <w:pPr>
        <w:spacing w:after="0" w:line="29"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Marysville, Ohio 43041</w:t>
      </w:r>
    </w:p>
    <w:p>
      <w:pPr>
        <w:ind w:left="96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_____________________________________________________________</w:t>
      </w:r>
    </w:p>
    <w:p>
      <w:pPr>
        <w:jc w:val="center"/>
        <w:ind w:right="1779"/>
        <w:spacing w:after="0"/>
        <w:rPr>
          <w:sz w:val="20"/>
          <w:szCs w:val="20"/>
          <w:color w:val="auto"/>
        </w:rPr>
      </w:pPr>
      <w:r>
        <w:rPr>
          <w:rFonts w:ascii="Courier New" w:cs="Courier New" w:eastAsia="Courier New" w:hAnsi="Courier New"/>
          <w:sz w:val="18"/>
          <w:szCs w:val="18"/>
          <w:color w:val="auto"/>
        </w:rPr>
        <w:t>(Address of principal executive offices)</w:t>
      </w:r>
    </w:p>
    <w:p>
      <w:pPr>
        <w:jc w:val="center"/>
        <w:ind w:right="1779"/>
        <w:spacing w:after="0"/>
        <w:rPr>
          <w:sz w:val="20"/>
          <w:szCs w:val="20"/>
          <w:color w:val="auto"/>
        </w:rPr>
      </w:pPr>
      <w:r>
        <w:rPr>
          <w:rFonts w:ascii="Courier New" w:cs="Courier New" w:eastAsia="Courier New" w:hAnsi="Courier New"/>
          <w:sz w:val="18"/>
          <w:szCs w:val="18"/>
          <w:color w:val="auto"/>
        </w:rPr>
        <w:t>(Zip Code)</w:t>
      </w:r>
    </w:p>
    <w:p>
      <w:pPr>
        <w:spacing w:after="0" w:line="169" w:lineRule="exact"/>
        <w:rPr>
          <w:sz w:val="24"/>
          <w:szCs w:val="24"/>
          <w:color w:val="auto"/>
        </w:rPr>
      </w:pPr>
    </w:p>
    <w:p>
      <w:pPr>
        <w:ind w:left="4120" w:hanging="636"/>
        <w:spacing w:after="0"/>
        <w:tabs>
          <w:tab w:leader="none" w:pos="41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644-0011</w:t>
      </w:r>
    </w:p>
    <w:p>
      <w:pPr>
        <w:spacing w:after="0" w:line="30" w:lineRule="exact"/>
        <w:rPr>
          <w:rFonts w:ascii="Courier New" w:cs="Courier New" w:eastAsia="Courier New" w:hAnsi="Courier New"/>
          <w:sz w:val="18"/>
          <w:szCs w:val="18"/>
          <w:color w:val="auto"/>
        </w:rPr>
      </w:pP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_____________________________________________________________</w:t>
      </w:r>
    </w:p>
    <w:p>
      <w:pPr>
        <w:ind w:left="14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 number, including area code)</w:t>
      </w:r>
    </w:p>
    <w:p>
      <w:pPr>
        <w:spacing w:after="0" w:line="169"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No Change</w:t>
      </w:r>
    </w:p>
    <w:p>
      <w:pPr>
        <w:spacing w:after="0" w:line="29"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_____________________________________________________________</w:t>
      </w:r>
    </w:p>
    <w:p>
      <w:pPr>
        <w:jc w:val="center"/>
        <w:ind w:right="1679"/>
        <w:spacing w:after="0" w:line="238" w:lineRule="auto"/>
        <w:rPr>
          <w:sz w:val="20"/>
          <w:szCs w:val="20"/>
          <w:color w:val="auto"/>
        </w:rPr>
      </w:pPr>
      <w:r>
        <w:rPr>
          <w:rFonts w:ascii="Courier New" w:cs="Courier New" w:eastAsia="Courier New" w:hAnsi="Courier New"/>
          <w:sz w:val="18"/>
          <w:szCs w:val="18"/>
          <w:color w:val="auto"/>
        </w:rPr>
        <w:t>(Former name, former address and former</w:t>
      </w:r>
    </w:p>
    <w:p>
      <w:pPr>
        <w:jc w:val="center"/>
        <w:ind w:right="1679"/>
        <w:spacing w:after="0"/>
        <w:rPr>
          <w:sz w:val="20"/>
          <w:szCs w:val="20"/>
          <w:color w:val="auto"/>
        </w:rPr>
      </w:pPr>
      <w:r>
        <w:rPr>
          <w:rFonts w:ascii="Courier New" w:cs="Courier New" w:eastAsia="Courier New" w:hAnsi="Courier New"/>
          <w:sz w:val="18"/>
          <w:szCs w:val="18"/>
          <w:color w:val="auto"/>
        </w:rPr>
        <w:t>fiscal year, if changed since last report.)</w:t>
      </w:r>
    </w:p>
    <w:p>
      <w:pPr>
        <w:spacing w:after="0" w:line="169" w:lineRule="exact"/>
        <w:rPr>
          <w:sz w:val="24"/>
          <w:szCs w:val="24"/>
          <w:color w:val="auto"/>
        </w:rPr>
      </w:pPr>
    </w:p>
    <w:p>
      <w:pPr>
        <w:jc w:val="both"/>
        <w:ind w:right="1779"/>
        <w:spacing w:after="0" w:line="260" w:lineRule="auto"/>
        <w:rPr>
          <w:sz w:val="20"/>
          <w:szCs w:val="20"/>
          <w:color w:val="auto"/>
        </w:rPr>
      </w:pPr>
      <w:r>
        <w:rPr>
          <w:rFonts w:ascii="Courier New" w:cs="Courier New" w:eastAsia="Courier New" w:hAnsi="Courier New"/>
          <w:sz w:val="18"/>
          <w:szCs w:val="18"/>
          <w:color w:val="auto"/>
        </w:rPr>
        <w:t>Indicate by check mark whether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985" w:orient="portrait"/>
          <w:cols w:equalWidth="0" w:num="1">
            <w:col w:w="10219"/>
          </w:cols>
          <w:pgMar w:left="240" w:top="623" w:right="1440" w:bottom="0" w:gutter="0" w:footer="0" w:header="0"/>
        </w:sectPr>
      </w:pPr>
    </w:p>
    <w:p>
      <w:pPr>
        <w:spacing w:after="0" w:line="2" w:lineRule="exact"/>
        <w:rPr>
          <w:sz w:val="24"/>
          <w:szCs w:val="24"/>
          <w:color w:val="auto"/>
        </w:rPr>
      </w:pPr>
    </w:p>
    <w:p>
      <w:pPr>
        <w:ind w:left="6120"/>
        <w:spacing w:after="0"/>
        <w:rPr>
          <w:sz w:val="20"/>
          <w:szCs w:val="20"/>
          <w:color w:val="auto"/>
        </w:rPr>
      </w:pPr>
      <w:r>
        <w:rPr>
          <w:rFonts w:ascii="Courier New" w:cs="Courier New" w:eastAsia="Courier New" w:hAnsi="Courier New"/>
          <w:sz w:val="16"/>
          <w:szCs w:val="16"/>
          <w:color w:val="auto"/>
        </w:rPr>
        <w:t>Yes __X__</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No _____</w:t>
      </w:r>
    </w:p>
    <w:p>
      <w:pPr>
        <w:spacing w:after="0" w:line="130" w:lineRule="exact"/>
        <w:rPr>
          <w:sz w:val="24"/>
          <w:szCs w:val="24"/>
          <w:color w:val="auto"/>
        </w:rPr>
      </w:pPr>
    </w:p>
    <w:p>
      <w:pPr>
        <w:sectPr>
          <w:pgSz w:w="11900" w:h="16985" w:orient="portrait"/>
          <w:cols w:equalWidth="0" w:num="2">
            <w:col w:w="7060" w:space="540"/>
            <w:col w:w="2619"/>
          </w:cols>
          <w:pgMar w:left="240" w:top="623" w:right="1440" w:bottom="0" w:gutter="0" w:footer="0" w:header="0"/>
          <w:type w:val="continuous"/>
        </w:sectPr>
      </w:pPr>
    </w:p>
    <w:p>
      <w:pPr>
        <w:spacing w:after="0"/>
        <w:tabs>
          <w:tab w:leader="none" w:pos="3260" w:val="left"/>
          <w:tab w:leader="none" w:pos="4620" w:val="left"/>
        </w:tabs>
        <w:rPr>
          <w:sz w:val="20"/>
          <w:szCs w:val="20"/>
          <w:color w:val="auto"/>
        </w:rPr>
      </w:pPr>
      <w:r>
        <w:rPr>
          <w:rFonts w:ascii="Courier New" w:cs="Courier New" w:eastAsia="Courier New" w:hAnsi="Courier New"/>
          <w:sz w:val="18"/>
          <w:szCs w:val="18"/>
          <w:color w:val="auto"/>
        </w:rPr>
        <w:t>Indicate the number of shares</w:t>
        <w:tab/>
        <w:t>outstanding</w:t>
      </w:r>
      <w:r>
        <w:rPr>
          <w:sz w:val="20"/>
          <w:szCs w:val="20"/>
          <w:color w:val="auto"/>
        </w:rPr>
        <w:tab/>
      </w:r>
      <w:r>
        <w:rPr>
          <w:rFonts w:ascii="Courier New" w:cs="Courier New" w:eastAsia="Courier New" w:hAnsi="Courier New"/>
          <w:sz w:val="16"/>
          <w:szCs w:val="16"/>
          <w:color w:val="auto"/>
        </w:rPr>
        <w:t>of each of the</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Courier New" w:cs="Courier New" w:eastAsia="Courier New" w:hAnsi="Courier New"/>
          <w:sz w:val="16"/>
          <w:szCs w:val="16"/>
          <w:color w:val="auto"/>
        </w:rPr>
        <w:t>issuer's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classes of</w:t>
      </w:r>
    </w:p>
    <w:p>
      <w:pPr>
        <w:spacing w:after="0" w:line="114" w:lineRule="exact"/>
        <w:rPr>
          <w:sz w:val="24"/>
          <w:szCs w:val="24"/>
          <w:color w:val="auto"/>
        </w:rPr>
      </w:pPr>
    </w:p>
    <w:p>
      <w:pPr>
        <w:sectPr>
          <w:pgSz w:w="11900" w:h="16985" w:orient="portrait"/>
          <w:cols w:equalWidth="0" w:num="3">
            <w:col w:w="6120" w:space="200"/>
            <w:col w:w="860" w:space="200"/>
            <w:col w:w="2839"/>
          </w:cols>
          <w:pgMar w:left="240" w:top="623"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common stock as of the latest practicable date.</w:t>
      </w:r>
    </w:p>
    <w:p>
      <w:pPr>
        <w:sectPr>
          <w:pgSz w:w="11900" w:h="16985" w:orient="portrait"/>
          <w:cols w:equalWidth="0" w:num="1">
            <w:col w:w="10219"/>
          </w:cols>
          <w:pgMar w:left="240" w:top="623" w:right="1440" w:bottom="0" w:gutter="0" w:footer="0" w:header="0"/>
          <w:type w:val="continuous"/>
        </w:sectPr>
      </w:pPr>
    </w:p>
    <w:p>
      <w:pPr>
        <w:spacing w:after="0" w:line="130"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18,575,293</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w:t>
      </w:r>
    </w:p>
    <w:p>
      <w:pPr>
        <w:spacing w:after="0" w:line="21"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Common Shares, voting, no par value</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jc w:val="both"/>
        <w:ind w:right="1779"/>
        <w:spacing w:after="0" w:line="420" w:lineRule="auto"/>
        <w:rPr>
          <w:sz w:val="20"/>
          <w:szCs w:val="20"/>
          <w:color w:val="auto"/>
        </w:rPr>
      </w:pPr>
      <w:r>
        <w:rPr>
          <w:rFonts w:ascii="Courier New" w:cs="Courier New" w:eastAsia="Courier New" w:hAnsi="Courier New"/>
          <w:sz w:val="16"/>
          <w:szCs w:val="16"/>
          <w:color w:val="auto"/>
        </w:rPr>
        <w:t>Outstanding at February 5, 1997 _______________________________</w:t>
      </w:r>
    </w:p>
    <w:p>
      <w:pPr>
        <w:spacing w:after="0" w:line="206" w:lineRule="exact"/>
        <w:rPr>
          <w:sz w:val="24"/>
          <w:szCs w:val="24"/>
          <w:color w:val="auto"/>
        </w:rPr>
      </w:pPr>
    </w:p>
    <w:p>
      <w:pPr>
        <w:sectPr>
          <w:pgSz w:w="11900" w:h="16985" w:orient="portrait"/>
          <w:cols w:equalWidth="0" w:num="2">
            <w:col w:w="4440" w:space="720"/>
            <w:col w:w="5059"/>
          </w:cols>
          <w:pgMar w:left="240" w:top="623" w:right="1440" w:bottom="0" w:gutter="0" w:footer="0" w:header="0"/>
          <w:type w:val="continuous"/>
        </w:sectPr>
      </w:pPr>
    </w:p>
    <w:p>
      <w:pPr>
        <w:spacing w:after="0" w:line="37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Page 1 of 19 pages</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Exhibit Index at page 18</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THE SCOTTS COMPANY AND SUBSIDIARIES</w:t>
      </w:r>
    </w:p>
    <w:p>
      <w:pPr>
        <w:spacing w:after="0" w:line="201"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INDEX</w:t>
      </w:r>
    </w:p>
    <w:p>
      <w:pPr>
        <w:spacing w:after="0" w:line="200" w:lineRule="exact"/>
        <w:rPr>
          <w:sz w:val="24"/>
          <w:szCs w:val="24"/>
          <w:color w:val="auto"/>
        </w:rPr>
      </w:pPr>
    </w:p>
    <w:p>
      <w:pPr>
        <w:spacing w:after="0" w:line="204" w:lineRule="exact"/>
        <w:rPr>
          <w:sz w:val="24"/>
          <w:szCs w:val="24"/>
          <w:color w:val="auto"/>
        </w:rPr>
      </w:pPr>
    </w:p>
    <w:p>
      <w:pPr>
        <w:jc w:val="right"/>
        <w:ind w:right="1779"/>
        <w:spacing w:after="0"/>
        <w:rPr>
          <w:sz w:val="20"/>
          <w:szCs w:val="20"/>
          <w:color w:val="auto"/>
        </w:rPr>
      </w:pPr>
      <w:r>
        <w:rPr>
          <w:rFonts w:ascii="Courier New" w:cs="Courier New" w:eastAsia="Courier New" w:hAnsi="Courier New"/>
          <w:sz w:val="18"/>
          <w:szCs w:val="18"/>
          <w:color w:val="auto"/>
        </w:rPr>
        <w:t>PAGE NO.</w:t>
      </w:r>
    </w:p>
    <w:p>
      <w:pPr>
        <w:spacing w:after="0" w:line="201" w:lineRule="exact"/>
        <w:rPr>
          <w:sz w:val="24"/>
          <w:szCs w:val="24"/>
          <w:color w:val="auto"/>
        </w:rPr>
      </w:pPr>
    </w:p>
    <w:p>
      <w:pPr>
        <w:spacing w:after="0"/>
        <w:tabs>
          <w:tab w:leader="none" w:pos="620" w:val="left"/>
          <w:tab w:leader="none" w:pos="1040" w:val="left"/>
        </w:tabs>
        <w:rPr>
          <w:sz w:val="20"/>
          <w:szCs w:val="20"/>
          <w:color w:val="auto"/>
        </w:rPr>
      </w:pPr>
      <w:r>
        <w:rPr>
          <w:rFonts w:ascii="Courier New" w:cs="Courier New" w:eastAsia="Courier New" w:hAnsi="Courier New"/>
          <w:sz w:val="18"/>
          <w:szCs w:val="18"/>
          <w:color w:val="auto"/>
        </w:rPr>
        <w:t>Part</w:t>
        <w:tab/>
        <w:t>I.</w:t>
      </w:r>
      <w:r>
        <w:rPr>
          <w:sz w:val="20"/>
          <w:szCs w:val="20"/>
          <w:color w:val="auto"/>
        </w:rPr>
        <w:tab/>
      </w:r>
      <w:r>
        <w:rPr>
          <w:rFonts w:ascii="Courier New" w:cs="Courier New" w:eastAsia="Courier New" w:hAnsi="Courier New"/>
          <w:sz w:val="16"/>
          <w:szCs w:val="16"/>
          <w:color w:val="auto"/>
        </w:rPr>
        <w:t>Financial Information:</w:t>
      </w:r>
    </w:p>
    <w:p>
      <w:pPr>
        <w:spacing w:after="0" w:line="201" w:lineRule="exact"/>
        <w:rPr>
          <w:sz w:val="24"/>
          <w:szCs w:val="24"/>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Financial Statements</w:t>
      </w:r>
    </w:p>
    <w:p>
      <w:pPr>
        <w:sectPr>
          <w:pgSz w:w="11900" w:h="16985" w:orient="portrait"/>
          <w:cols w:equalWidth="0" w:num="1">
            <w:col w:w="10219"/>
          </w:cols>
          <w:pgMar w:left="240" w:top="623" w:right="1440" w:bottom="0" w:gutter="0" w:footer="0" w:header="0"/>
          <w:type w:val="continuous"/>
        </w:sectPr>
      </w:pPr>
    </w:p>
    <w:p>
      <w:pPr>
        <w:spacing w:after="0" w:line="201" w:lineRule="exact"/>
        <w:rPr>
          <w:sz w:val="24"/>
          <w:szCs w:val="24"/>
          <w:color w:val="auto"/>
        </w:rPr>
      </w:pPr>
    </w:p>
    <w:p>
      <w:pPr>
        <w:ind w:left="960"/>
        <w:spacing w:after="0" w:line="347" w:lineRule="auto"/>
        <w:rPr>
          <w:sz w:val="20"/>
          <w:szCs w:val="20"/>
          <w:color w:val="auto"/>
        </w:rPr>
      </w:pPr>
      <w:r>
        <w:rPr>
          <w:rFonts w:ascii="Courier New" w:cs="Courier New" w:eastAsia="Courier New" w:hAnsi="Courier New"/>
          <w:sz w:val="18"/>
          <w:szCs w:val="18"/>
          <w:color w:val="auto"/>
        </w:rPr>
        <w:t>Consolidated Statements of Operations - Three month periods ended December 30, 1995 and December 28, 1996</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3</w:t>
      </w:r>
    </w:p>
    <w:p>
      <w:pPr>
        <w:sectPr>
          <w:pgSz w:w="11900" w:h="16985" w:orient="portrait"/>
          <w:cols w:equalWidth="0" w:num="2">
            <w:col w:w="7800" w:space="220"/>
            <w:col w:w="2199"/>
          </w:cols>
          <w:pgMar w:left="240" w:top="623" w:right="1440"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17"/>
                <w:szCs w:val="17"/>
                <w:color w:val="auto"/>
              </w:rPr>
            </w:pPr>
          </w:p>
        </w:tc>
        <w:tc>
          <w:tcPr>
            <w:tcW w:w="6480" w:type="dxa"/>
            <w:vAlign w:val="bottom"/>
          </w:tcPr>
          <w:p>
            <w:pPr>
              <w:ind w:left="60"/>
              <w:spacing w:after="0"/>
              <w:rPr>
                <w:sz w:val="20"/>
                <w:szCs w:val="20"/>
                <w:color w:val="auto"/>
              </w:rPr>
            </w:pPr>
            <w:r>
              <w:rPr>
                <w:rFonts w:ascii="Courier New" w:cs="Courier New" w:eastAsia="Courier New" w:hAnsi="Courier New"/>
                <w:sz w:val="18"/>
                <w:szCs w:val="18"/>
                <w:color w:val="auto"/>
              </w:rPr>
              <w:t>Consolidated Statements of Cash Flows - Three month periods</w:t>
            </w:r>
          </w:p>
        </w:tc>
        <w:tc>
          <w:tcPr>
            <w:tcW w:w="7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w:t>
            </w:r>
          </w:p>
        </w:tc>
        <w:tc>
          <w:tcPr>
            <w:tcW w:w="0" w:type="dxa"/>
            <w:vAlign w:val="bottom"/>
          </w:tcPr>
          <w:p>
            <w:pPr>
              <w:spacing w:after="0"/>
              <w:rPr>
                <w:sz w:val="1"/>
                <w:szCs w:val="1"/>
                <w:color w:val="auto"/>
              </w:rPr>
            </w:pPr>
          </w:p>
        </w:tc>
      </w:tr>
      <w:tr>
        <w:trPr>
          <w:trHeight w:val="296"/>
        </w:trPr>
        <w:tc>
          <w:tcPr>
            <w:tcW w:w="900" w:type="dxa"/>
            <w:vAlign w:val="bottom"/>
          </w:tcPr>
          <w:p>
            <w:pPr>
              <w:spacing w:after="0"/>
              <w:rPr>
                <w:sz w:val="24"/>
                <w:szCs w:val="24"/>
                <w:color w:val="auto"/>
              </w:rPr>
            </w:pPr>
          </w:p>
        </w:tc>
        <w:tc>
          <w:tcPr>
            <w:tcW w:w="6480" w:type="dxa"/>
            <w:vAlign w:val="bottom"/>
          </w:tcPr>
          <w:p>
            <w:pPr>
              <w:ind w:left="60"/>
              <w:spacing w:after="0"/>
              <w:rPr>
                <w:sz w:val="20"/>
                <w:szCs w:val="20"/>
                <w:color w:val="auto"/>
              </w:rPr>
            </w:pPr>
            <w:r>
              <w:rPr>
                <w:rFonts w:ascii="Courier New" w:cs="Courier New" w:eastAsia="Courier New" w:hAnsi="Courier New"/>
                <w:sz w:val="18"/>
                <w:szCs w:val="18"/>
                <w:color w:val="auto"/>
              </w:rPr>
              <w:t>ended December 30, 1995 and December 28, 1996</w:t>
            </w:r>
          </w:p>
        </w:tc>
        <w:tc>
          <w:tcPr>
            <w:tcW w:w="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00" w:type="dxa"/>
            <w:vAlign w:val="bottom"/>
          </w:tcPr>
          <w:p>
            <w:pPr>
              <w:spacing w:after="0"/>
              <w:rPr>
                <w:sz w:val="24"/>
                <w:szCs w:val="24"/>
                <w:color w:val="auto"/>
              </w:rPr>
            </w:pPr>
          </w:p>
        </w:tc>
        <w:tc>
          <w:tcPr>
            <w:tcW w:w="6480" w:type="dxa"/>
            <w:vAlign w:val="bottom"/>
          </w:tcPr>
          <w:p>
            <w:pPr>
              <w:ind w:left="60"/>
              <w:spacing w:after="0"/>
              <w:rPr>
                <w:sz w:val="20"/>
                <w:szCs w:val="20"/>
                <w:color w:val="auto"/>
              </w:rPr>
            </w:pPr>
            <w:r>
              <w:rPr>
                <w:rFonts w:ascii="Courier New" w:cs="Courier New" w:eastAsia="Courier New" w:hAnsi="Courier New"/>
                <w:sz w:val="18"/>
                <w:szCs w:val="18"/>
                <w:color w:val="auto"/>
              </w:rPr>
              <w:t>Consolidated Balance Sheets -</w:t>
            </w:r>
          </w:p>
        </w:tc>
        <w:tc>
          <w:tcPr>
            <w:tcW w:w="7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w:t>
            </w:r>
          </w:p>
        </w:tc>
        <w:tc>
          <w:tcPr>
            <w:tcW w:w="0" w:type="dxa"/>
            <w:vAlign w:val="bottom"/>
          </w:tcPr>
          <w:p>
            <w:pPr>
              <w:spacing w:after="0"/>
              <w:rPr>
                <w:sz w:val="1"/>
                <w:szCs w:val="1"/>
                <w:color w:val="auto"/>
              </w:rPr>
            </w:pPr>
          </w:p>
        </w:tc>
      </w:tr>
      <w:tr>
        <w:trPr>
          <w:trHeight w:val="296"/>
        </w:trPr>
        <w:tc>
          <w:tcPr>
            <w:tcW w:w="900" w:type="dxa"/>
            <w:vAlign w:val="bottom"/>
          </w:tcPr>
          <w:p>
            <w:pPr>
              <w:spacing w:after="0"/>
              <w:rPr>
                <w:sz w:val="24"/>
                <w:szCs w:val="24"/>
                <w:color w:val="auto"/>
              </w:rPr>
            </w:pPr>
          </w:p>
        </w:tc>
        <w:tc>
          <w:tcPr>
            <w:tcW w:w="6480" w:type="dxa"/>
            <w:vAlign w:val="bottom"/>
          </w:tcPr>
          <w:p>
            <w:pPr>
              <w:ind w:left="60"/>
              <w:spacing w:after="0"/>
              <w:rPr>
                <w:sz w:val="20"/>
                <w:szCs w:val="20"/>
                <w:color w:val="auto"/>
              </w:rPr>
            </w:pPr>
            <w:r>
              <w:rPr>
                <w:rFonts w:ascii="Courier New" w:cs="Courier New" w:eastAsia="Courier New" w:hAnsi="Courier New"/>
                <w:sz w:val="18"/>
                <w:szCs w:val="18"/>
                <w:color w:val="auto"/>
              </w:rPr>
              <w:t>December 30, 1995, December 28, 1996 and September 30, 1996</w:t>
            </w:r>
          </w:p>
        </w:tc>
        <w:tc>
          <w:tcPr>
            <w:tcW w:w="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900" w:type="dxa"/>
            <w:vAlign w:val="bottom"/>
          </w:tcPr>
          <w:p>
            <w:pPr>
              <w:spacing w:after="0"/>
              <w:rPr>
                <w:sz w:val="24"/>
                <w:szCs w:val="24"/>
                <w:color w:val="auto"/>
              </w:rPr>
            </w:pPr>
          </w:p>
        </w:tc>
        <w:tc>
          <w:tcPr>
            <w:tcW w:w="6480" w:type="dxa"/>
            <w:vAlign w:val="bottom"/>
          </w:tcPr>
          <w:p>
            <w:pPr>
              <w:ind w:left="60"/>
              <w:spacing w:after="0"/>
              <w:rPr>
                <w:sz w:val="20"/>
                <w:szCs w:val="20"/>
                <w:color w:val="auto"/>
              </w:rPr>
            </w:pPr>
            <w:r>
              <w:rPr>
                <w:rFonts w:ascii="Courier New" w:cs="Courier New" w:eastAsia="Courier New" w:hAnsi="Courier New"/>
                <w:sz w:val="18"/>
                <w:szCs w:val="18"/>
                <w:color w:val="auto"/>
              </w:rPr>
              <w:t>Notes to Consolidated Financial Statements</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6-10</w:t>
            </w:r>
          </w:p>
        </w:tc>
        <w:tc>
          <w:tcPr>
            <w:tcW w:w="0" w:type="dxa"/>
            <w:vAlign w:val="bottom"/>
          </w:tcPr>
          <w:p>
            <w:pPr>
              <w:spacing w:after="0"/>
              <w:rPr>
                <w:sz w:val="1"/>
                <w:szCs w:val="1"/>
                <w:color w:val="auto"/>
              </w:rPr>
            </w:pPr>
          </w:p>
        </w:tc>
      </w:tr>
      <w:tr>
        <w:trPr>
          <w:trHeight w:val="311"/>
        </w:trPr>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Item 2.</w:t>
            </w: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Management's Discussion and Analysis of</w:t>
            </w:r>
          </w:p>
        </w:tc>
        <w:tc>
          <w:tcPr>
            <w:tcW w:w="7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11-15</w:t>
            </w:r>
          </w:p>
        </w:tc>
        <w:tc>
          <w:tcPr>
            <w:tcW w:w="0" w:type="dxa"/>
            <w:vAlign w:val="bottom"/>
          </w:tcPr>
          <w:p>
            <w:pPr>
              <w:spacing w:after="0"/>
              <w:rPr>
                <w:sz w:val="1"/>
                <w:szCs w:val="1"/>
                <w:color w:val="auto"/>
              </w:rPr>
            </w:pPr>
          </w:p>
        </w:tc>
      </w:tr>
      <w:tr>
        <w:trPr>
          <w:trHeight w:val="296"/>
        </w:trPr>
        <w:tc>
          <w:tcPr>
            <w:tcW w:w="900" w:type="dxa"/>
            <w:vAlign w:val="bottom"/>
          </w:tcPr>
          <w:p>
            <w:pPr>
              <w:spacing w:after="0"/>
              <w:rPr>
                <w:sz w:val="24"/>
                <w:szCs w:val="24"/>
                <w:color w:val="auto"/>
              </w:rPr>
            </w:pP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Financial Condition and Results of Operations</w:t>
            </w:r>
          </w:p>
        </w:tc>
        <w:tc>
          <w:tcPr>
            <w:tcW w:w="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900" w:type="dxa"/>
            <w:vAlign w:val="bottom"/>
          </w:tcPr>
          <w:p>
            <w:pPr>
              <w:jc w:val="right"/>
              <w:spacing w:after="0"/>
              <w:rPr>
                <w:sz w:val="20"/>
                <w:szCs w:val="20"/>
                <w:color w:val="auto"/>
              </w:rPr>
            </w:pPr>
            <w:r>
              <w:rPr>
                <w:rFonts w:ascii="Courier New" w:cs="Courier New" w:eastAsia="Courier New" w:hAnsi="Courier New"/>
                <w:sz w:val="18"/>
                <w:szCs w:val="18"/>
                <w:color w:val="auto"/>
                <w:w w:val="97"/>
              </w:rPr>
              <w:t>Part II.</w:t>
            </w: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Other Information</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Item 1.</w:t>
            </w: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Legal Proceedings</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16</w:t>
            </w:r>
          </w:p>
        </w:tc>
        <w:tc>
          <w:tcPr>
            <w:tcW w:w="0" w:type="dxa"/>
            <w:vAlign w:val="bottom"/>
          </w:tcPr>
          <w:p>
            <w:pPr>
              <w:spacing w:after="0"/>
              <w:rPr>
                <w:sz w:val="1"/>
                <w:szCs w:val="1"/>
                <w:color w:val="auto"/>
              </w:rPr>
            </w:pPr>
          </w:p>
        </w:tc>
      </w:tr>
      <w:tr>
        <w:trPr>
          <w:trHeight w:val="405"/>
        </w:trPr>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Item 6.</w:t>
            </w: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Exhibits and Reports on Form 8-K</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16</w:t>
            </w:r>
          </w:p>
        </w:tc>
        <w:tc>
          <w:tcPr>
            <w:tcW w:w="0" w:type="dxa"/>
            <w:vAlign w:val="bottom"/>
          </w:tcPr>
          <w:p>
            <w:pPr>
              <w:spacing w:after="0"/>
              <w:rPr>
                <w:sz w:val="1"/>
                <w:szCs w:val="1"/>
                <w:color w:val="auto"/>
              </w:rPr>
            </w:pPr>
          </w:p>
        </w:tc>
      </w:tr>
    </w:tbl>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4640" w:type="dxa"/>
            <w:vAlign w:val="bottom"/>
          </w:tcPr>
          <w:p>
            <w:pPr>
              <w:spacing w:after="0"/>
              <w:rPr>
                <w:sz w:val="20"/>
                <w:szCs w:val="20"/>
                <w:color w:val="auto"/>
              </w:rPr>
            </w:pPr>
            <w:r>
              <w:rPr>
                <w:rFonts w:ascii="Courier New" w:cs="Courier New" w:eastAsia="Courier New" w:hAnsi="Courier New"/>
                <w:sz w:val="18"/>
                <w:szCs w:val="18"/>
                <w:color w:val="auto"/>
              </w:rPr>
              <w:t>Signatures</w:t>
            </w:r>
          </w:p>
        </w:tc>
        <w:tc>
          <w:tcPr>
            <w:tcW w:w="3480" w:type="dxa"/>
            <w:vAlign w:val="bottom"/>
          </w:tcPr>
          <w:p>
            <w:pPr>
              <w:jc w:val="right"/>
              <w:spacing w:after="0"/>
              <w:rPr>
                <w:sz w:val="20"/>
                <w:szCs w:val="20"/>
                <w:color w:val="auto"/>
              </w:rPr>
            </w:pPr>
            <w:r>
              <w:rPr>
                <w:rFonts w:ascii="Courier New" w:cs="Courier New" w:eastAsia="Courier New" w:hAnsi="Courier New"/>
                <w:sz w:val="18"/>
                <w:szCs w:val="18"/>
                <w:color w:val="auto"/>
              </w:rPr>
              <w:t>17</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Exhibit Index</w:t>
            </w:r>
          </w:p>
        </w:tc>
        <w:tc>
          <w:tcPr>
            <w:tcW w:w="3480" w:type="dxa"/>
            <w:vAlign w:val="bottom"/>
          </w:tcPr>
          <w:p>
            <w:pPr>
              <w:jc w:val="right"/>
              <w:spacing w:after="0"/>
              <w:rPr>
                <w:sz w:val="20"/>
                <w:szCs w:val="20"/>
                <w:color w:val="auto"/>
              </w:rPr>
            </w:pPr>
            <w:r>
              <w:rPr>
                <w:rFonts w:ascii="Courier New" w:cs="Courier New" w:eastAsia="Courier New" w:hAnsi="Courier New"/>
                <w:sz w:val="18"/>
                <w:szCs w:val="18"/>
                <w:color w:val="auto"/>
              </w:rPr>
              <w:t>18</w:t>
            </w:r>
          </w:p>
        </w:tc>
      </w:tr>
    </w:tbl>
    <w:p>
      <w:pPr>
        <w:spacing w:after="0" w:line="31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2</w:t>
      </w:r>
    </w:p>
    <w:p>
      <w:pPr>
        <w:sectPr>
          <w:pgSz w:w="11900" w:h="16838" w:orient="portrait"/>
          <w:cols w:equalWidth="0" w:num="1">
            <w:col w:w="10219"/>
          </w:cols>
          <w:pgMar w:left="240" w:top="311" w:right="1440" w:bottom="1440" w:gutter="0" w:footer="0" w:header="0"/>
        </w:sectPr>
      </w:pPr>
    </w:p>
    <w:bookmarkStart w:id="2" w:name="page3"/>
    <w:bookmarkEnd w:id="2"/>
    <w:p>
      <w:pPr>
        <w:jc w:val="center"/>
        <w:ind w:right="1779"/>
        <w:spacing w:after="0"/>
        <w:rPr>
          <w:sz w:val="20"/>
          <w:szCs w:val="20"/>
          <w:color w:val="auto"/>
        </w:rPr>
      </w:pPr>
      <w:r>
        <w:rPr>
          <w:rFonts w:ascii="Courier New" w:cs="Courier New" w:eastAsia="Courier New" w:hAnsi="Courier New"/>
          <w:sz w:val="18"/>
          <w:szCs w:val="18"/>
          <w:color w:val="auto"/>
        </w:rPr>
        <w:t>PART I - FINANCIAL INFORMATION</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ITEM 1. FINANCIAL STATEMENTS</w:t>
      </w:r>
    </w:p>
    <w:p>
      <w:pPr>
        <w:spacing w:after="0" w:line="372"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THE SCOTTS COMPANY AND SUBSIDIARIES</w:t>
      </w:r>
    </w:p>
    <w:p>
      <w:pPr>
        <w:spacing w:after="0" w:line="29"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CONSOLIDATED STATEMENTS OF OPERATIONS</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(Unaudited)</w:t>
      </w:r>
    </w:p>
    <w:p>
      <w:pPr>
        <w:ind w:left="2220"/>
        <w:spacing w:after="0"/>
        <w:rPr>
          <w:sz w:val="20"/>
          <w:szCs w:val="20"/>
          <w:color w:val="auto"/>
        </w:rPr>
      </w:pPr>
      <w:r>
        <w:rPr>
          <w:rFonts w:ascii="Courier New" w:cs="Courier New" w:eastAsia="Courier New" w:hAnsi="Courier New"/>
          <w:sz w:val="18"/>
          <w:szCs w:val="18"/>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900" w:type="dxa"/>
            <w:vAlign w:val="bottom"/>
            <w:gridSpan w:val="3"/>
          </w:tcPr>
          <w:p>
            <w:pPr>
              <w:jc w:val="right"/>
              <w:ind w:right="452"/>
              <w:spacing w:after="0"/>
              <w:rPr>
                <w:sz w:val="20"/>
                <w:szCs w:val="20"/>
                <w:color w:val="auto"/>
              </w:rPr>
            </w:pPr>
            <w:r>
              <w:rPr>
                <w:rFonts w:ascii="Courier New" w:cs="Courier New" w:eastAsia="Courier New" w:hAnsi="Courier New"/>
                <w:sz w:val="18"/>
                <w:szCs w:val="18"/>
                <w:color w:val="auto"/>
              </w:rPr>
              <w:t>Three Months Ended</w:t>
            </w:r>
          </w:p>
        </w:tc>
        <w:tc>
          <w:tcPr>
            <w:tcW w:w="0" w:type="dxa"/>
            <w:vAlign w:val="bottom"/>
          </w:tcPr>
          <w:p>
            <w:pPr>
              <w:spacing w:after="0"/>
              <w:rPr>
                <w:sz w:val="1"/>
                <w:szCs w:val="1"/>
                <w:color w:val="auto"/>
              </w:rPr>
            </w:pPr>
          </w:p>
        </w:tc>
      </w:tr>
      <w:tr>
        <w:trPr>
          <w:trHeight w:val="203"/>
        </w:trPr>
        <w:tc>
          <w:tcPr>
            <w:tcW w:w="5060" w:type="dxa"/>
            <w:vAlign w:val="bottom"/>
          </w:tcPr>
          <w:p>
            <w:pPr>
              <w:spacing w:after="0"/>
              <w:rPr>
                <w:sz w:val="17"/>
                <w:szCs w:val="17"/>
                <w:color w:val="auto"/>
              </w:rPr>
            </w:pPr>
          </w:p>
        </w:tc>
        <w:tc>
          <w:tcPr>
            <w:tcW w:w="33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060" w:type="dxa"/>
            <w:vAlign w:val="bottom"/>
          </w:tcPr>
          <w:p>
            <w:pPr>
              <w:spacing w:after="0"/>
              <w:rPr>
                <w:sz w:val="17"/>
                <w:szCs w:val="17"/>
                <w:color w:val="auto"/>
              </w:rPr>
            </w:pPr>
          </w:p>
        </w:tc>
        <w:tc>
          <w:tcPr>
            <w:tcW w:w="18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December 30</w:t>
            </w: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December 28</w:t>
            </w:r>
          </w:p>
        </w:tc>
        <w:tc>
          <w:tcPr>
            <w:tcW w:w="0" w:type="dxa"/>
            <w:vAlign w:val="bottom"/>
          </w:tcPr>
          <w:p>
            <w:pPr>
              <w:spacing w:after="0"/>
              <w:rPr>
                <w:sz w:val="1"/>
                <w:szCs w:val="1"/>
                <w:color w:val="auto"/>
              </w:rPr>
            </w:pPr>
          </w:p>
        </w:tc>
      </w:tr>
      <w:tr>
        <w:trPr>
          <w:trHeight w:val="203"/>
        </w:trPr>
        <w:tc>
          <w:tcPr>
            <w:tcW w:w="5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1995</w:t>
            </w:r>
          </w:p>
        </w:tc>
        <w:tc>
          <w:tcPr>
            <w:tcW w:w="680" w:type="dxa"/>
            <w:vAlign w:val="bottom"/>
          </w:tcPr>
          <w:p>
            <w:pPr>
              <w:spacing w:after="0"/>
              <w:rPr>
                <w:sz w:val="17"/>
                <w:szCs w:val="17"/>
                <w:color w:val="auto"/>
              </w:rPr>
            </w:pPr>
          </w:p>
        </w:tc>
        <w:tc>
          <w:tcPr>
            <w:tcW w:w="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1996</w:t>
            </w:r>
          </w:p>
        </w:tc>
        <w:tc>
          <w:tcPr>
            <w:tcW w:w="0" w:type="dxa"/>
            <w:vAlign w:val="bottom"/>
          </w:tcPr>
          <w:p>
            <w:pPr>
              <w:spacing w:after="0"/>
              <w:rPr>
                <w:sz w:val="1"/>
                <w:szCs w:val="1"/>
                <w:color w:val="auto"/>
              </w:rPr>
            </w:pPr>
          </w:p>
        </w:tc>
      </w:tr>
      <w:tr>
        <w:trPr>
          <w:trHeight w:val="296"/>
        </w:trPr>
        <w:tc>
          <w:tcPr>
            <w:tcW w:w="5060" w:type="dxa"/>
            <w:vAlign w:val="bottom"/>
          </w:tcPr>
          <w:p>
            <w:pPr>
              <w:spacing w:after="0"/>
              <w:rPr>
                <w:sz w:val="24"/>
                <w:szCs w:val="24"/>
                <w:color w:val="auto"/>
              </w:rPr>
            </w:pPr>
          </w:p>
        </w:tc>
        <w:tc>
          <w:tcPr>
            <w:tcW w:w="180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06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800" w:type="dxa"/>
            <w:vAlign w:val="bottom"/>
            <w:gridSpan w:val="2"/>
          </w:tcPr>
          <w:p>
            <w:pPr>
              <w:jc w:val="right"/>
              <w:ind w:right="452"/>
              <w:spacing w:after="0"/>
              <w:rPr>
                <w:sz w:val="20"/>
                <w:szCs w:val="20"/>
                <w:color w:val="auto"/>
              </w:rPr>
            </w:pPr>
            <w:r>
              <w:rPr>
                <w:rFonts w:ascii="Courier New" w:cs="Courier New" w:eastAsia="Courier New" w:hAnsi="Courier New"/>
                <w:sz w:val="18"/>
                <w:szCs w:val="18"/>
                <w:color w:val="auto"/>
              </w:rPr>
              <w:t>$ 117,928</w:t>
            </w:r>
          </w:p>
        </w:tc>
        <w:tc>
          <w:tcPr>
            <w:tcW w:w="158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$ 100,184</w:t>
            </w:r>
          </w:p>
        </w:tc>
        <w:tc>
          <w:tcPr>
            <w:tcW w:w="0" w:type="dxa"/>
            <w:vAlign w:val="bottom"/>
          </w:tcPr>
          <w:p>
            <w:pPr>
              <w:spacing w:after="0"/>
              <w:rPr>
                <w:sz w:val="1"/>
                <w:szCs w:val="1"/>
                <w:color w:val="auto"/>
              </w:rPr>
            </w:pP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sales</w:t>
            </w:r>
          </w:p>
        </w:tc>
        <w:tc>
          <w:tcPr>
            <w:tcW w:w="480" w:type="dxa"/>
            <w:vAlign w:val="bottom"/>
          </w:tcPr>
          <w:p>
            <w:pPr>
              <w:spacing w:after="0"/>
              <w:rPr>
                <w:sz w:val="17"/>
                <w:szCs w:val="17"/>
                <w:color w:val="auto"/>
              </w:rPr>
            </w:pPr>
          </w:p>
        </w:tc>
        <w:tc>
          <w:tcPr>
            <w:tcW w:w="1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64,714</w:t>
            </w:r>
          </w:p>
        </w:tc>
        <w:tc>
          <w:tcPr>
            <w:tcW w:w="68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53,842</w:t>
            </w:r>
          </w:p>
        </w:tc>
        <w:tc>
          <w:tcPr>
            <w:tcW w:w="0" w:type="dxa"/>
            <w:vAlign w:val="bottom"/>
          </w:tcPr>
          <w:p>
            <w:pPr>
              <w:spacing w:after="0"/>
              <w:rPr>
                <w:sz w:val="1"/>
                <w:szCs w:val="1"/>
                <w:color w:val="auto"/>
              </w:rPr>
            </w:pPr>
          </w:p>
        </w:tc>
      </w:tr>
      <w:tr>
        <w:trPr>
          <w:trHeight w:val="296"/>
        </w:trPr>
        <w:tc>
          <w:tcPr>
            <w:tcW w:w="5060" w:type="dxa"/>
            <w:vAlign w:val="bottom"/>
          </w:tcPr>
          <w:p>
            <w:pPr>
              <w:spacing w:after="0"/>
              <w:rPr>
                <w:sz w:val="24"/>
                <w:szCs w:val="24"/>
                <w:color w:val="auto"/>
              </w:rPr>
            </w:pPr>
          </w:p>
        </w:tc>
        <w:tc>
          <w:tcPr>
            <w:tcW w:w="1800" w:type="dxa"/>
            <w:vAlign w:val="bottom"/>
            <w:gridSpan w:val="2"/>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060" w:type="dxa"/>
            <w:vAlign w:val="bottom"/>
          </w:tcPr>
          <w:p>
            <w:pPr>
              <w:spacing w:after="0"/>
              <w:rPr>
                <w:sz w:val="20"/>
                <w:szCs w:val="20"/>
                <w:color w:val="auto"/>
              </w:rPr>
            </w:pPr>
            <w:r>
              <w:rPr>
                <w:rFonts w:ascii="Courier New" w:cs="Courier New" w:eastAsia="Courier New" w:hAnsi="Courier New"/>
                <w:sz w:val="18"/>
                <w:szCs w:val="18"/>
                <w:color w:val="auto"/>
              </w:rPr>
              <w:t>Gross profit</w:t>
            </w:r>
          </w:p>
        </w:tc>
        <w:tc>
          <w:tcPr>
            <w:tcW w:w="480" w:type="dxa"/>
            <w:vAlign w:val="bottom"/>
          </w:tcPr>
          <w:p>
            <w:pPr>
              <w:spacing w:after="0"/>
              <w:rPr>
                <w:sz w:val="24"/>
                <w:szCs w:val="24"/>
                <w:color w:val="auto"/>
              </w:rPr>
            </w:pPr>
          </w:p>
        </w:tc>
        <w:tc>
          <w:tcPr>
            <w:tcW w:w="13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53,214</w:t>
            </w:r>
          </w:p>
        </w:tc>
        <w:tc>
          <w:tcPr>
            <w:tcW w:w="680" w:type="dxa"/>
            <w:vAlign w:val="bottom"/>
          </w:tcPr>
          <w:p>
            <w:pPr>
              <w:spacing w:after="0"/>
              <w:rPr>
                <w:sz w:val="24"/>
                <w:szCs w:val="24"/>
                <w:color w:val="auto"/>
              </w:rPr>
            </w:pP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46,342</w:t>
            </w:r>
          </w:p>
        </w:tc>
        <w:tc>
          <w:tcPr>
            <w:tcW w:w="0" w:type="dxa"/>
            <w:vAlign w:val="bottom"/>
          </w:tcPr>
          <w:p>
            <w:pPr>
              <w:spacing w:after="0"/>
              <w:rPr>
                <w:sz w:val="1"/>
                <w:szCs w:val="1"/>
                <w:color w:val="auto"/>
              </w:rPr>
            </w:pPr>
          </w:p>
        </w:tc>
      </w:tr>
      <w:tr>
        <w:trPr>
          <w:trHeight w:val="296"/>
        </w:trPr>
        <w:tc>
          <w:tcPr>
            <w:tcW w:w="5060" w:type="dxa"/>
            <w:vAlign w:val="bottom"/>
          </w:tcPr>
          <w:p>
            <w:pPr>
              <w:spacing w:after="0"/>
              <w:rPr>
                <w:sz w:val="24"/>
                <w:szCs w:val="24"/>
                <w:color w:val="auto"/>
              </w:rPr>
            </w:pPr>
          </w:p>
        </w:tc>
        <w:tc>
          <w:tcPr>
            <w:tcW w:w="1800" w:type="dxa"/>
            <w:vAlign w:val="bottom"/>
            <w:gridSpan w:val="2"/>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060" w:type="dxa"/>
            <w:vAlign w:val="bottom"/>
          </w:tcPr>
          <w:p>
            <w:pPr>
              <w:spacing w:after="0"/>
              <w:rPr>
                <w:sz w:val="20"/>
                <w:szCs w:val="20"/>
                <w:color w:val="auto"/>
              </w:rPr>
            </w:pPr>
            <w:r>
              <w:rPr>
                <w:rFonts w:ascii="Courier New" w:cs="Courier New" w:eastAsia="Courier New" w:hAnsi="Courier New"/>
                <w:sz w:val="18"/>
                <w:szCs w:val="18"/>
                <w:color w:val="auto"/>
              </w:rPr>
              <w:t>Marketing</w:t>
            </w:r>
          </w:p>
        </w:tc>
        <w:tc>
          <w:tcPr>
            <w:tcW w:w="480" w:type="dxa"/>
            <w:vAlign w:val="bottom"/>
          </w:tcPr>
          <w:p>
            <w:pPr>
              <w:spacing w:after="0"/>
              <w:rPr>
                <w:sz w:val="24"/>
                <w:szCs w:val="24"/>
                <w:color w:val="auto"/>
              </w:rPr>
            </w:pPr>
          </w:p>
        </w:tc>
        <w:tc>
          <w:tcPr>
            <w:tcW w:w="13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27,590</w:t>
            </w:r>
          </w:p>
        </w:tc>
        <w:tc>
          <w:tcPr>
            <w:tcW w:w="680" w:type="dxa"/>
            <w:vAlign w:val="bottom"/>
          </w:tcPr>
          <w:p>
            <w:pPr>
              <w:spacing w:after="0"/>
              <w:rPr>
                <w:sz w:val="24"/>
                <w:szCs w:val="24"/>
                <w:color w:val="auto"/>
              </w:rPr>
            </w:pP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21,830</w:t>
            </w:r>
          </w:p>
        </w:tc>
        <w:tc>
          <w:tcPr>
            <w:tcW w:w="0" w:type="dxa"/>
            <w:vAlign w:val="bottom"/>
          </w:tcPr>
          <w:p>
            <w:pPr>
              <w:spacing w:after="0"/>
              <w:rPr>
                <w:sz w:val="1"/>
                <w:szCs w:val="1"/>
                <w:color w:val="auto"/>
              </w:rPr>
            </w:pP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Distribution</w:t>
            </w:r>
          </w:p>
        </w:tc>
        <w:tc>
          <w:tcPr>
            <w:tcW w:w="480" w:type="dxa"/>
            <w:vAlign w:val="bottom"/>
          </w:tcPr>
          <w:p>
            <w:pPr>
              <w:spacing w:after="0"/>
              <w:rPr>
                <w:sz w:val="17"/>
                <w:szCs w:val="17"/>
                <w:color w:val="auto"/>
              </w:rPr>
            </w:pPr>
          </w:p>
        </w:tc>
        <w:tc>
          <w:tcPr>
            <w:tcW w:w="1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16,465</w:t>
            </w:r>
          </w:p>
        </w:tc>
        <w:tc>
          <w:tcPr>
            <w:tcW w:w="68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13,688</w:t>
            </w:r>
          </w:p>
        </w:tc>
        <w:tc>
          <w:tcPr>
            <w:tcW w:w="0" w:type="dxa"/>
            <w:vAlign w:val="bottom"/>
          </w:tcPr>
          <w:p>
            <w:pPr>
              <w:spacing w:after="0"/>
              <w:rPr>
                <w:sz w:val="1"/>
                <w:szCs w:val="1"/>
                <w:color w:val="auto"/>
              </w:rPr>
            </w:pP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480" w:type="dxa"/>
            <w:vAlign w:val="bottom"/>
          </w:tcPr>
          <w:p>
            <w:pPr>
              <w:spacing w:after="0"/>
              <w:rPr>
                <w:sz w:val="17"/>
                <w:szCs w:val="17"/>
                <w:color w:val="auto"/>
              </w:rPr>
            </w:pPr>
          </w:p>
        </w:tc>
        <w:tc>
          <w:tcPr>
            <w:tcW w:w="1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8,057</w:t>
            </w:r>
          </w:p>
        </w:tc>
        <w:tc>
          <w:tcPr>
            <w:tcW w:w="68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7,293</w:t>
            </w:r>
          </w:p>
        </w:tc>
        <w:tc>
          <w:tcPr>
            <w:tcW w:w="0" w:type="dxa"/>
            <w:vAlign w:val="bottom"/>
          </w:tcPr>
          <w:p>
            <w:pPr>
              <w:spacing w:after="0"/>
              <w:rPr>
                <w:sz w:val="1"/>
                <w:szCs w:val="1"/>
                <w:color w:val="auto"/>
              </w:rPr>
            </w:pP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480" w:type="dxa"/>
            <w:vAlign w:val="bottom"/>
          </w:tcPr>
          <w:p>
            <w:pPr>
              <w:spacing w:after="0"/>
              <w:rPr>
                <w:sz w:val="17"/>
                <w:szCs w:val="17"/>
                <w:color w:val="auto"/>
              </w:rPr>
            </w:pPr>
          </w:p>
        </w:tc>
        <w:tc>
          <w:tcPr>
            <w:tcW w:w="1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2,663</w:t>
            </w:r>
          </w:p>
        </w:tc>
        <w:tc>
          <w:tcPr>
            <w:tcW w:w="68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2,664</w:t>
            </w:r>
          </w:p>
        </w:tc>
        <w:tc>
          <w:tcPr>
            <w:tcW w:w="0" w:type="dxa"/>
            <w:vAlign w:val="bottom"/>
          </w:tcPr>
          <w:p>
            <w:pPr>
              <w:spacing w:after="0"/>
              <w:rPr>
                <w:sz w:val="1"/>
                <w:szCs w:val="1"/>
                <w:color w:val="auto"/>
              </w:rPr>
            </w:pP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Amortization of goodwill and other intangibles</w:t>
            </w:r>
          </w:p>
        </w:tc>
        <w:tc>
          <w:tcPr>
            <w:tcW w:w="480" w:type="dxa"/>
            <w:vAlign w:val="bottom"/>
          </w:tcPr>
          <w:p>
            <w:pPr>
              <w:spacing w:after="0"/>
              <w:rPr>
                <w:sz w:val="17"/>
                <w:szCs w:val="17"/>
                <w:color w:val="auto"/>
              </w:rPr>
            </w:pPr>
          </w:p>
        </w:tc>
        <w:tc>
          <w:tcPr>
            <w:tcW w:w="1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2,172</w:t>
            </w:r>
          </w:p>
        </w:tc>
        <w:tc>
          <w:tcPr>
            <w:tcW w:w="68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2,233</w:t>
            </w:r>
          </w:p>
        </w:tc>
        <w:tc>
          <w:tcPr>
            <w:tcW w:w="0" w:type="dxa"/>
            <w:vAlign w:val="bottom"/>
          </w:tcPr>
          <w:p>
            <w:pPr>
              <w:spacing w:after="0"/>
              <w:rPr>
                <w:sz w:val="1"/>
                <w:szCs w:val="1"/>
                <w:color w:val="auto"/>
              </w:rPr>
            </w:pP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expenses, net</w:t>
            </w:r>
          </w:p>
        </w:tc>
        <w:tc>
          <w:tcPr>
            <w:tcW w:w="480" w:type="dxa"/>
            <w:vAlign w:val="bottom"/>
          </w:tcPr>
          <w:p>
            <w:pPr>
              <w:spacing w:after="0"/>
              <w:rPr>
                <w:sz w:val="17"/>
                <w:szCs w:val="17"/>
                <w:color w:val="auto"/>
              </w:rPr>
            </w:pPr>
          </w:p>
        </w:tc>
        <w:tc>
          <w:tcPr>
            <w:tcW w:w="1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193</w:t>
            </w:r>
          </w:p>
        </w:tc>
        <w:tc>
          <w:tcPr>
            <w:tcW w:w="68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267</w:t>
            </w:r>
          </w:p>
        </w:tc>
        <w:tc>
          <w:tcPr>
            <w:tcW w:w="0" w:type="dxa"/>
            <w:vAlign w:val="bottom"/>
          </w:tcPr>
          <w:p>
            <w:pPr>
              <w:spacing w:after="0"/>
              <w:rPr>
                <w:sz w:val="1"/>
                <w:szCs w:val="1"/>
                <w:color w:val="auto"/>
              </w:rPr>
            </w:pP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Unusual charges</w:t>
            </w:r>
          </w:p>
        </w:tc>
        <w:tc>
          <w:tcPr>
            <w:tcW w:w="480" w:type="dxa"/>
            <w:vAlign w:val="bottom"/>
          </w:tcPr>
          <w:p>
            <w:pPr>
              <w:spacing w:after="0"/>
              <w:rPr>
                <w:sz w:val="17"/>
                <w:szCs w:val="17"/>
                <w:color w:val="auto"/>
              </w:rPr>
            </w:pPr>
          </w:p>
        </w:tc>
        <w:tc>
          <w:tcPr>
            <w:tcW w:w="1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2,104</w:t>
            </w:r>
          </w:p>
        </w:tc>
        <w:tc>
          <w:tcPr>
            <w:tcW w:w="68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5060" w:type="dxa"/>
            <w:vAlign w:val="bottom"/>
          </w:tcPr>
          <w:p>
            <w:pPr>
              <w:spacing w:after="0"/>
              <w:rPr>
                <w:sz w:val="24"/>
                <w:szCs w:val="24"/>
                <w:color w:val="auto"/>
              </w:rPr>
            </w:pPr>
          </w:p>
        </w:tc>
        <w:tc>
          <w:tcPr>
            <w:tcW w:w="1800" w:type="dxa"/>
            <w:vAlign w:val="bottom"/>
            <w:gridSpan w:val="2"/>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Loss from operations</w:t>
            </w:r>
          </w:p>
        </w:tc>
        <w:tc>
          <w:tcPr>
            <w:tcW w:w="480" w:type="dxa"/>
            <w:vAlign w:val="bottom"/>
          </w:tcPr>
          <w:p>
            <w:pPr>
              <w:spacing w:after="0"/>
              <w:rPr>
                <w:sz w:val="24"/>
                <w:szCs w:val="24"/>
                <w:color w:val="auto"/>
              </w:rPr>
            </w:pPr>
          </w:p>
        </w:tc>
        <w:tc>
          <w:tcPr>
            <w:tcW w:w="13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(6,030)</w:t>
            </w:r>
          </w:p>
        </w:tc>
        <w:tc>
          <w:tcPr>
            <w:tcW w:w="6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(1,633)</w:t>
            </w:r>
          </w:p>
        </w:tc>
        <w:tc>
          <w:tcPr>
            <w:tcW w:w="0" w:type="dxa"/>
            <w:vAlign w:val="bottom"/>
          </w:tcPr>
          <w:p>
            <w:pPr>
              <w:spacing w:after="0"/>
              <w:rPr>
                <w:sz w:val="1"/>
                <w:szCs w:val="1"/>
                <w:color w:val="auto"/>
              </w:rPr>
            </w:pPr>
          </w:p>
        </w:tc>
      </w:tr>
      <w:tr>
        <w:trPr>
          <w:trHeight w:val="311"/>
        </w:trPr>
        <w:tc>
          <w:tcPr>
            <w:tcW w:w="5060" w:type="dxa"/>
            <w:vAlign w:val="bottom"/>
          </w:tcPr>
          <w:p>
            <w:pPr>
              <w:spacing w:after="0"/>
              <w:rPr>
                <w:sz w:val="20"/>
                <w:szCs w:val="20"/>
                <w:color w:val="auto"/>
              </w:rPr>
            </w:pPr>
            <w:r>
              <w:rPr>
                <w:rFonts w:ascii="Courier New" w:cs="Courier New" w:eastAsia="Courier New" w:hAnsi="Courier New"/>
                <w:sz w:val="18"/>
                <w:szCs w:val="18"/>
                <w:color w:val="auto"/>
              </w:rPr>
              <w:t>Interest expense</w:t>
            </w:r>
          </w:p>
        </w:tc>
        <w:tc>
          <w:tcPr>
            <w:tcW w:w="480" w:type="dxa"/>
            <w:vAlign w:val="bottom"/>
          </w:tcPr>
          <w:p>
            <w:pPr>
              <w:spacing w:after="0"/>
              <w:rPr>
                <w:sz w:val="24"/>
                <w:szCs w:val="24"/>
                <w:color w:val="auto"/>
              </w:rPr>
            </w:pPr>
          </w:p>
        </w:tc>
        <w:tc>
          <w:tcPr>
            <w:tcW w:w="13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6,601</w:t>
            </w:r>
          </w:p>
        </w:tc>
        <w:tc>
          <w:tcPr>
            <w:tcW w:w="680" w:type="dxa"/>
            <w:vAlign w:val="bottom"/>
          </w:tcPr>
          <w:p>
            <w:pPr>
              <w:spacing w:after="0"/>
              <w:rPr>
                <w:sz w:val="24"/>
                <w:szCs w:val="24"/>
                <w:color w:val="auto"/>
              </w:rPr>
            </w:pP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5,573</w:t>
            </w:r>
          </w:p>
        </w:tc>
        <w:tc>
          <w:tcPr>
            <w:tcW w:w="0" w:type="dxa"/>
            <w:vAlign w:val="bottom"/>
          </w:tcPr>
          <w:p>
            <w:pPr>
              <w:spacing w:after="0"/>
              <w:rPr>
                <w:sz w:val="1"/>
                <w:szCs w:val="1"/>
                <w:color w:val="auto"/>
              </w:rPr>
            </w:pPr>
          </w:p>
        </w:tc>
      </w:tr>
      <w:tr>
        <w:trPr>
          <w:trHeight w:val="296"/>
        </w:trPr>
        <w:tc>
          <w:tcPr>
            <w:tcW w:w="5060" w:type="dxa"/>
            <w:vAlign w:val="bottom"/>
          </w:tcPr>
          <w:p>
            <w:pPr>
              <w:spacing w:after="0"/>
              <w:rPr>
                <w:sz w:val="24"/>
                <w:szCs w:val="24"/>
                <w:color w:val="auto"/>
              </w:rPr>
            </w:pPr>
          </w:p>
        </w:tc>
        <w:tc>
          <w:tcPr>
            <w:tcW w:w="1800" w:type="dxa"/>
            <w:vAlign w:val="bottom"/>
            <w:gridSpan w:val="2"/>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Loss before income taxes</w:t>
            </w:r>
          </w:p>
        </w:tc>
        <w:tc>
          <w:tcPr>
            <w:tcW w:w="480" w:type="dxa"/>
            <w:vAlign w:val="bottom"/>
          </w:tcPr>
          <w:p>
            <w:pPr>
              <w:spacing w:after="0"/>
              <w:rPr>
                <w:sz w:val="24"/>
                <w:szCs w:val="24"/>
                <w:color w:val="auto"/>
              </w:rPr>
            </w:pPr>
          </w:p>
        </w:tc>
        <w:tc>
          <w:tcPr>
            <w:tcW w:w="13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(12,631)</w:t>
            </w:r>
          </w:p>
        </w:tc>
        <w:tc>
          <w:tcPr>
            <w:tcW w:w="6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(7,206)</w:t>
            </w:r>
          </w:p>
        </w:tc>
        <w:tc>
          <w:tcPr>
            <w:tcW w:w="0" w:type="dxa"/>
            <w:vAlign w:val="bottom"/>
          </w:tcPr>
          <w:p>
            <w:pPr>
              <w:spacing w:after="0"/>
              <w:rPr>
                <w:sz w:val="1"/>
                <w:szCs w:val="1"/>
                <w:color w:val="auto"/>
              </w:rPr>
            </w:pPr>
          </w:p>
        </w:tc>
      </w:tr>
      <w:tr>
        <w:trPr>
          <w:trHeight w:val="311"/>
        </w:trPr>
        <w:tc>
          <w:tcPr>
            <w:tcW w:w="5060" w:type="dxa"/>
            <w:vAlign w:val="bottom"/>
          </w:tcPr>
          <w:p>
            <w:pPr>
              <w:spacing w:after="0"/>
              <w:rPr>
                <w:sz w:val="20"/>
                <w:szCs w:val="20"/>
                <w:color w:val="auto"/>
              </w:rPr>
            </w:pPr>
            <w:r>
              <w:rPr>
                <w:rFonts w:ascii="Courier New" w:cs="Courier New" w:eastAsia="Courier New" w:hAnsi="Courier New"/>
                <w:sz w:val="18"/>
                <w:szCs w:val="18"/>
                <w:color w:val="auto"/>
              </w:rPr>
              <w:t>Income tax benefit</w:t>
            </w:r>
          </w:p>
        </w:tc>
        <w:tc>
          <w:tcPr>
            <w:tcW w:w="480" w:type="dxa"/>
            <w:vAlign w:val="bottom"/>
          </w:tcPr>
          <w:p>
            <w:pPr>
              <w:spacing w:after="0"/>
              <w:rPr>
                <w:sz w:val="24"/>
                <w:szCs w:val="24"/>
                <w:color w:val="auto"/>
              </w:rPr>
            </w:pPr>
          </w:p>
        </w:tc>
        <w:tc>
          <w:tcPr>
            <w:tcW w:w="13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(5,457)</w:t>
            </w:r>
          </w:p>
        </w:tc>
        <w:tc>
          <w:tcPr>
            <w:tcW w:w="6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(3,113)</w:t>
            </w:r>
          </w:p>
        </w:tc>
        <w:tc>
          <w:tcPr>
            <w:tcW w:w="0" w:type="dxa"/>
            <w:vAlign w:val="bottom"/>
          </w:tcPr>
          <w:p>
            <w:pPr>
              <w:spacing w:after="0"/>
              <w:rPr>
                <w:sz w:val="1"/>
                <w:szCs w:val="1"/>
                <w:color w:val="auto"/>
              </w:rPr>
            </w:pPr>
          </w:p>
        </w:tc>
      </w:tr>
      <w:tr>
        <w:trPr>
          <w:trHeight w:val="296"/>
        </w:trPr>
        <w:tc>
          <w:tcPr>
            <w:tcW w:w="5060" w:type="dxa"/>
            <w:vAlign w:val="bottom"/>
          </w:tcPr>
          <w:p>
            <w:pPr>
              <w:spacing w:after="0"/>
              <w:rPr>
                <w:sz w:val="24"/>
                <w:szCs w:val="24"/>
                <w:color w:val="auto"/>
              </w:rPr>
            </w:pPr>
          </w:p>
        </w:tc>
        <w:tc>
          <w:tcPr>
            <w:tcW w:w="1800" w:type="dxa"/>
            <w:vAlign w:val="bottom"/>
            <w:gridSpan w:val="2"/>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060" w:type="dxa"/>
            <w:vAlign w:val="bottom"/>
          </w:tcPr>
          <w:p>
            <w:pPr>
              <w:spacing w:after="0"/>
              <w:rPr>
                <w:sz w:val="20"/>
                <w:szCs w:val="20"/>
                <w:color w:val="auto"/>
              </w:rPr>
            </w:pPr>
            <w:r>
              <w:rPr>
                <w:rFonts w:ascii="Courier New" w:cs="Courier New" w:eastAsia="Courier New" w:hAnsi="Courier New"/>
                <w:sz w:val="18"/>
                <w:szCs w:val="18"/>
                <w:color w:val="auto"/>
              </w:rPr>
              <w:t>Net loss</w:t>
            </w:r>
          </w:p>
        </w:tc>
        <w:tc>
          <w:tcPr>
            <w:tcW w:w="480" w:type="dxa"/>
            <w:vAlign w:val="bottom"/>
          </w:tcPr>
          <w:p>
            <w:pPr>
              <w:spacing w:after="0"/>
              <w:rPr>
                <w:sz w:val="24"/>
                <w:szCs w:val="24"/>
                <w:color w:val="auto"/>
              </w:rPr>
            </w:pPr>
          </w:p>
        </w:tc>
        <w:tc>
          <w:tcPr>
            <w:tcW w:w="13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(7,174)</w:t>
            </w:r>
          </w:p>
        </w:tc>
        <w:tc>
          <w:tcPr>
            <w:tcW w:w="6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(4,093)</w:t>
            </w:r>
          </w:p>
        </w:tc>
        <w:tc>
          <w:tcPr>
            <w:tcW w:w="0" w:type="dxa"/>
            <w:vAlign w:val="bottom"/>
          </w:tcPr>
          <w:p>
            <w:pPr>
              <w:spacing w:after="0"/>
              <w:rPr>
                <w:sz w:val="1"/>
                <w:szCs w:val="1"/>
                <w:color w:val="auto"/>
              </w:rPr>
            </w:pP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Preferred stock dividends</w:t>
            </w:r>
          </w:p>
        </w:tc>
        <w:tc>
          <w:tcPr>
            <w:tcW w:w="480" w:type="dxa"/>
            <w:vAlign w:val="bottom"/>
          </w:tcPr>
          <w:p>
            <w:pPr>
              <w:spacing w:after="0"/>
              <w:rPr>
                <w:sz w:val="17"/>
                <w:szCs w:val="17"/>
                <w:color w:val="auto"/>
              </w:rPr>
            </w:pPr>
          </w:p>
        </w:tc>
        <w:tc>
          <w:tcPr>
            <w:tcW w:w="1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2,436</w:t>
            </w:r>
          </w:p>
        </w:tc>
        <w:tc>
          <w:tcPr>
            <w:tcW w:w="68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2,437</w:t>
            </w:r>
          </w:p>
        </w:tc>
        <w:tc>
          <w:tcPr>
            <w:tcW w:w="0" w:type="dxa"/>
            <w:vAlign w:val="bottom"/>
          </w:tcPr>
          <w:p>
            <w:pPr>
              <w:spacing w:after="0"/>
              <w:rPr>
                <w:sz w:val="1"/>
                <w:szCs w:val="1"/>
                <w:color w:val="auto"/>
              </w:rPr>
            </w:pPr>
          </w:p>
        </w:tc>
      </w:tr>
      <w:tr>
        <w:trPr>
          <w:trHeight w:val="203"/>
        </w:trPr>
        <w:tc>
          <w:tcPr>
            <w:tcW w:w="5060" w:type="dxa"/>
            <w:vAlign w:val="bottom"/>
            <w:vMerge w:val="restart"/>
          </w:tcPr>
          <w:p>
            <w:pPr>
              <w:spacing w:after="0"/>
              <w:rPr>
                <w:sz w:val="20"/>
                <w:szCs w:val="20"/>
                <w:color w:val="auto"/>
              </w:rPr>
            </w:pPr>
            <w:r>
              <w:rPr>
                <w:rFonts w:ascii="Courier New" w:cs="Courier New" w:eastAsia="Courier New" w:hAnsi="Courier New"/>
                <w:sz w:val="18"/>
                <w:szCs w:val="18"/>
                <w:color w:val="auto"/>
              </w:rPr>
              <w:t>Loss applicable to common shareholders</w:t>
            </w:r>
          </w:p>
        </w:tc>
        <w:tc>
          <w:tcPr>
            <w:tcW w:w="180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060" w:type="dxa"/>
            <w:vAlign w:val="bottom"/>
            <w:vMerge w:val="continue"/>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(9,610)</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(6,530)</w:t>
            </w:r>
          </w:p>
        </w:tc>
        <w:tc>
          <w:tcPr>
            <w:tcW w:w="0" w:type="dxa"/>
            <w:vAlign w:val="bottom"/>
          </w:tcPr>
          <w:p>
            <w:pPr>
              <w:spacing w:after="0"/>
              <w:rPr>
                <w:sz w:val="1"/>
                <w:szCs w:val="1"/>
                <w:color w:val="auto"/>
              </w:rPr>
            </w:pPr>
          </w:p>
        </w:tc>
      </w:tr>
      <w:tr>
        <w:trPr>
          <w:trHeight w:val="296"/>
        </w:trPr>
        <w:tc>
          <w:tcPr>
            <w:tcW w:w="5060" w:type="dxa"/>
            <w:vAlign w:val="bottom"/>
          </w:tcPr>
          <w:p>
            <w:pPr>
              <w:spacing w:after="0"/>
              <w:rPr>
                <w:sz w:val="24"/>
                <w:szCs w:val="24"/>
                <w:color w:val="auto"/>
              </w:rPr>
            </w:pPr>
          </w:p>
        </w:tc>
        <w:tc>
          <w:tcPr>
            <w:tcW w:w="1800" w:type="dxa"/>
            <w:vAlign w:val="bottom"/>
            <w:gridSpan w:val="2"/>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514"/>
        </w:trPr>
        <w:tc>
          <w:tcPr>
            <w:tcW w:w="5060" w:type="dxa"/>
            <w:vAlign w:val="bottom"/>
          </w:tcPr>
          <w:p>
            <w:pPr>
              <w:spacing w:after="0"/>
              <w:rPr>
                <w:sz w:val="20"/>
                <w:szCs w:val="20"/>
                <w:color w:val="auto"/>
              </w:rPr>
            </w:pPr>
            <w:r>
              <w:rPr>
                <w:rFonts w:ascii="Courier New" w:cs="Courier New" w:eastAsia="Courier New" w:hAnsi="Courier New"/>
                <w:sz w:val="18"/>
                <w:szCs w:val="18"/>
                <w:color w:val="auto"/>
              </w:rPr>
              <w:t>Net loss per common share</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(.51)</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(.35)</w:t>
            </w:r>
          </w:p>
        </w:tc>
        <w:tc>
          <w:tcPr>
            <w:tcW w:w="0" w:type="dxa"/>
            <w:vAlign w:val="bottom"/>
          </w:tcPr>
          <w:p>
            <w:pPr>
              <w:spacing w:after="0"/>
              <w:rPr>
                <w:sz w:val="1"/>
                <w:szCs w:val="1"/>
                <w:color w:val="auto"/>
              </w:rPr>
            </w:pPr>
          </w:p>
        </w:tc>
      </w:tr>
      <w:tr>
        <w:trPr>
          <w:trHeight w:val="296"/>
        </w:trPr>
        <w:tc>
          <w:tcPr>
            <w:tcW w:w="5060" w:type="dxa"/>
            <w:vAlign w:val="bottom"/>
          </w:tcPr>
          <w:p>
            <w:pPr>
              <w:spacing w:after="0"/>
              <w:rPr>
                <w:sz w:val="24"/>
                <w:szCs w:val="24"/>
                <w:color w:val="auto"/>
              </w:rPr>
            </w:pPr>
          </w:p>
        </w:tc>
        <w:tc>
          <w:tcPr>
            <w:tcW w:w="1800" w:type="dxa"/>
            <w:vAlign w:val="bottom"/>
            <w:gridSpan w:val="2"/>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060" w:type="dxa"/>
            <w:vAlign w:val="bottom"/>
          </w:tcPr>
          <w:p>
            <w:pPr>
              <w:spacing w:after="0"/>
              <w:rPr>
                <w:sz w:val="20"/>
                <w:szCs w:val="20"/>
                <w:color w:val="auto"/>
              </w:rPr>
            </w:pPr>
            <w:r>
              <w:rPr>
                <w:rFonts w:ascii="Courier New" w:cs="Courier New" w:eastAsia="Courier New" w:hAnsi="Courier New"/>
                <w:sz w:val="18"/>
                <w:szCs w:val="18"/>
                <w:color w:val="auto"/>
              </w:rPr>
              <w:t>Common shares used in net loss per</w:t>
            </w:r>
          </w:p>
        </w:tc>
        <w:tc>
          <w:tcPr>
            <w:tcW w:w="480" w:type="dxa"/>
            <w:vAlign w:val="bottom"/>
          </w:tcPr>
          <w:p>
            <w:pPr>
              <w:spacing w:after="0"/>
              <w:rPr>
                <w:sz w:val="24"/>
                <w:szCs w:val="24"/>
                <w:color w:val="auto"/>
              </w:rPr>
            </w:pPr>
          </w:p>
        </w:tc>
        <w:tc>
          <w:tcPr>
            <w:tcW w:w="1320" w:type="dxa"/>
            <w:vAlign w:val="bottom"/>
            <w:vMerge w:val="restart"/>
          </w:tcPr>
          <w:p>
            <w:pPr>
              <w:jc w:val="right"/>
              <w:ind w:right="452"/>
              <w:spacing w:after="0"/>
              <w:rPr>
                <w:sz w:val="20"/>
                <w:szCs w:val="20"/>
                <w:color w:val="auto"/>
              </w:rPr>
            </w:pPr>
            <w:r>
              <w:rPr>
                <w:rFonts w:ascii="Courier New" w:cs="Courier New" w:eastAsia="Courier New" w:hAnsi="Courier New"/>
                <w:sz w:val="18"/>
                <w:szCs w:val="18"/>
                <w:color w:val="auto"/>
              </w:rPr>
              <w:t>18,689</w:t>
            </w:r>
          </w:p>
        </w:tc>
        <w:tc>
          <w:tcPr>
            <w:tcW w:w="680" w:type="dxa"/>
            <w:vAlign w:val="bottom"/>
          </w:tcPr>
          <w:p>
            <w:pPr>
              <w:spacing w:after="0"/>
              <w:rPr>
                <w:sz w:val="24"/>
                <w:szCs w:val="24"/>
                <w:color w:val="auto"/>
              </w:rPr>
            </w:pPr>
          </w:p>
        </w:tc>
        <w:tc>
          <w:tcPr>
            <w:tcW w:w="9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18,575</w:t>
            </w:r>
          </w:p>
        </w:tc>
        <w:tc>
          <w:tcPr>
            <w:tcW w:w="0" w:type="dxa"/>
            <w:vAlign w:val="bottom"/>
          </w:tcPr>
          <w:p>
            <w:pPr>
              <w:spacing w:after="0"/>
              <w:rPr>
                <w:sz w:val="1"/>
                <w:szCs w:val="1"/>
                <w:color w:val="auto"/>
              </w:rPr>
            </w:pPr>
          </w:p>
        </w:tc>
      </w:tr>
      <w:tr>
        <w:trPr>
          <w:trHeight w:val="203"/>
        </w:trPr>
        <w:tc>
          <w:tcPr>
            <w:tcW w:w="50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common share computation</w:t>
            </w:r>
          </w:p>
        </w:tc>
        <w:tc>
          <w:tcPr>
            <w:tcW w:w="48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5060" w:type="dxa"/>
            <w:vAlign w:val="bottom"/>
          </w:tcPr>
          <w:p>
            <w:pPr>
              <w:spacing w:after="0"/>
              <w:rPr>
                <w:sz w:val="24"/>
                <w:szCs w:val="24"/>
                <w:color w:val="auto"/>
              </w:rPr>
            </w:pPr>
          </w:p>
        </w:tc>
        <w:tc>
          <w:tcPr>
            <w:tcW w:w="1800" w:type="dxa"/>
            <w:vAlign w:val="bottom"/>
            <w:gridSpan w:val="2"/>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Notes to Consolidated Financial Statements</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3</w:t>
      </w:r>
    </w:p>
    <w:p>
      <w:pPr>
        <w:sectPr>
          <w:pgSz w:w="11900" w:h="16838" w:orient="portrait"/>
          <w:cols w:equalWidth="0" w:num="1">
            <w:col w:w="10219"/>
          </w:cols>
          <w:pgMar w:left="240" w:top="1096" w:right="1440" w:bottom="1440" w:gutter="0" w:footer="0" w:header="0"/>
        </w:sectPr>
      </w:pPr>
    </w:p>
    <w:bookmarkStart w:id="3" w:name="page4"/>
    <w:bookmarkEnd w:id="3"/>
    <w:p>
      <w:pPr>
        <w:jc w:val="center"/>
        <w:ind w:right="1679"/>
        <w:spacing w:after="0"/>
        <w:rPr>
          <w:sz w:val="20"/>
          <w:szCs w:val="20"/>
          <w:color w:val="auto"/>
        </w:rPr>
      </w:pPr>
      <w:r>
        <w:rPr>
          <w:rFonts w:ascii="Courier New" w:cs="Courier New" w:eastAsia="Courier New" w:hAnsi="Courier New"/>
          <w:sz w:val="18"/>
          <w:szCs w:val="18"/>
          <w:color w:val="auto"/>
        </w:rPr>
        <w:t>THE SCOTTS COMPANY AND SUBSIDIARIES</w:t>
      </w:r>
    </w:p>
    <w:p>
      <w:pPr>
        <w:spacing w:after="0" w:line="29"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CONSOLIDATED STATEMENTS OF CASH FLOWS</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(Unaudited)</w:t>
      </w:r>
    </w:p>
    <w:tbl>
      <w:tblPr>
        <w:tblLayout w:type="fixed"/>
        <w:tblInd w:w="0" w:type="dxa"/>
        <w:tblCellMar>
          <w:top w:w="0" w:type="dxa"/>
          <w:left w:w="0" w:type="dxa"/>
          <w:bottom w:w="0" w:type="dxa"/>
          <w:right w:w="0" w:type="dxa"/>
        </w:tblCellMar>
      </w:tblPr>
      <w:tr>
        <w:trPr>
          <w:trHeight w:val="296"/>
        </w:trPr>
        <w:tc>
          <w:tcPr>
            <w:tcW w:w="6600" w:type="dxa"/>
            <w:vAlign w:val="bottom"/>
          </w:tcPr>
          <w:p>
            <w:pPr>
              <w:ind w:left="3480"/>
              <w:spacing w:after="0"/>
              <w:rPr>
                <w:sz w:val="20"/>
                <w:szCs w:val="20"/>
                <w:color w:val="auto"/>
              </w:rPr>
            </w:pPr>
            <w:r>
              <w:rPr>
                <w:rFonts w:ascii="Courier New" w:cs="Courier New" w:eastAsia="Courier New" w:hAnsi="Courier New"/>
                <w:sz w:val="18"/>
                <w:szCs w:val="18"/>
                <w:color w:val="auto"/>
              </w:rPr>
              <w:t>(in thousands)</w:t>
            </w: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2"/>
        </w:trPr>
        <w:tc>
          <w:tcPr>
            <w:tcW w:w="6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Three</w:t>
            </w:r>
          </w:p>
        </w:tc>
        <w:tc>
          <w:tcPr>
            <w:tcW w:w="1800" w:type="dxa"/>
            <w:vAlign w:val="bottom"/>
            <w:gridSpan w:val="3"/>
          </w:tcPr>
          <w:p>
            <w:pPr>
              <w:spacing w:after="0"/>
              <w:rPr>
                <w:sz w:val="20"/>
                <w:szCs w:val="20"/>
                <w:color w:val="auto"/>
              </w:rPr>
            </w:pPr>
            <w:r>
              <w:rPr>
                <w:rFonts w:ascii="Courier New" w:cs="Courier New" w:eastAsia="Courier New" w:hAnsi="Courier New"/>
                <w:sz w:val="18"/>
                <w:szCs w:val="18"/>
                <w:color w:val="auto"/>
              </w:rPr>
              <w:t>Months Ended</w:t>
            </w:r>
          </w:p>
        </w:tc>
        <w:tc>
          <w:tcPr>
            <w:tcW w:w="0" w:type="dxa"/>
            <w:vAlign w:val="bottom"/>
          </w:tcPr>
          <w:p>
            <w:pPr>
              <w:spacing w:after="0"/>
              <w:rPr>
                <w:sz w:val="1"/>
                <w:szCs w:val="1"/>
                <w:color w:val="auto"/>
              </w:rPr>
            </w:pPr>
          </w:p>
        </w:tc>
      </w:tr>
      <w:tr>
        <w:trPr>
          <w:trHeight w:val="203"/>
        </w:trPr>
        <w:tc>
          <w:tcPr>
            <w:tcW w:w="6600" w:type="dxa"/>
            <w:vAlign w:val="bottom"/>
          </w:tcPr>
          <w:p>
            <w:pPr>
              <w:spacing w:after="0"/>
              <w:rPr>
                <w:sz w:val="17"/>
                <w:szCs w:val="17"/>
                <w:color w:val="auto"/>
              </w:rPr>
            </w:pPr>
          </w:p>
        </w:tc>
        <w:tc>
          <w:tcPr>
            <w:tcW w:w="3100" w:type="dxa"/>
            <w:vAlign w:val="bottom"/>
            <w:gridSpan w:val="5"/>
          </w:tcPr>
          <w:p>
            <w:pPr>
              <w:ind w:left="36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6600" w:type="dxa"/>
            <w:vAlign w:val="bottom"/>
          </w:tcPr>
          <w:p>
            <w:pPr>
              <w:spacing w:after="0"/>
              <w:rPr>
                <w:sz w:val="17"/>
                <w:szCs w:val="17"/>
                <w:color w:val="auto"/>
              </w:rPr>
            </w:pPr>
          </w:p>
        </w:tc>
        <w:tc>
          <w:tcPr>
            <w:tcW w:w="13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December</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30</w:t>
            </w:r>
          </w:p>
        </w:tc>
        <w:tc>
          <w:tcPr>
            <w:tcW w:w="1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December 28</w:t>
            </w:r>
          </w:p>
        </w:tc>
        <w:tc>
          <w:tcPr>
            <w:tcW w:w="0" w:type="dxa"/>
            <w:vAlign w:val="bottom"/>
          </w:tcPr>
          <w:p>
            <w:pPr>
              <w:spacing w:after="0"/>
              <w:rPr>
                <w:sz w:val="1"/>
                <w:szCs w:val="1"/>
                <w:color w:val="auto"/>
              </w:rPr>
            </w:pPr>
          </w:p>
        </w:tc>
      </w:tr>
      <w:tr>
        <w:trPr>
          <w:trHeight w:val="203"/>
        </w:trPr>
        <w:tc>
          <w:tcPr>
            <w:tcW w:w="6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1995</w:t>
            </w: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1996</w:t>
            </w:r>
          </w:p>
        </w:tc>
        <w:tc>
          <w:tcPr>
            <w:tcW w:w="0" w:type="dxa"/>
            <w:vAlign w:val="bottom"/>
          </w:tcPr>
          <w:p>
            <w:pPr>
              <w:spacing w:after="0"/>
              <w:rPr>
                <w:sz w:val="1"/>
                <w:szCs w:val="1"/>
                <w:color w:val="auto"/>
              </w:rPr>
            </w:pPr>
          </w:p>
        </w:tc>
      </w:tr>
      <w:tr>
        <w:trPr>
          <w:trHeight w:val="296"/>
        </w:trPr>
        <w:tc>
          <w:tcPr>
            <w:tcW w:w="6600" w:type="dxa"/>
            <w:vAlign w:val="bottom"/>
          </w:tcPr>
          <w:p>
            <w:pPr>
              <w:spacing w:after="0"/>
              <w:rPr>
                <w:sz w:val="24"/>
                <w:szCs w:val="24"/>
                <w:color w:val="auto"/>
              </w:rPr>
            </w:pPr>
          </w:p>
        </w:tc>
        <w:tc>
          <w:tcPr>
            <w:tcW w:w="1720" w:type="dxa"/>
            <w:vAlign w:val="bottom"/>
            <w:gridSpan w:val="3"/>
          </w:tcPr>
          <w:p>
            <w:pPr>
              <w:ind w:left="360"/>
              <w:spacing w:after="0"/>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660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130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rPr>
              <w:t>$ (7,174)</w:t>
            </w:r>
          </w:p>
        </w:tc>
        <w:tc>
          <w:tcPr>
            <w:tcW w:w="420" w:type="dxa"/>
            <w:vAlign w:val="bottom"/>
          </w:tcPr>
          <w:p>
            <w:pPr>
              <w:spacing w:after="0"/>
              <w:rPr>
                <w:sz w:val="24"/>
                <w:szCs w:val="24"/>
                <w:color w:val="auto"/>
              </w:rPr>
            </w:pPr>
          </w:p>
        </w:tc>
        <w:tc>
          <w:tcPr>
            <w:tcW w:w="1380" w:type="dxa"/>
            <w:vAlign w:val="bottom"/>
            <w:gridSpan w:val="2"/>
            <w:vMerge w:val="restart"/>
          </w:tcPr>
          <w:p>
            <w:pPr>
              <w:jc w:val="right"/>
              <w:ind w:right="12"/>
              <w:spacing w:after="0"/>
              <w:rPr>
                <w:sz w:val="20"/>
                <w:szCs w:val="20"/>
                <w:color w:val="auto"/>
              </w:rPr>
            </w:pPr>
            <w:r>
              <w:rPr>
                <w:rFonts w:ascii="Courier New" w:cs="Courier New" w:eastAsia="Courier New" w:hAnsi="Courier New"/>
                <w:sz w:val="18"/>
                <w:szCs w:val="18"/>
                <w:color w:val="auto"/>
              </w:rPr>
              <w:t>$ (4,093)</w:t>
            </w:r>
          </w:p>
        </w:tc>
        <w:tc>
          <w:tcPr>
            <w:tcW w:w="0" w:type="dxa"/>
            <w:vAlign w:val="bottom"/>
          </w:tcPr>
          <w:p>
            <w:pPr>
              <w:spacing w:after="0"/>
              <w:rPr>
                <w:sz w:val="1"/>
                <w:szCs w:val="1"/>
                <w:color w:val="auto"/>
              </w:rPr>
            </w:pPr>
          </w:p>
        </w:tc>
      </w:tr>
      <w:tr>
        <w:trPr>
          <w:trHeight w:val="203"/>
        </w:trPr>
        <w:tc>
          <w:tcPr>
            <w:tcW w:w="6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loss</w:t>
            </w:r>
          </w:p>
        </w:tc>
        <w:tc>
          <w:tcPr>
            <w:tcW w:w="1300" w:type="dxa"/>
            <w:vAlign w:val="bottom"/>
            <w:gridSpan w:val="2"/>
            <w:vMerge w:val="continue"/>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Adjustments to reconcile net loss to net cash</w:t>
            </w: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used in operating activities:</w:t>
            </w:r>
          </w:p>
        </w:tc>
        <w:tc>
          <w:tcPr>
            <w:tcW w:w="460" w:type="dxa"/>
            <w:vAlign w:val="bottom"/>
          </w:tcPr>
          <w:p>
            <w:pPr>
              <w:spacing w:after="0"/>
              <w:rPr>
                <w:sz w:val="17"/>
                <w:szCs w:val="17"/>
                <w:color w:val="auto"/>
              </w:rPr>
            </w:pPr>
          </w:p>
        </w:tc>
        <w:tc>
          <w:tcPr>
            <w:tcW w:w="8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7,280</w:t>
            </w: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7,363</w:t>
            </w:r>
          </w:p>
        </w:tc>
        <w:tc>
          <w:tcPr>
            <w:tcW w:w="0" w:type="dxa"/>
            <w:vAlign w:val="bottom"/>
          </w:tcPr>
          <w:p>
            <w:pPr>
              <w:spacing w:after="0"/>
              <w:rPr>
                <w:sz w:val="1"/>
                <w:szCs w:val="1"/>
                <w:color w:val="auto"/>
              </w:rPr>
            </w:pPr>
          </w:p>
        </w:tc>
      </w:tr>
      <w:tr>
        <w:trPr>
          <w:trHeight w:val="203"/>
        </w:trPr>
        <w:tc>
          <w:tcPr>
            <w:tcW w:w="66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4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Equity in income of unconsolidated business</w:t>
            </w:r>
          </w:p>
        </w:tc>
        <w:tc>
          <w:tcPr>
            <w:tcW w:w="4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(191)</w:t>
            </w: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(90)</w:t>
            </w:r>
          </w:p>
        </w:tc>
        <w:tc>
          <w:tcPr>
            <w:tcW w:w="0" w:type="dxa"/>
            <w:vAlign w:val="bottom"/>
          </w:tcPr>
          <w:p>
            <w:pPr>
              <w:spacing w:after="0"/>
              <w:rPr>
                <w:sz w:val="1"/>
                <w:szCs w:val="1"/>
                <w:color w:val="auto"/>
              </w:rPr>
            </w:pPr>
          </w:p>
        </w:tc>
      </w:tr>
      <w:tr>
        <w:trPr>
          <w:trHeight w:val="203"/>
        </w:trPr>
        <w:tc>
          <w:tcPr>
            <w:tcW w:w="66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Postretirement benefits</w:t>
            </w:r>
          </w:p>
        </w:tc>
        <w:tc>
          <w:tcPr>
            <w:tcW w:w="4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w:t>
            </w: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45</w:t>
            </w:r>
          </w:p>
        </w:tc>
        <w:tc>
          <w:tcPr>
            <w:tcW w:w="0" w:type="dxa"/>
            <w:vAlign w:val="bottom"/>
          </w:tcPr>
          <w:p>
            <w:pPr>
              <w:spacing w:after="0"/>
              <w:rPr>
                <w:sz w:val="1"/>
                <w:szCs w:val="1"/>
                <w:color w:val="auto"/>
              </w:rPr>
            </w:pPr>
          </w:p>
        </w:tc>
      </w:tr>
      <w:tr>
        <w:trPr>
          <w:trHeight w:val="203"/>
        </w:trPr>
        <w:tc>
          <w:tcPr>
            <w:tcW w:w="66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Net increase in certain components of</w:t>
            </w:r>
          </w:p>
        </w:tc>
        <w:tc>
          <w:tcPr>
            <w:tcW w:w="46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4"/>
              </w:rPr>
              <w:t>(81,432)</w:t>
            </w: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4"/>
              </w:rPr>
              <w:t>(66,529)</w:t>
            </w:r>
          </w:p>
        </w:tc>
        <w:tc>
          <w:tcPr>
            <w:tcW w:w="0" w:type="dxa"/>
            <w:vAlign w:val="bottom"/>
          </w:tcPr>
          <w:p>
            <w:pPr>
              <w:spacing w:after="0"/>
              <w:rPr>
                <w:sz w:val="1"/>
                <w:szCs w:val="1"/>
                <w:color w:val="auto"/>
              </w:rPr>
            </w:pPr>
          </w:p>
        </w:tc>
      </w:tr>
      <w:tr>
        <w:trPr>
          <w:trHeight w:val="203"/>
        </w:trPr>
        <w:tc>
          <w:tcPr>
            <w:tcW w:w="660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working capital</w:t>
            </w:r>
          </w:p>
        </w:tc>
        <w:tc>
          <w:tcPr>
            <w:tcW w:w="4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Net increase (decrease) in other assets and</w:t>
            </w:r>
          </w:p>
        </w:tc>
        <w:tc>
          <w:tcPr>
            <w:tcW w:w="460" w:type="dxa"/>
            <w:vAlign w:val="bottom"/>
          </w:tcPr>
          <w:p>
            <w:pPr>
              <w:spacing w:after="0"/>
              <w:rPr>
                <w:sz w:val="17"/>
                <w:szCs w:val="17"/>
                <w:color w:val="auto"/>
              </w:rPr>
            </w:pPr>
          </w:p>
        </w:tc>
        <w:tc>
          <w:tcPr>
            <w:tcW w:w="8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291</w:t>
            </w: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(599)</w:t>
            </w:r>
          </w:p>
        </w:tc>
        <w:tc>
          <w:tcPr>
            <w:tcW w:w="0" w:type="dxa"/>
            <w:vAlign w:val="bottom"/>
          </w:tcPr>
          <w:p>
            <w:pPr>
              <w:spacing w:after="0"/>
              <w:rPr>
                <w:sz w:val="1"/>
                <w:szCs w:val="1"/>
                <w:color w:val="auto"/>
              </w:rPr>
            </w:pPr>
          </w:p>
        </w:tc>
      </w:tr>
      <w:tr>
        <w:trPr>
          <w:trHeight w:val="203"/>
        </w:trPr>
        <w:tc>
          <w:tcPr>
            <w:tcW w:w="660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liabilities and other adjustments</w:t>
            </w:r>
          </w:p>
        </w:tc>
        <w:tc>
          <w:tcPr>
            <w:tcW w:w="4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6600" w:type="dxa"/>
            <w:vAlign w:val="bottom"/>
          </w:tcPr>
          <w:p>
            <w:pPr>
              <w:spacing w:after="0"/>
              <w:rPr>
                <w:sz w:val="24"/>
                <w:szCs w:val="24"/>
                <w:color w:val="auto"/>
              </w:rPr>
            </w:pPr>
          </w:p>
        </w:tc>
        <w:tc>
          <w:tcPr>
            <w:tcW w:w="13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24"/>
                <w:szCs w:val="24"/>
                <w:color w:val="auto"/>
              </w:rPr>
            </w:pPr>
          </w:p>
        </w:tc>
        <w:tc>
          <w:tcPr>
            <w:tcW w:w="13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6600" w:type="dxa"/>
            <w:vAlign w:val="bottom"/>
          </w:tcPr>
          <w:p>
            <w:pPr>
              <w:ind w:left="1900"/>
              <w:spacing w:after="0"/>
              <w:rPr>
                <w:sz w:val="20"/>
                <w:szCs w:val="20"/>
                <w:color w:val="auto"/>
              </w:rPr>
            </w:pPr>
            <w:r>
              <w:rPr>
                <w:rFonts w:ascii="Courier New" w:cs="Courier New" w:eastAsia="Courier New" w:hAnsi="Courier New"/>
                <w:sz w:val="18"/>
                <w:szCs w:val="18"/>
                <w:color w:val="auto"/>
              </w:rPr>
              <w:t>Net cash used in operating activities</w:t>
            </w: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w w:val="94"/>
              </w:rPr>
              <w:t>(81,181)</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4"/>
              </w:rPr>
              <w:t>(63,903)</w:t>
            </w:r>
          </w:p>
        </w:tc>
        <w:tc>
          <w:tcPr>
            <w:tcW w:w="0" w:type="dxa"/>
            <w:vAlign w:val="bottom"/>
          </w:tcPr>
          <w:p>
            <w:pPr>
              <w:spacing w:after="0"/>
              <w:rPr>
                <w:sz w:val="1"/>
                <w:szCs w:val="1"/>
                <w:color w:val="auto"/>
              </w:rPr>
            </w:pPr>
          </w:p>
        </w:tc>
      </w:tr>
      <w:tr>
        <w:trPr>
          <w:trHeight w:val="296"/>
        </w:trPr>
        <w:tc>
          <w:tcPr>
            <w:tcW w:w="6600" w:type="dxa"/>
            <w:vAlign w:val="bottom"/>
          </w:tcPr>
          <w:p>
            <w:pPr>
              <w:spacing w:after="0"/>
              <w:rPr>
                <w:sz w:val="24"/>
                <w:szCs w:val="24"/>
                <w:color w:val="auto"/>
              </w:rPr>
            </w:pPr>
          </w:p>
        </w:tc>
        <w:tc>
          <w:tcPr>
            <w:tcW w:w="13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24"/>
                <w:szCs w:val="24"/>
                <w:color w:val="auto"/>
              </w:rPr>
            </w:pPr>
          </w:p>
        </w:tc>
        <w:tc>
          <w:tcPr>
            <w:tcW w:w="13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660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46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(3,593)</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(1,257)</w:t>
            </w:r>
          </w:p>
        </w:tc>
        <w:tc>
          <w:tcPr>
            <w:tcW w:w="0" w:type="dxa"/>
            <w:vAlign w:val="bottom"/>
          </w:tcPr>
          <w:p>
            <w:pPr>
              <w:spacing w:after="0"/>
              <w:rPr>
                <w:sz w:val="1"/>
                <w:szCs w:val="1"/>
                <w:color w:val="auto"/>
              </w:rPr>
            </w:pPr>
          </w:p>
        </w:tc>
      </w:tr>
      <w:tr>
        <w:trPr>
          <w:trHeight w:val="203"/>
        </w:trPr>
        <w:tc>
          <w:tcPr>
            <w:tcW w:w="6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Investment in property, plant and equipment, net</w:t>
            </w:r>
          </w:p>
        </w:tc>
        <w:tc>
          <w:tcPr>
            <w:tcW w:w="4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6600" w:type="dxa"/>
            <w:vAlign w:val="bottom"/>
          </w:tcPr>
          <w:p>
            <w:pPr>
              <w:spacing w:after="0"/>
              <w:rPr>
                <w:sz w:val="24"/>
                <w:szCs w:val="24"/>
                <w:color w:val="auto"/>
              </w:rPr>
            </w:pPr>
          </w:p>
        </w:tc>
        <w:tc>
          <w:tcPr>
            <w:tcW w:w="13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24"/>
                <w:szCs w:val="24"/>
                <w:color w:val="auto"/>
              </w:rPr>
            </w:pPr>
          </w:p>
        </w:tc>
        <w:tc>
          <w:tcPr>
            <w:tcW w:w="13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6600" w:type="dxa"/>
            <w:vAlign w:val="bottom"/>
          </w:tcPr>
          <w:p>
            <w:pPr>
              <w:ind w:left="1900"/>
              <w:spacing w:after="0"/>
              <w:rPr>
                <w:sz w:val="20"/>
                <w:szCs w:val="20"/>
                <w:color w:val="auto"/>
              </w:rPr>
            </w:pPr>
            <w:r>
              <w:rPr>
                <w:rFonts w:ascii="Courier New" w:cs="Courier New" w:eastAsia="Courier New" w:hAnsi="Courier New"/>
                <w:sz w:val="18"/>
                <w:szCs w:val="18"/>
                <w:color w:val="auto"/>
              </w:rPr>
              <w:t>Net cash used in investing activities</w:t>
            </w: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(3,593)</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(1,257)</w:t>
            </w:r>
          </w:p>
        </w:tc>
        <w:tc>
          <w:tcPr>
            <w:tcW w:w="0" w:type="dxa"/>
            <w:vAlign w:val="bottom"/>
          </w:tcPr>
          <w:p>
            <w:pPr>
              <w:spacing w:after="0"/>
              <w:rPr>
                <w:sz w:val="1"/>
                <w:szCs w:val="1"/>
                <w:color w:val="auto"/>
              </w:rPr>
            </w:pPr>
          </w:p>
        </w:tc>
      </w:tr>
      <w:tr>
        <w:trPr>
          <w:trHeight w:val="296"/>
        </w:trPr>
        <w:tc>
          <w:tcPr>
            <w:tcW w:w="6600" w:type="dxa"/>
            <w:vAlign w:val="bottom"/>
          </w:tcPr>
          <w:p>
            <w:pPr>
              <w:spacing w:after="0"/>
              <w:rPr>
                <w:sz w:val="24"/>
                <w:szCs w:val="24"/>
                <w:color w:val="auto"/>
              </w:rPr>
            </w:pPr>
          </w:p>
        </w:tc>
        <w:tc>
          <w:tcPr>
            <w:tcW w:w="13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24"/>
                <w:szCs w:val="24"/>
                <w:color w:val="auto"/>
              </w:rPr>
            </w:pPr>
          </w:p>
        </w:tc>
        <w:tc>
          <w:tcPr>
            <w:tcW w:w="13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660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46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(182)</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Payments on term and other debt</w:t>
            </w:r>
          </w:p>
        </w:tc>
        <w:tc>
          <w:tcPr>
            <w:tcW w:w="4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Revolving lines of credit and bank line of credit, net</w:t>
            </w:r>
          </w:p>
        </w:tc>
        <w:tc>
          <w:tcPr>
            <w:tcW w:w="4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88,474</w:t>
            </w: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62,955</w:t>
            </w:r>
          </w:p>
        </w:tc>
        <w:tc>
          <w:tcPr>
            <w:tcW w:w="0" w:type="dxa"/>
            <w:vAlign w:val="bottom"/>
          </w:tcPr>
          <w:p>
            <w:pPr>
              <w:spacing w:after="0"/>
              <w:rPr>
                <w:sz w:val="1"/>
                <w:szCs w:val="1"/>
                <w:color w:val="auto"/>
              </w:rPr>
            </w:pPr>
          </w:p>
        </w:tc>
      </w:tr>
      <w:tr>
        <w:trPr>
          <w:trHeight w:val="203"/>
        </w:trPr>
        <w:tc>
          <w:tcPr>
            <w:tcW w:w="6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Deferred financing costs incurred</w:t>
            </w:r>
          </w:p>
        </w:tc>
        <w:tc>
          <w:tcPr>
            <w:tcW w:w="46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(184)</w:t>
            </w:r>
          </w:p>
        </w:tc>
        <w:tc>
          <w:tcPr>
            <w:tcW w:w="0" w:type="dxa"/>
            <w:vAlign w:val="bottom"/>
          </w:tcPr>
          <w:p>
            <w:pPr>
              <w:spacing w:after="0"/>
              <w:rPr>
                <w:sz w:val="1"/>
                <w:szCs w:val="1"/>
                <w:color w:val="auto"/>
              </w:rPr>
            </w:pPr>
          </w:p>
        </w:tc>
      </w:tr>
      <w:tr>
        <w:trPr>
          <w:trHeight w:val="203"/>
        </w:trPr>
        <w:tc>
          <w:tcPr>
            <w:tcW w:w="6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Dividends on preferred stock</w:t>
            </w:r>
          </w:p>
        </w:tc>
        <w:tc>
          <w:tcPr>
            <w:tcW w:w="4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(2,436)</w:t>
            </w: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(2,437)</w:t>
            </w:r>
          </w:p>
        </w:tc>
        <w:tc>
          <w:tcPr>
            <w:tcW w:w="0" w:type="dxa"/>
            <w:vAlign w:val="bottom"/>
          </w:tcPr>
          <w:p>
            <w:pPr>
              <w:spacing w:after="0"/>
              <w:rPr>
                <w:sz w:val="1"/>
                <w:szCs w:val="1"/>
                <w:color w:val="auto"/>
              </w:rPr>
            </w:pPr>
          </w:p>
        </w:tc>
      </w:tr>
      <w:tr>
        <w:trPr>
          <w:trHeight w:val="296"/>
        </w:trPr>
        <w:tc>
          <w:tcPr>
            <w:tcW w:w="6600" w:type="dxa"/>
            <w:vAlign w:val="bottom"/>
          </w:tcPr>
          <w:p>
            <w:pPr>
              <w:spacing w:after="0"/>
              <w:rPr>
                <w:sz w:val="24"/>
                <w:szCs w:val="24"/>
                <w:color w:val="auto"/>
              </w:rPr>
            </w:pPr>
          </w:p>
        </w:tc>
        <w:tc>
          <w:tcPr>
            <w:tcW w:w="13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24"/>
                <w:szCs w:val="24"/>
                <w:color w:val="auto"/>
              </w:rPr>
            </w:pPr>
          </w:p>
        </w:tc>
        <w:tc>
          <w:tcPr>
            <w:tcW w:w="13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6600" w:type="dxa"/>
            <w:vAlign w:val="bottom"/>
          </w:tcPr>
          <w:p>
            <w:pPr>
              <w:ind w:left="1900"/>
              <w:spacing w:after="0"/>
              <w:rPr>
                <w:sz w:val="20"/>
                <w:szCs w:val="20"/>
                <w:color w:val="auto"/>
              </w:rPr>
            </w:pPr>
            <w:r>
              <w:rPr>
                <w:rFonts w:ascii="Courier New" w:cs="Courier New" w:eastAsia="Courier New" w:hAnsi="Courier New"/>
                <w:sz w:val="18"/>
                <w:szCs w:val="18"/>
                <w:color w:val="auto"/>
              </w:rPr>
              <w:t>Net cash provided by financing activities</w:t>
            </w:r>
          </w:p>
        </w:tc>
        <w:tc>
          <w:tcPr>
            <w:tcW w:w="46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85,856</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60,334</w:t>
            </w:r>
          </w:p>
        </w:tc>
        <w:tc>
          <w:tcPr>
            <w:tcW w:w="0" w:type="dxa"/>
            <w:vAlign w:val="bottom"/>
          </w:tcPr>
          <w:p>
            <w:pPr>
              <w:spacing w:after="0"/>
              <w:rPr>
                <w:sz w:val="1"/>
                <w:szCs w:val="1"/>
                <w:color w:val="auto"/>
              </w:rPr>
            </w:pPr>
          </w:p>
        </w:tc>
      </w:tr>
      <w:tr>
        <w:trPr>
          <w:trHeight w:val="296"/>
        </w:trPr>
        <w:tc>
          <w:tcPr>
            <w:tcW w:w="6600" w:type="dxa"/>
            <w:vAlign w:val="bottom"/>
          </w:tcPr>
          <w:p>
            <w:pPr>
              <w:spacing w:after="0"/>
              <w:rPr>
                <w:sz w:val="24"/>
                <w:szCs w:val="24"/>
                <w:color w:val="auto"/>
              </w:rPr>
            </w:pPr>
          </w:p>
        </w:tc>
        <w:tc>
          <w:tcPr>
            <w:tcW w:w="13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24"/>
                <w:szCs w:val="24"/>
                <w:color w:val="auto"/>
              </w:rPr>
            </w:pPr>
          </w:p>
        </w:tc>
        <w:tc>
          <w:tcPr>
            <w:tcW w:w="13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6600" w:type="dxa"/>
            <w:vAlign w:val="bottom"/>
          </w:tcPr>
          <w:p>
            <w:pPr>
              <w:spacing w:after="0"/>
              <w:rPr>
                <w:sz w:val="20"/>
                <w:szCs w:val="20"/>
                <w:color w:val="auto"/>
              </w:rPr>
            </w:pPr>
            <w:r>
              <w:rPr>
                <w:rFonts w:ascii="Courier New" w:cs="Courier New" w:eastAsia="Courier New" w:hAnsi="Courier New"/>
                <w:sz w:val="18"/>
                <w:szCs w:val="18"/>
                <w:color w:val="auto"/>
              </w:rPr>
              <w:t>Effect of exchange rate changes on cash</w:t>
            </w: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(207)</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82</w:t>
            </w:r>
          </w:p>
        </w:tc>
        <w:tc>
          <w:tcPr>
            <w:tcW w:w="0" w:type="dxa"/>
            <w:vAlign w:val="bottom"/>
          </w:tcPr>
          <w:p>
            <w:pPr>
              <w:spacing w:after="0"/>
              <w:rPr>
                <w:sz w:val="1"/>
                <w:szCs w:val="1"/>
                <w:color w:val="auto"/>
              </w:rPr>
            </w:pPr>
          </w:p>
        </w:tc>
      </w:tr>
      <w:tr>
        <w:trPr>
          <w:trHeight w:val="296"/>
        </w:trPr>
        <w:tc>
          <w:tcPr>
            <w:tcW w:w="6600" w:type="dxa"/>
            <w:vAlign w:val="bottom"/>
          </w:tcPr>
          <w:p>
            <w:pPr>
              <w:spacing w:after="0"/>
              <w:rPr>
                <w:sz w:val="24"/>
                <w:szCs w:val="24"/>
                <w:color w:val="auto"/>
              </w:rPr>
            </w:pPr>
          </w:p>
        </w:tc>
        <w:tc>
          <w:tcPr>
            <w:tcW w:w="13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24"/>
                <w:szCs w:val="24"/>
                <w:color w:val="auto"/>
              </w:rPr>
            </w:pPr>
          </w:p>
        </w:tc>
        <w:tc>
          <w:tcPr>
            <w:tcW w:w="13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6600" w:type="dxa"/>
            <w:vAlign w:val="bottom"/>
          </w:tcPr>
          <w:p>
            <w:pPr>
              <w:spacing w:after="0"/>
              <w:rPr>
                <w:sz w:val="20"/>
                <w:szCs w:val="20"/>
                <w:color w:val="auto"/>
              </w:rPr>
            </w:pPr>
            <w:r>
              <w:rPr>
                <w:rFonts w:ascii="Courier New" w:cs="Courier New" w:eastAsia="Courier New" w:hAnsi="Courier New"/>
                <w:sz w:val="18"/>
                <w:szCs w:val="18"/>
                <w:color w:val="auto"/>
              </w:rPr>
              <w:t>Net increase (decrease) in cash</w:t>
            </w:r>
          </w:p>
        </w:tc>
        <w:tc>
          <w:tcPr>
            <w:tcW w:w="46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875</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(4,744)</w:t>
            </w:r>
          </w:p>
        </w:tc>
        <w:tc>
          <w:tcPr>
            <w:tcW w:w="0" w:type="dxa"/>
            <w:vAlign w:val="bottom"/>
          </w:tcPr>
          <w:p>
            <w:pPr>
              <w:spacing w:after="0"/>
              <w:rPr>
                <w:sz w:val="1"/>
                <w:szCs w:val="1"/>
                <w:color w:val="auto"/>
              </w:rPr>
            </w:pPr>
          </w:p>
        </w:tc>
      </w:tr>
      <w:tr>
        <w:trPr>
          <w:trHeight w:val="311"/>
        </w:trPr>
        <w:tc>
          <w:tcPr>
            <w:tcW w:w="6600" w:type="dxa"/>
            <w:vAlign w:val="bottom"/>
          </w:tcPr>
          <w:p>
            <w:pPr>
              <w:spacing w:after="0"/>
              <w:rPr>
                <w:sz w:val="20"/>
                <w:szCs w:val="20"/>
                <w:color w:val="auto"/>
              </w:rPr>
            </w:pPr>
            <w:r>
              <w:rPr>
                <w:rFonts w:ascii="Courier New" w:cs="Courier New" w:eastAsia="Courier New" w:hAnsi="Courier New"/>
                <w:sz w:val="18"/>
                <w:szCs w:val="18"/>
                <w:color w:val="auto"/>
              </w:rPr>
              <w:t>Cash at beginning of period</w:t>
            </w:r>
          </w:p>
        </w:tc>
        <w:tc>
          <w:tcPr>
            <w:tcW w:w="46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7,028</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10,598</w:t>
            </w:r>
          </w:p>
        </w:tc>
        <w:tc>
          <w:tcPr>
            <w:tcW w:w="0" w:type="dxa"/>
            <w:vAlign w:val="bottom"/>
          </w:tcPr>
          <w:p>
            <w:pPr>
              <w:spacing w:after="0"/>
              <w:rPr>
                <w:sz w:val="1"/>
                <w:szCs w:val="1"/>
                <w:color w:val="auto"/>
              </w:rPr>
            </w:pPr>
          </w:p>
        </w:tc>
      </w:tr>
      <w:tr>
        <w:trPr>
          <w:trHeight w:val="296"/>
        </w:trPr>
        <w:tc>
          <w:tcPr>
            <w:tcW w:w="6600" w:type="dxa"/>
            <w:vAlign w:val="bottom"/>
          </w:tcPr>
          <w:p>
            <w:pPr>
              <w:spacing w:after="0"/>
              <w:rPr>
                <w:sz w:val="24"/>
                <w:szCs w:val="24"/>
                <w:color w:val="auto"/>
              </w:rPr>
            </w:pPr>
          </w:p>
        </w:tc>
        <w:tc>
          <w:tcPr>
            <w:tcW w:w="13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24"/>
                <w:szCs w:val="24"/>
                <w:color w:val="auto"/>
              </w:rPr>
            </w:pPr>
          </w:p>
        </w:tc>
        <w:tc>
          <w:tcPr>
            <w:tcW w:w="13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6600" w:type="dxa"/>
            <w:vAlign w:val="bottom"/>
          </w:tcPr>
          <w:p>
            <w:pPr>
              <w:spacing w:after="0"/>
              <w:rPr>
                <w:sz w:val="20"/>
                <w:szCs w:val="20"/>
                <w:color w:val="auto"/>
              </w:rPr>
            </w:pPr>
            <w:r>
              <w:rPr>
                <w:rFonts w:ascii="Courier New" w:cs="Courier New" w:eastAsia="Courier New" w:hAnsi="Courier New"/>
                <w:sz w:val="18"/>
                <w:szCs w:val="18"/>
                <w:color w:val="auto"/>
              </w:rPr>
              <w:t>Cash at end of period</w:t>
            </w:r>
          </w:p>
        </w:tc>
        <w:tc>
          <w:tcPr>
            <w:tcW w:w="460" w:type="dxa"/>
            <w:vAlign w:val="bottom"/>
          </w:tcPr>
          <w:p>
            <w:pPr>
              <w:ind w:left="360"/>
              <w:spacing w:after="0"/>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7,903</w:t>
            </w:r>
          </w:p>
        </w:tc>
        <w:tc>
          <w:tcPr>
            <w:tcW w:w="4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5,854</w:t>
            </w:r>
          </w:p>
        </w:tc>
        <w:tc>
          <w:tcPr>
            <w:tcW w:w="0" w:type="dxa"/>
            <w:vAlign w:val="bottom"/>
          </w:tcPr>
          <w:p>
            <w:pPr>
              <w:spacing w:after="0"/>
              <w:rPr>
                <w:sz w:val="1"/>
                <w:szCs w:val="1"/>
                <w:color w:val="auto"/>
              </w:rPr>
            </w:pPr>
          </w:p>
        </w:tc>
      </w:tr>
      <w:tr>
        <w:trPr>
          <w:trHeight w:val="296"/>
        </w:trPr>
        <w:tc>
          <w:tcPr>
            <w:tcW w:w="6600" w:type="dxa"/>
            <w:vAlign w:val="bottom"/>
          </w:tcPr>
          <w:p>
            <w:pPr>
              <w:spacing w:after="0"/>
              <w:rPr>
                <w:sz w:val="24"/>
                <w:szCs w:val="24"/>
                <w:color w:val="auto"/>
              </w:rPr>
            </w:pPr>
          </w:p>
        </w:tc>
        <w:tc>
          <w:tcPr>
            <w:tcW w:w="13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24"/>
                <w:szCs w:val="24"/>
                <w:color w:val="auto"/>
              </w:rPr>
            </w:pPr>
          </w:p>
        </w:tc>
        <w:tc>
          <w:tcPr>
            <w:tcW w:w="13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6600" w:type="dxa"/>
            <w:vAlign w:val="bottom"/>
          </w:tcPr>
          <w:p>
            <w:pPr>
              <w:spacing w:after="0"/>
              <w:rPr>
                <w:sz w:val="20"/>
                <w:szCs w:val="20"/>
                <w:color w:val="auto"/>
              </w:rPr>
            </w:pPr>
            <w:r>
              <w:rPr>
                <w:rFonts w:ascii="Courier New" w:cs="Courier New" w:eastAsia="Courier New" w:hAnsi="Courier New"/>
                <w:sz w:val="18"/>
                <w:szCs w:val="18"/>
                <w:color w:val="auto"/>
              </w:rPr>
              <w:t>SUPPLEMENTAL CASH FLOW INFORMATION</w:t>
            </w:r>
          </w:p>
        </w:tc>
        <w:tc>
          <w:tcPr>
            <w:tcW w:w="460" w:type="dxa"/>
            <w:vAlign w:val="bottom"/>
            <w:vMerge w:val="restart"/>
          </w:tcPr>
          <w:p>
            <w:pPr>
              <w:ind w:left="360"/>
              <w:spacing w:after="0"/>
              <w:rPr>
                <w:sz w:val="20"/>
                <w:szCs w:val="20"/>
                <w:color w:val="auto"/>
              </w:rPr>
            </w:pPr>
            <w:r>
              <w:rPr>
                <w:rFonts w:ascii="Courier New" w:cs="Courier New" w:eastAsia="Courier New" w:hAnsi="Courier New"/>
                <w:sz w:val="18"/>
                <w:szCs w:val="18"/>
                <w:color w:val="auto"/>
                <w:w w:val="73"/>
              </w:rPr>
              <w:t>$</w:t>
            </w:r>
          </w:p>
        </w:tc>
        <w:tc>
          <w:tcPr>
            <w:tcW w:w="8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3,343</w:t>
            </w:r>
          </w:p>
        </w:tc>
        <w:tc>
          <w:tcPr>
            <w:tcW w:w="420" w:type="dxa"/>
            <w:vAlign w:val="bottom"/>
          </w:tcPr>
          <w:p>
            <w:pPr>
              <w:spacing w:after="0"/>
              <w:rPr>
                <w:sz w:val="24"/>
                <w:szCs w:val="24"/>
                <w:color w:val="auto"/>
              </w:rPr>
            </w:pPr>
          </w:p>
        </w:tc>
        <w:tc>
          <w:tcPr>
            <w:tcW w:w="4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9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2,456</w:t>
            </w:r>
          </w:p>
        </w:tc>
        <w:tc>
          <w:tcPr>
            <w:tcW w:w="0" w:type="dxa"/>
            <w:vAlign w:val="bottom"/>
          </w:tcPr>
          <w:p>
            <w:pPr>
              <w:spacing w:after="0"/>
              <w:rPr>
                <w:sz w:val="1"/>
                <w:szCs w:val="1"/>
                <w:color w:val="auto"/>
              </w:rPr>
            </w:pPr>
          </w:p>
        </w:tc>
      </w:tr>
      <w:tr>
        <w:trPr>
          <w:trHeight w:val="203"/>
        </w:trPr>
        <w:tc>
          <w:tcPr>
            <w:tcW w:w="6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 paid, net of amount capitalized</w:t>
            </w:r>
          </w:p>
        </w:tc>
        <w:tc>
          <w:tcPr>
            <w:tcW w:w="46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6600" w:type="dxa"/>
            <w:vAlign w:val="bottom"/>
          </w:tcPr>
          <w:p>
            <w:pPr>
              <w:ind w:left="320"/>
              <w:spacing w:after="0"/>
              <w:rPr>
                <w:sz w:val="20"/>
                <w:szCs w:val="20"/>
                <w:color w:val="auto"/>
              </w:rPr>
            </w:pPr>
            <w:r>
              <w:rPr>
                <w:rFonts w:ascii="Courier New" w:cs="Courier New" w:eastAsia="Courier New" w:hAnsi="Courier New"/>
                <w:sz w:val="18"/>
                <w:szCs w:val="18"/>
                <w:color w:val="auto"/>
              </w:rPr>
              <w:t>Income taxes paid</w:t>
            </w:r>
          </w:p>
        </w:tc>
        <w:tc>
          <w:tcPr>
            <w:tcW w:w="460" w:type="dxa"/>
            <w:vAlign w:val="bottom"/>
          </w:tcPr>
          <w:p>
            <w:pPr>
              <w:ind w:left="360"/>
              <w:spacing w:after="0"/>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1,364</w:t>
            </w:r>
          </w:p>
        </w:tc>
        <w:tc>
          <w:tcPr>
            <w:tcW w:w="4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4</w:t>
      </w:r>
    </w:p>
    <w:p>
      <w:pPr>
        <w:sectPr>
          <w:pgSz w:w="11900" w:h="16838" w:orient="portrait"/>
          <w:cols w:equalWidth="0" w:num="1">
            <w:col w:w="10219"/>
          </w:cols>
          <w:pgMar w:left="240" w:top="1096" w:right="1440" w:bottom="1440" w:gutter="0" w:footer="0" w:header="0"/>
        </w:sectPr>
      </w:pPr>
    </w:p>
    <w:bookmarkStart w:id="4" w:name="page5"/>
    <w:bookmarkEnd w:id="4"/>
    <w:p>
      <w:pPr>
        <w:jc w:val="center"/>
        <w:ind w:right="2840"/>
        <w:spacing w:after="0"/>
        <w:rPr>
          <w:sz w:val="20"/>
          <w:szCs w:val="20"/>
          <w:color w:val="auto"/>
        </w:rPr>
      </w:pPr>
      <w:r>
        <w:rPr>
          <w:rFonts w:ascii="Courier New" w:cs="Courier New" w:eastAsia="Courier New" w:hAnsi="Courier New"/>
          <w:sz w:val="18"/>
          <w:szCs w:val="18"/>
          <w:color w:val="auto"/>
        </w:rPr>
        <w:t>THE SCOTTS COMPANY AND SUBSIDIARIES</w:t>
      </w:r>
    </w:p>
    <w:p>
      <w:pPr>
        <w:spacing w:after="0" w:line="29" w:lineRule="exact"/>
        <w:rPr>
          <w:sz w:val="20"/>
          <w:szCs w:val="20"/>
          <w:color w:val="auto"/>
        </w:rPr>
      </w:pPr>
    </w:p>
    <w:p>
      <w:pPr>
        <w:jc w:val="center"/>
        <w:ind w:right="2840"/>
        <w:spacing w:after="0"/>
        <w:rPr>
          <w:sz w:val="20"/>
          <w:szCs w:val="20"/>
          <w:color w:val="auto"/>
        </w:rPr>
      </w:pPr>
      <w:r>
        <w:rPr>
          <w:rFonts w:ascii="Courier New" w:cs="Courier New" w:eastAsia="Courier New" w:hAnsi="Courier New"/>
          <w:sz w:val="18"/>
          <w:szCs w:val="18"/>
          <w:color w:val="auto"/>
        </w:rPr>
        <w:t>CONSOLIDATED BALANCE SHEETS</w:t>
      </w:r>
    </w:p>
    <w:p>
      <w:pPr>
        <w:jc w:val="center"/>
        <w:ind w:right="2840"/>
        <w:spacing w:after="0" w:line="238" w:lineRule="auto"/>
        <w:rPr>
          <w:sz w:val="20"/>
          <w:szCs w:val="20"/>
          <w:color w:val="auto"/>
        </w:rPr>
      </w:pPr>
      <w:r>
        <w:rPr>
          <w:rFonts w:ascii="Courier New" w:cs="Courier New" w:eastAsia="Courier New" w:hAnsi="Courier New"/>
          <w:sz w:val="18"/>
          <w:szCs w:val="18"/>
          <w:color w:val="auto"/>
        </w:rPr>
        <w:t>(Unaudited)</w:t>
      </w:r>
    </w:p>
    <w:tbl>
      <w:tblPr>
        <w:tblLayout w:type="fixed"/>
        <w:tblInd w:w="0" w:type="dxa"/>
        <w:tblCellMar>
          <w:top w:w="0" w:type="dxa"/>
          <w:left w:w="0" w:type="dxa"/>
          <w:bottom w:w="0" w:type="dxa"/>
          <w:right w:w="0" w:type="dxa"/>
        </w:tblCellMar>
      </w:tblPr>
      <w:tr>
        <w:trPr>
          <w:trHeight w:val="296"/>
        </w:trPr>
        <w:tc>
          <w:tcPr>
            <w:tcW w:w="6380" w:type="dxa"/>
            <w:vAlign w:val="bottom"/>
          </w:tcPr>
          <w:p>
            <w:pPr>
              <w:jc w:val="center"/>
              <w:ind w:left="1972"/>
              <w:spacing w:after="0"/>
              <w:rPr>
                <w:sz w:val="20"/>
                <w:szCs w:val="20"/>
                <w:color w:val="auto"/>
              </w:rPr>
            </w:pPr>
            <w:r>
              <w:rPr>
                <w:rFonts w:ascii="Courier New" w:cs="Courier New" w:eastAsia="Courier New" w:hAnsi="Courier New"/>
                <w:sz w:val="18"/>
                <w:szCs w:val="18"/>
                <w:color w:val="auto"/>
                <w:w w:val="97"/>
              </w:rPr>
              <w:t>(in thousands)</w:t>
            </w: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6380" w:type="dxa"/>
            <w:vAlign w:val="bottom"/>
          </w:tcPr>
          <w:p>
            <w:pPr>
              <w:jc w:val="center"/>
              <w:ind w:left="1972"/>
              <w:spacing w:after="0"/>
              <w:rPr>
                <w:sz w:val="20"/>
                <w:szCs w:val="20"/>
                <w:color w:val="auto"/>
              </w:rPr>
            </w:pPr>
            <w:r>
              <w:rPr>
                <w:rFonts w:ascii="Courier New" w:cs="Courier New" w:eastAsia="Courier New" w:hAnsi="Courier New"/>
                <w:sz w:val="18"/>
                <w:szCs w:val="18"/>
                <w:color w:val="auto"/>
                <w:w w:val="98"/>
              </w:rPr>
              <w:t>ASSETS</w:t>
            </w: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380" w:type="dxa"/>
            <w:vAlign w:val="bottom"/>
          </w:tcPr>
          <w:p>
            <w:pPr>
              <w:spacing w:after="0"/>
              <w:rPr>
                <w:sz w:val="24"/>
                <w:szCs w:val="24"/>
                <w:color w:val="auto"/>
              </w:rPr>
            </w:pPr>
          </w:p>
        </w:tc>
        <w:tc>
          <w:tcPr>
            <w:tcW w:w="174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December 30</w:t>
            </w:r>
          </w:p>
        </w:tc>
        <w:tc>
          <w:tcPr>
            <w:tcW w:w="174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December 28</w:t>
            </w:r>
          </w:p>
        </w:tc>
        <w:tc>
          <w:tcPr>
            <w:tcW w:w="15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September 30</w:t>
            </w:r>
          </w:p>
        </w:tc>
        <w:tc>
          <w:tcPr>
            <w:tcW w:w="0" w:type="dxa"/>
            <w:vAlign w:val="bottom"/>
          </w:tcPr>
          <w:p>
            <w:pPr>
              <w:spacing w:after="0"/>
              <w:rPr>
                <w:sz w:val="1"/>
                <w:szCs w:val="1"/>
                <w:color w:val="auto"/>
              </w:rPr>
            </w:pPr>
          </w:p>
        </w:tc>
      </w:tr>
      <w:tr>
        <w:trPr>
          <w:trHeight w:val="203"/>
        </w:trPr>
        <w:tc>
          <w:tcPr>
            <w:tcW w:w="6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1995</w:t>
            </w:r>
          </w:p>
        </w:tc>
        <w:tc>
          <w:tcPr>
            <w:tcW w:w="480" w:type="dxa"/>
            <w:vAlign w:val="bottom"/>
          </w:tcPr>
          <w:p>
            <w:pPr>
              <w:spacing w:after="0"/>
              <w:rPr>
                <w:sz w:val="17"/>
                <w:szCs w:val="17"/>
                <w:color w:val="auto"/>
              </w:rPr>
            </w:pPr>
          </w:p>
        </w:tc>
        <w:tc>
          <w:tcPr>
            <w:tcW w:w="12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1996</w:t>
            </w:r>
          </w:p>
        </w:tc>
        <w:tc>
          <w:tcPr>
            <w:tcW w:w="520" w:type="dxa"/>
            <w:vAlign w:val="bottom"/>
          </w:tcPr>
          <w:p>
            <w:pPr>
              <w:spacing w:after="0"/>
              <w:rPr>
                <w:sz w:val="17"/>
                <w:szCs w:val="17"/>
                <w:color w:val="auto"/>
              </w:rPr>
            </w:pP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1996</w:t>
            </w:r>
          </w:p>
        </w:tc>
        <w:tc>
          <w:tcPr>
            <w:tcW w:w="0" w:type="dxa"/>
            <w:vAlign w:val="bottom"/>
          </w:tcPr>
          <w:p>
            <w:pPr>
              <w:spacing w:after="0"/>
              <w:rPr>
                <w:sz w:val="1"/>
                <w:szCs w:val="1"/>
                <w:color w:val="auto"/>
              </w:rPr>
            </w:pPr>
          </w:p>
        </w:tc>
      </w:tr>
      <w:tr>
        <w:trPr>
          <w:trHeight w:val="296"/>
        </w:trPr>
        <w:tc>
          <w:tcPr>
            <w:tcW w:w="6380" w:type="dxa"/>
            <w:vAlign w:val="bottom"/>
          </w:tcPr>
          <w:p>
            <w:pPr>
              <w:spacing w:after="0"/>
              <w:rPr>
                <w:sz w:val="24"/>
                <w:szCs w:val="24"/>
                <w:color w:val="auto"/>
              </w:rPr>
            </w:pPr>
          </w:p>
        </w:tc>
        <w:tc>
          <w:tcPr>
            <w:tcW w:w="174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638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42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w:t>
            </w:r>
          </w:p>
        </w:tc>
        <w:tc>
          <w:tcPr>
            <w:tcW w:w="132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7,903</w:t>
            </w:r>
          </w:p>
        </w:tc>
        <w:tc>
          <w:tcPr>
            <w:tcW w:w="48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w:t>
            </w:r>
          </w:p>
        </w:tc>
        <w:tc>
          <w:tcPr>
            <w:tcW w:w="126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5,854</w:t>
            </w:r>
          </w:p>
        </w:tc>
        <w:tc>
          <w:tcPr>
            <w:tcW w:w="5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10,598</w:t>
            </w:r>
          </w:p>
        </w:tc>
        <w:tc>
          <w:tcPr>
            <w:tcW w:w="0" w:type="dxa"/>
            <w:vAlign w:val="bottom"/>
          </w:tcPr>
          <w:p>
            <w:pPr>
              <w:spacing w:after="0"/>
              <w:rPr>
                <w:sz w:val="1"/>
                <w:szCs w:val="1"/>
                <w:color w:val="auto"/>
              </w:rPr>
            </w:pPr>
          </w:p>
        </w:tc>
      </w:tr>
      <w:tr>
        <w:trPr>
          <w:trHeight w:val="203"/>
        </w:trPr>
        <w:tc>
          <w:tcPr>
            <w:tcW w:w="6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Cash</w:t>
            </w:r>
          </w:p>
        </w:tc>
        <w:tc>
          <w:tcPr>
            <w:tcW w:w="42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Accounts receivable, less allowances</w:t>
            </w:r>
          </w:p>
        </w:tc>
        <w:tc>
          <w:tcPr>
            <w:tcW w:w="420" w:type="dxa"/>
            <w:vAlign w:val="bottom"/>
          </w:tcPr>
          <w:p>
            <w:pPr>
              <w:spacing w:after="0"/>
              <w:rPr>
                <w:sz w:val="17"/>
                <w:szCs w:val="17"/>
                <w:color w:val="auto"/>
              </w:rPr>
            </w:pPr>
          </w:p>
        </w:tc>
        <w:tc>
          <w:tcPr>
            <w:tcW w:w="132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196,373</w:t>
            </w:r>
          </w:p>
        </w:tc>
        <w:tc>
          <w:tcPr>
            <w:tcW w:w="480" w:type="dxa"/>
            <w:vAlign w:val="bottom"/>
          </w:tcPr>
          <w:p>
            <w:pPr>
              <w:spacing w:after="0"/>
              <w:rPr>
                <w:sz w:val="17"/>
                <w:szCs w:val="17"/>
                <w:color w:val="auto"/>
              </w:rPr>
            </w:pPr>
          </w:p>
        </w:tc>
        <w:tc>
          <w:tcPr>
            <w:tcW w:w="126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121,648</w:t>
            </w:r>
          </w:p>
        </w:tc>
        <w:tc>
          <w:tcPr>
            <w:tcW w:w="520" w:type="dxa"/>
            <w:vAlign w:val="bottom"/>
          </w:tcPr>
          <w:p>
            <w:pPr>
              <w:spacing w:after="0"/>
              <w:rPr>
                <w:sz w:val="17"/>
                <w:szCs w:val="17"/>
                <w:color w:val="auto"/>
              </w:rPr>
            </w:pPr>
          </w:p>
        </w:tc>
        <w:tc>
          <w:tcPr>
            <w:tcW w:w="10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110,426</w:t>
            </w:r>
          </w:p>
        </w:tc>
        <w:tc>
          <w:tcPr>
            <w:tcW w:w="0" w:type="dxa"/>
            <w:vAlign w:val="bottom"/>
          </w:tcPr>
          <w:p>
            <w:pPr>
              <w:spacing w:after="0"/>
              <w:rPr>
                <w:sz w:val="1"/>
                <w:szCs w:val="1"/>
                <w:color w:val="auto"/>
              </w:rPr>
            </w:pPr>
          </w:p>
        </w:tc>
      </w:tr>
      <w:tr>
        <w:trPr>
          <w:trHeight w:val="203"/>
        </w:trPr>
        <w:tc>
          <w:tcPr>
            <w:tcW w:w="6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of $3,381, $4,209 and $4,114, respectively</w:t>
            </w:r>
          </w:p>
        </w:tc>
        <w:tc>
          <w:tcPr>
            <w:tcW w:w="42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Inventories</w:t>
            </w:r>
          </w:p>
        </w:tc>
        <w:tc>
          <w:tcPr>
            <w:tcW w:w="420" w:type="dxa"/>
            <w:vAlign w:val="bottom"/>
          </w:tcPr>
          <w:p>
            <w:pPr>
              <w:spacing w:after="0"/>
              <w:rPr>
                <w:sz w:val="17"/>
                <w:szCs w:val="17"/>
                <w:color w:val="auto"/>
              </w:rPr>
            </w:pP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184,629</w:t>
            </w:r>
          </w:p>
        </w:tc>
        <w:tc>
          <w:tcPr>
            <w:tcW w:w="480" w:type="dxa"/>
            <w:vAlign w:val="bottom"/>
          </w:tcPr>
          <w:p>
            <w:pPr>
              <w:spacing w:after="0"/>
              <w:rPr>
                <w:sz w:val="17"/>
                <w:szCs w:val="17"/>
                <w:color w:val="auto"/>
              </w:rPr>
            </w:pP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195,454</w:t>
            </w:r>
          </w:p>
        </w:tc>
        <w:tc>
          <w:tcPr>
            <w:tcW w:w="52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148,836</w:t>
            </w:r>
          </w:p>
        </w:tc>
        <w:tc>
          <w:tcPr>
            <w:tcW w:w="0" w:type="dxa"/>
            <w:vAlign w:val="bottom"/>
          </w:tcPr>
          <w:p>
            <w:pPr>
              <w:spacing w:after="0"/>
              <w:rPr>
                <w:sz w:val="1"/>
                <w:szCs w:val="1"/>
                <w:color w:val="auto"/>
              </w:rPr>
            </w:pPr>
          </w:p>
        </w:tc>
      </w:tr>
      <w:tr>
        <w:trPr>
          <w:trHeight w:val="203"/>
        </w:trPr>
        <w:tc>
          <w:tcPr>
            <w:tcW w:w="6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Prepaid and other assets</w:t>
            </w:r>
          </w:p>
        </w:tc>
        <w:tc>
          <w:tcPr>
            <w:tcW w:w="420" w:type="dxa"/>
            <w:vAlign w:val="bottom"/>
          </w:tcPr>
          <w:p>
            <w:pPr>
              <w:spacing w:after="0"/>
              <w:rPr>
                <w:sz w:val="17"/>
                <w:szCs w:val="17"/>
                <w:color w:val="auto"/>
              </w:rPr>
            </w:pP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22,637</w:t>
            </w:r>
          </w:p>
        </w:tc>
        <w:tc>
          <w:tcPr>
            <w:tcW w:w="480" w:type="dxa"/>
            <w:vAlign w:val="bottom"/>
          </w:tcPr>
          <w:p>
            <w:pPr>
              <w:spacing w:after="0"/>
              <w:rPr>
                <w:sz w:val="17"/>
                <w:szCs w:val="17"/>
                <w:color w:val="auto"/>
              </w:rPr>
            </w:pP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22,342</w:t>
            </w:r>
          </w:p>
        </w:tc>
        <w:tc>
          <w:tcPr>
            <w:tcW w:w="52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22,101</w:t>
            </w:r>
          </w:p>
        </w:tc>
        <w:tc>
          <w:tcPr>
            <w:tcW w:w="0" w:type="dxa"/>
            <w:vAlign w:val="bottom"/>
          </w:tcPr>
          <w:p>
            <w:pPr>
              <w:spacing w:after="0"/>
              <w:rPr>
                <w:sz w:val="1"/>
                <w:szCs w:val="1"/>
                <w:color w:val="auto"/>
              </w:rPr>
            </w:pPr>
          </w:p>
        </w:tc>
      </w:tr>
      <w:tr>
        <w:trPr>
          <w:trHeight w:val="203"/>
        </w:trPr>
        <w:tc>
          <w:tcPr>
            <w:tcW w:w="6380" w:type="dxa"/>
            <w:vAlign w:val="bottom"/>
            <w:vMerge w:val="restart"/>
          </w:tcPr>
          <w:p>
            <w:pPr>
              <w:ind w:left="540"/>
              <w:spacing w:after="0"/>
              <w:rPr>
                <w:sz w:val="20"/>
                <w:szCs w:val="20"/>
                <w:color w:val="auto"/>
              </w:rPr>
            </w:pPr>
            <w:r>
              <w:rPr>
                <w:rFonts w:ascii="Courier New" w:cs="Courier New" w:eastAsia="Courier New" w:hAnsi="Courier New"/>
                <w:sz w:val="18"/>
                <w:szCs w:val="18"/>
                <w:color w:val="auto"/>
              </w:rPr>
              <w:t>Total current assets</w:t>
            </w:r>
          </w:p>
        </w:tc>
        <w:tc>
          <w:tcPr>
            <w:tcW w:w="17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38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411,542</w:t>
            </w:r>
          </w:p>
        </w:tc>
        <w:tc>
          <w:tcPr>
            <w:tcW w:w="480" w:type="dxa"/>
            <w:vAlign w:val="bottom"/>
          </w:tcPr>
          <w:p>
            <w:pPr>
              <w:spacing w:after="0"/>
              <w:rPr>
                <w:sz w:val="17"/>
                <w:szCs w:val="17"/>
                <w:color w:val="auto"/>
              </w:rPr>
            </w:pP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345,298</w:t>
            </w:r>
          </w:p>
        </w:tc>
        <w:tc>
          <w:tcPr>
            <w:tcW w:w="52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291,961</w:t>
            </w:r>
          </w:p>
        </w:tc>
        <w:tc>
          <w:tcPr>
            <w:tcW w:w="0" w:type="dxa"/>
            <w:vAlign w:val="bottom"/>
          </w:tcPr>
          <w:p>
            <w:pPr>
              <w:spacing w:after="0"/>
              <w:rPr>
                <w:sz w:val="1"/>
                <w:szCs w:val="1"/>
                <w:color w:val="auto"/>
              </w:rPr>
            </w:pPr>
          </w:p>
        </w:tc>
      </w:tr>
      <w:tr>
        <w:trPr>
          <w:trHeight w:val="296"/>
        </w:trPr>
        <w:tc>
          <w:tcPr>
            <w:tcW w:w="6380" w:type="dxa"/>
            <w:vAlign w:val="bottom"/>
          </w:tcPr>
          <w:p>
            <w:pPr>
              <w:spacing w:after="0"/>
              <w:rPr>
                <w:sz w:val="24"/>
                <w:szCs w:val="24"/>
                <w:color w:val="auto"/>
              </w:rPr>
            </w:pPr>
          </w:p>
        </w:tc>
        <w:tc>
          <w:tcPr>
            <w:tcW w:w="174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6380" w:type="dxa"/>
            <w:vAlign w:val="bottom"/>
          </w:tcPr>
          <w:p>
            <w:pPr>
              <w:spacing w:after="0"/>
              <w:rPr>
                <w:sz w:val="20"/>
                <w:szCs w:val="20"/>
                <w:color w:val="auto"/>
              </w:rPr>
            </w:pPr>
            <w:r>
              <w:rPr>
                <w:rFonts w:ascii="Courier New" w:cs="Courier New" w:eastAsia="Courier New" w:hAnsi="Courier New"/>
                <w:sz w:val="18"/>
                <w:szCs w:val="18"/>
                <w:color w:val="auto"/>
              </w:rPr>
              <w:t>Property, plant and equipment, net</w:t>
            </w:r>
          </w:p>
        </w:tc>
        <w:tc>
          <w:tcPr>
            <w:tcW w:w="420" w:type="dxa"/>
            <w:vAlign w:val="bottom"/>
          </w:tcPr>
          <w:p>
            <w:pPr>
              <w:spacing w:after="0"/>
              <w:rPr>
                <w:sz w:val="24"/>
                <w:szCs w:val="24"/>
                <w:color w:val="auto"/>
              </w:rPr>
            </w:pPr>
          </w:p>
        </w:tc>
        <w:tc>
          <w:tcPr>
            <w:tcW w:w="13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147,787</w:t>
            </w:r>
          </w:p>
        </w:tc>
        <w:tc>
          <w:tcPr>
            <w:tcW w:w="480" w:type="dxa"/>
            <w:vAlign w:val="bottom"/>
          </w:tcPr>
          <w:p>
            <w:pPr>
              <w:spacing w:after="0"/>
              <w:rPr>
                <w:sz w:val="24"/>
                <w:szCs w:val="24"/>
                <w:color w:val="auto"/>
              </w:rPr>
            </w:pPr>
          </w:p>
        </w:tc>
        <w:tc>
          <w:tcPr>
            <w:tcW w:w="12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136,076</w:t>
            </w:r>
          </w:p>
        </w:tc>
        <w:tc>
          <w:tcPr>
            <w:tcW w:w="520" w:type="dxa"/>
            <w:vAlign w:val="bottom"/>
          </w:tcPr>
          <w:p>
            <w:pPr>
              <w:spacing w:after="0"/>
              <w:rPr>
                <w:sz w:val="24"/>
                <w:szCs w:val="24"/>
                <w:color w:val="auto"/>
              </w:rPr>
            </w:pP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139,488</w:t>
            </w:r>
          </w:p>
        </w:tc>
        <w:tc>
          <w:tcPr>
            <w:tcW w:w="0" w:type="dxa"/>
            <w:vAlign w:val="bottom"/>
          </w:tcPr>
          <w:p>
            <w:pPr>
              <w:spacing w:after="0"/>
              <w:rPr>
                <w:sz w:val="1"/>
                <w:szCs w:val="1"/>
                <w:color w:val="auto"/>
              </w:rPr>
            </w:pPr>
          </w:p>
        </w:tc>
      </w:tr>
      <w:tr>
        <w:trPr>
          <w:trHeight w:val="203"/>
        </w:trPr>
        <w:tc>
          <w:tcPr>
            <w:tcW w:w="6380" w:type="dxa"/>
            <w:vAlign w:val="bottom"/>
          </w:tcPr>
          <w:p>
            <w:pPr>
              <w:spacing w:after="0" w:line="203" w:lineRule="exact"/>
              <w:rPr>
                <w:sz w:val="20"/>
                <w:szCs w:val="20"/>
                <w:color w:val="auto"/>
              </w:rPr>
            </w:pPr>
            <w:r>
              <w:rPr>
                <w:rFonts w:ascii="Courier New" w:cs="Courier New" w:eastAsia="Courier New" w:hAnsi="Courier New"/>
                <w:sz w:val="18"/>
                <w:szCs w:val="18"/>
                <w:color w:val="auto"/>
              </w:rPr>
              <w:t>Trademarks</w:t>
            </w:r>
          </w:p>
        </w:tc>
        <w:tc>
          <w:tcPr>
            <w:tcW w:w="420" w:type="dxa"/>
            <w:vAlign w:val="bottom"/>
          </w:tcPr>
          <w:p>
            <w:pPr>
              <w:spacing w:after="0"/>
              <w:rPr>
                <w:sz w:val="17"/>
                <w:szCs w:val="17"/>
                <w:color w:val="auto"/>
              </w:rPr>
            </w:pP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88,688</w:t>
            </w:r>
          </w:p>
        </w:tc>
        <w:tc>
          <w:tcPr>
            <w:tcW w:w="480" w:type="dxa"/>
            <w:vAlign w:val="bottom"/>
          </w:tcPr>
          <w:p>
            <w:pPr>
              <w:spacing w:after="0"/>
              <w:rPr>
                <w:sz w:val="17"/>
                <w:szCs w:val="17"/>
                <w:color w:val="auto"/>
              </w:rPr>
            </w:pP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86,433</w:t>
            </w:r>
          </w:p>
        </w:tc>
        <w:tc>
          <w:tcPr>
            <w:tcW w:w="52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86,997</w:t>
            </w:r>
          </w:p>
        </w:tc>
        <w:tc>
          <w:tcPr>
            <w:tcW w:w="0" w:type="dxa"/>
            <w:vAlign w:val="bottom"/>
          </w:tcPr>
          <w:p>
            <w:pPr>
              <w:spacing w:after="0"/>
              <w:rPr>
                <w:sz w:val="1"/>
                <w:szCs w:val="1"/>
                <w:color w:val="auto"/>
              </w:rPr>
            </w:pPr>
          </w:p>
        </w:tc>
      </w:tr>
      <w:tr>
        <w:trPr>
          <w:trHeight w:val="203"/>
        </w:trPr>
        <w:tc>
          <w:tcPr>
            <w:tcW w:w="63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intangibles</w:t>
            </w:r>
          </w:p>
        </w:tc>
        <w:tc>
          <w:tcPr>
            <w:tcW w:w="420" w:type="dxa"/>
            <w:vAlign w:val="bottom"/>
          </w:tcPr>
          <w:p>
            <w:pPr>
              <w:spacing w:after="0"/>
              <w:rPr>
                <w:sz w:val="17"/>
                <w:szCs w:val="17"/>
                <w:color w:val="auto"/>
              </w:rPr>
            </w:pP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23,513</w:t>
            </w:r>
          </w:p>
        </w:tc>
        <w:tc>
          <w:tcPr>
            <w:tcW w:w="480" w:type="dxa"/>
            <w:vAlign w:val="bottom"/>
          </w:tcPr>
          <w:p>
            <w:pPr>
              <w:spacing w:after="0"/>
              <w:rPr>
                <w:sz w:val="17"/>
                <w:szCs w:val="17"/>
                <w:color w:val="auto"/>
              </w:rPr>
            </w:pP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18,421</w:t>
            </w:r>
          </w:p>
        </w:tc>
        <w:tc>
          <w:tcPr>
            <w:tcW w:w="52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19,455</w:t>
            </w:r>
          </w:p>
        </w:tc>
        <w:tc>
          <w:tcPr>
            <w:tcW w:w="0" w:type="dxa"/>
            <w:vAlign w:val="bottom"/>
          </w:tcPr>
          <w:p>
            <w:pPr>
              <w:spacing w:after="0"/>
              <w:rPr>
                <w:sz w:val="1"/>
                <w:szCs w:val="1"/>
                <w:color w:val="auto"/>
              </w:rPr>
            </w:pPr>
          </w:p>
        </w:tc>
      </w:tr>
      <w:tr>
        <w:trPr>
          <w:trHeight w:val="203"/>
        </w:trPr>
        <w:tc>
          <w:tcPr>
            <w:tcW w:w="638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w:t>
            </w:r>
          </w:p>
        </w:tc>
        <w:tc>
          <w:tcPr>
            <w:tcW w:w="420" w:type="dxa"/>
            <w:vAlign w:val="bottom"/>
          </w:tcPr>
          <w:p>
            <w:pPr>
              <w:spacing w:after="0"/>
              <w:rPr>
                <w:sz w:val="17"/>
                <w:szCs w:val="17"/>
                <w:color w:val="auto"/>
              </w:rPr>
            </w:pP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178,794</w:t>
            </w:r>
          </w:p>
        </w:tc>
        <w:tc>
          <w:tcPr>
            <w:tcW w:w="480" w:type="dxa"/>
            <w:vAlign w:val="bottom"/>
          </w:tcPr>
          <w:p>
            <w:pPr>
              <w:spacing w:after="0"/>
              <w:rPr>
                <w:sz w:val="17"/>
                <w:szCs w:val="17"/>
                <w:color w:val="auto"/>
              </w:rPr>
            </w:pP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178,899</w:t>
            </w:r>
          </w:p>
        </w:tc>
        <w:tc>
          <w:tcPr>
            <w:tcW w:w="52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180,154</w:t>
            </w:r>
          </w:p>
        </w:tc>
        <w:tc>
          <w:tcPr>
            <w:tcW w:w="0" w:type="dxa"/>
            <w:vAlign w:val="bottom"/>
          </w:tcPr>
          <w:p>
            <w:pPr>
              <w:spacing w:after="0"/>
              <w:rPr>
                <w:sz w:val="1"/>
                <w:szCs w:val="1"/>
                <w:color w:val="auto"/>
              </w:rPr>
            </w:pPr>
          </w:p>
        </w:tc>
      </w:tr>
      <w:tr>
        <w:trPr>
          <w:trHeight w:val="203"/>
        </w:trPr>
        <w:tc>
          <w:tcPr>
            <w:tcW w:w="63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420" w:type="dxa"/>
            <w:vAlign w:val="bottom"/>
          </w:tcPr>
          <w:p>
            <w:pPr>
              <w:spacing w:after="0"/>
              <w:rPr>
                <w:sz w:val="17"/>
                <w:szCs w:val="17"/>
                <w:color w:val="auto"/>
              </w:rPr>
            </w:pP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15,883</w:t>
            </w:r>
          </w:p>
        </w:tc>
        <w:tc>
          <w:tcPr>
            <w:tcW w:w="480" w:type="dxa"/>
            <w:vAlign w:val="bottom"/>
          </w:tcPr>
          <w:p>
            <w:pPr>
              <w:spacing w:after="0"/>
              <w:rPr>
                <w:sz w:val="17"/>
                <w:szCs w:val="17"/>
                <w:color w:val="auto"/>
              </w:rPr>
            </w:pP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13,551</w:t>
            </w:r>
          </w:p>
        </w:tc>
        <w:tc>
          <w:tcPr>
            <w:tcW w:w="52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13,630</w:t>
            </w:r>
          </w:p>
        </w:tc>
        <w:tc>
          <w:tcPr>
            <w:tcW w:w="0" w:type="dxa"/>
            <w:vAlign w:val="bottom"/>
          </w:tcPr>
          <w:p>
            <w:pPr>
              <w:spacing w:after="0"/>
              <w:rPr>
                <w:sz w:val="1"/>
                <w:szCs w:val="1"/>
                <w:color w:val="auto"/>
              </w:rPr>
            </w:pPr>
          </w:p>
        </w:tc>
      </w:tr>
      <w:tr>
        <w:trPr>
          <w:trHeight w:val="296"/>
        </w:trPr>
        <w:tc>
          <w:tcPr>
            <w:tcW w:w="6380" w:type="dxa"/>
            <w:vAlign w:val="bottom"/>
          </w:tcPr>
          <w:p>
            <w:pPr>
              <w:spacing w:after="0"/>
              <w:rPr>
                <w:sz w:val="24"/>
                <w:szCs w:val="24"/>
                <w:color w:val="auto"/>
              </w:rPr>
            </w:pPr>
          </w:p>
        </w:tc>
        <w:tc>
          <w:tcPr>
            <w:tcW w:w="174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6380" w:type="dxa"/>
            <w:vAlign w:val="bottom"/>
          </w:tcPr>
          <w:p>
            <w:pPr>
              <w:ind w:left="540"/>
              <w:spacing w:after="0"/>
              <w:rPr>
                <w:sz w:val="20"/>
                <w:szCs w:val="20"/>
                <w:color w:val="auto"/>
              </w:rPr>
            </w:pPr>
            <w:r>
              <w:rPr>
                <w:rFonts w:ascii="Courier New" w:cs="Courier New" w:eastAsia="Courier New" w:hAnsi="Courier New"/>
                <w:sz w:val="18"/>
                <w:szCs w:val="18"/>
                <w:color w:val="auto"/>
              </w:rPr>
              <w:t>Total Assets</w:t>
            </w:r>
          </w:p>
        </w:tc>
        <w:tc>
          <w:tcPr>
            <w:tcW w:w="174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$ 866,207</w:t>
            </w:r>
          </w:p>
        </w:tc>
        <w:tc>
          <w:tcPr>
            <w:tcW w:w="1740" w:type="dxa"/>
            <w:vAlign w:val="bottom"/>
            <w:gridSpan w:val="2"/>
          </w:tcPr>
          <w:p>
            <w:pPr>
              <w:jc w:val="right"/>
              <w:ind w:right="392"/>
              <w:spacing w:after="0"/>
              <w:rPr>
                <w:sz w:val="20"/>
                <w:szCs w:val="20"/>
                <w:color w:val="auto"/>
              </w:rPr>
            </w:pPr>
            <w:r>
              <w:rPr>
                <w:rFonts w:ascii="Courier New" w:cs="Courier New" w:eastAsia="Courier New" w:hAnsi="Courier New"/>
                <w:sz w:val="18"/>
                <w:szCs w:val="18"/>
                <w:color w:val="auto"/>
              </w:rPr>
              <w:t>$ 778,678</w:t>
            </w:r>
          </w:p>
        </w:tc>
        <w:tc>
          <w:tcPr>
            <w:tcW w:w="152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$ 731,685</w:t>
            </w:r>
          </w:p>
        </w:tc>
        <w:tc>
          <w:tcPr>
            <w:tcW w:w="0" w:type="dxa"/>
            <w:vAlign w:val="bottom"/>
          </w:tcPr>
          <w:p>
            <w:pPr>
              <w:spacing w:after="0"/>
              <w:rPr>
                <w:sz w:val="1"/>
                <w:szCs w:val="1"/>
                <w:color w:val="auto"/>
              </w:rPr>
            </w:pPr>
          </w:p>
        </w:tc>
      </w:tr>
      <w:tr>
        <w:trPr>
          <w:trHeight w:val="296"/>
        </w:trPr>
        <w:tc>
          <w:tcPr>
            <w:tcW w:w="6380" w:type="dxa"/>
            <w:vAlign w:val="bottom"/>
          </w:tcPr>
          <w:p>
            <w:pPr>
              <w:spacing w:after="0"/>
              <w:rPr>
                <w:sz w:val="24"/>
                <w:szCs w:val="24"/>
                <w:color w:val="auto"/>
              </w:rPr>
            </w:pPr>
          </w:p>
        </w:tc>
        <w:tc>
          <w:tcPr>
            <w:tcW w:w="174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6380" w:type="dxa"/>
            <w:vAlign w:val="bottom"/>
          </w:tcPr>
          <w:p>
            <w:pPr>
              <w:jc w:val="center"/>
              <w:ind w:left="1972"/>
              <w:spacing w:after="0"/>
              <w:rPr>
                <w:sz w:val="20"/>
                <w:szCs w:val="20"/>
                <w:color w:val="auto"/>
              </w:rPr>
            </w:pPr>
            <w:r>
              <w:rPr>
                <w:rFonts w:ascii="Courier New" w:cs="Courier New" w:eastAsia="Courier New" w:hAnsi="Courier New"/>
                <w:sz w:val="18"/>
                <w:szCs w:val="18"/>
                <w:color w:val="auto"/>
                <w:w w:val="97"/>
              </w:rPr>
              <w:t>LIABILITIES AND SHAREHOLDERS' EQUITY</w:t>
            </w: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38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42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w:t>
            </w:r>
          </w:p>
        </w:tc>
        <w:tc>
          <w:tcPr>
            <w:tcW w:w="132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36,071</w:t>
            </w:r>
          </w:p>
        </w:tc>
        <w:tc>
          <w:tcPr>
            <w:tcW w:w="48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w:t>
            </w:r>
          </w:p>
        </w:tc>
        <w:tc>
          <w:tcPr>
            <w:tcW w:w="126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1,736</w:t>
            </w:r>
          </w:p>
        </w:tc>
        <w:tc>
          <w:tcPr>
            <w:tcW w:w="5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2,000</w:t>
            </w:r>
          </w:p>
        </w:tc>
        <w:tc>
          <w:tcPr>
            <w:tcW w:w="0" w:type="dxa"/>
            <w:vAlign w:val="bottom"/>
          </w:tcPr>
          <w:p>
            <w:pPr>
              <w:spacing w:after="0"/>
              <w:rPr>
                <w:sz w:val="1"/>
                <w:szCs w:val="1"/>
                <w:color w:val="auto"/>
              </w:rPr>
            </w:pPr>
          </w:p>
        </w:tc>
      </w:tr>
      <w:tr>
        <w:trPr>
          <w:trHeight w:val="203"/>
        </w:trPr>
        <w:tc>
          <w:tcPr>
            <w:tcW w:w="6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Revolving credit line</w:t>
            </w:r>
          </w:p>
        </w:tc>
        <w:tc>
          <w:tcPr>
            <w:tcW w:w="42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Current portion of term debt</w:t>
            </w:r>
          </w:p>
        </w:tc>
        <w:tc>
          <w:tcPr>
            <w:tcW w:w="420" w:type="dxa"/>
            <w:vAlign w:val="bottom"/>
          </w:tcPr>
          <w:p>
            <w:pPr>
              <w:spacing w:after="0"/>
              <w:rPr>
                <w:sz w:val="17"/>
                <w:szCs w:val="17"/>
                <w:color w:val="auto"/>
              </w:rPr>
            </w:pP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417</w:t>
            </w:r>
          </w:p>
        </w:tc>
        <w:tc>
          <w:tcPr>
            <w:tcW w:w="480" w:type="dxa"/>
            <w:vAlign w:val="bottom"/>
          </w:tcPr>
          <w:p>
            <w:pPr>
              <w:spacing w:after="0"/>
              <w:rPr>
                <w:sz w:val="17"/>
                <w:szCs w:val="17"/>
                <w:color w:val="auto"/>
              </w:rPr>
            </w:pP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139</w:t>
            </w:r>
          </w:p>
        </w:tc>
        <w:tc>
          <w:tcPr>
            <w:tcW w:w="52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197</w:t>
            </w:r>
          </w:p>
        </w:tc>
        <w:tc>
          <w:tcPr>
            <w:tcW w:w="0" w:type="dxa"/>
            <w:vAlign w:val="bottom"/>
          </w:tcPr>
          <w:p>
            <w:pPr>
              <w:spacing w:after="0"/>
              <w:rPr>
                <w:sz w:val="1"/>
                <w:szCs w:val="1"/>
                <w:color w:val="auto"/>
              </w:rPr>
            </w:pPr>
          </w:p>
        </w:tc>
      </w:tr>
      <w:tr>
        <w:trPr>
          <w:trHeight w:val="203"/>
        </w:trPr>
        <w:tc>
          <w:tcPr>
            <w:tcW w:w="6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420" w:type="dxa"/>
            <w:vAlign w:val="bottom"/>
          </w:tcPr>
          <w:p>
            <w:pPr>
              <w:spacing w:after="0"/>
              <w:rPr>
                <w:sz w:val="17"/>
                <w:szCs w:val="17"/>
                <w:color w:val="auto"/>
              </w:rPr>
            </w:pP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54,414</w:t>
            </w:r>
          </w:p>
        </w:tc>
        <w:tc>
          <w:tcPr>
            <w:tcW w:w="480" w:type="dxa"/>
            <w:vAlign w:val="bottom"/>
          </w:tcPr>
          <w:p>
            <w:pPr>
              <w:spacing w:after="0"/>
              <w:rPr>
                <w:sz w:val="17"/>
                <w:szCs w:val="17"/>
                <w:color w:val="auto"/>
              </w:rPr>
            </w:pP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44,921</w:t>
            </w:r>
          </w:p>
        </w:tc>
        <w:tc>
          <w:tcPr>
            <w:tcW w:w="52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46,288</w:t>
            </w:r>
          </w:p>
        </w:tc>
        <w:tc>
          <w:tcPr>
            <w:tcW w:w="0" w:type="dxa"/>
            <w:vAlign w:val="bottom"/>
          </w:tcPr>
          <w:p>
            <w:pPr>
              <w:spacing w:after="0"/>
              <w:rPr>
                <w:sz w:val="1"/>
                <w:szCs w:val="1"/>
                <w:color w:val="auto"/>
              </w:rPr>
            </w:pPr>
          </w:p>
        </w:tc>
      </w:tr>
      <w:tr>
        <w:trPr>
          <w:trHeight w:val="203"/>
        </w:trPr>
        <w:tc>
          <w:tcPr>
            <w:tcW w:w="6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Accrued liabilities</w:t>
            </w:r>
          </w:p>
        </w:tc>
        <w:tc>
          <w:tcPr>
            <w:tcW w:w="420" w:type="dxa"/>
            <w:vAlign w:val="bottom"/>
          </w:tcPr>
          <w:p>
            <w:pPr>
              <w:spacing w:after="0"/>
              <w:rPr>
                <w:sz w:val="17"/>
                <w:szCs w:val="17"/>
                <w:color w:val="auto"/>
              </w:rPr>
            </w:pP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36,485</w:t>
            </w:r>
          </w:p>
        </w:tc>
        <w:tc>
          <w:tcPr>
            <w:tcW w:w="480" w:type="dxa"/>
            <w:vAlign w:val="bottom"/>
          </w:tcPr>
          <w:p>
            <w:pPr>
              <w:spacing w:after="0"/>
              <w:rPr>
                <w:sz w:val="17"/>
                <w:szCs w:val="17"/>
                <w:color w:val="auto"/>
              </w:rPr>
            </w:pP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40,761</w:t>
            </w:r>
          </w:p>
        </w:tc>
        <w:tc>
          <w:tcPr>
            <w:tcW w:w="52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42,603</w:t>
            </w:r>
          </w:p>
        </w:tc>
        <w:tc>
          <w:tcPr>
            <w:tcW w:w="0" w:type="dxa"/>
            <w:vAlign w:val="bottom"/>
          </w:tcPr>
          <w:p>
            <w:pPr>
              <w:spacing w:after="0"/>
              <w:rPr>
                <w:sz w:val="1"/>
                <w:szCs w:val="1"/>
                <w:color w:val="auto"/>
              </w:rPr>
            </w:pPr>
          </w:p>
        </w:tc>
      </w:tr>
      <w:tr>
        <w:trPr>
          <w:trHeight w:val="203"/>
        </w:trPr>
        <w:tc>
          <w:tcPr>
            <w:tcW w:w="6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Accrued taxes</w:t>
            </w:r>
          </w:p>
        </w:tc>
        <w:tc>
          <w:tcPr>
            <w:tcW w:w="420" w:type="dxa"/>
            <w:vAlign w:val="bottom"/>
          </w:tcPr>
          <w:p>
            <w:pPr>
              <w:spacing w:after="0"/>
              <w:rPr>
                <w:sz w:val="17"/>
                <w:szCs w:val="17"/>
                <w:color w:val="auto"/>
              </w:rPr>
            </w:pP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11,058</w:t>
            </w:r>
          </w:p>
        </w:tc>
        <w:tc>
          <w:tcPr>
            <w:tcW w:w="480" w:type="dxa"/>
            <w:vAlign w:val="bottom"/>
          </w:tcPr>
          <w:p>
            <w:pPr>
              <w:spacing w:after="0"/>
              <w:rPr>
                <w:sz w:val="17"/>
                <w:szCs w:val="17"/>
                <w:color w:val="auto"/>
              </w:rPr>
            </w:pP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14,431</w:t>
            </w:r>
          </w:p>
        </w:tc>
        <w:tc>
          <w:tcPr>
            <w:tcW w:w="52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19,670</w:t>
            </w:r>
          </w:p>
        </w:tc>
        <w:tc>
          <w:tcPr>
            <w:tcW w:w="0" w:type="dxa"/>
            <w:vAlign w:val="bottom"/>
          </w:tcPr>
          <w:p>
            <w:pPr>
              <w:spacing w:after="0"/>
              <w:rPr>
                <w:sz w:val="1"/>
                <w:szCs w:val="1"/>
                <w:color w:val="auto"/>
              </w:rPr>
            </w:pPr>
          </w:p>
        </w:tc>
      </w:tr>
      <w:tr>
        <w:trPr>
          <w:trHeight w:val="203"/>
        </w:trPr>
        <w:tc>
          <w:tcPr>
            <w:tcW w:w="6380" w:type="dxa"/>
            <w:vAlign w:val="bottom"/>
            <w:vMerge w:val="restart"/>
          </w:tcPr>
          <w:p>
            <w:pPr>
              <w:ind w:left="540"/>
              <w:spacing w:after="0"/>
              <w:rPr>
                <w:sz w:val="20"/>
                <w:szCs w:val="20"/>
                <w:color w:val="auto"/>
              </w:rPr>
            </w:pPr>
            <w:r>
              <w:rPr>
                <w:rFonts w:ascii="Courier New" w:cs="Courier New" w:eastAsia="Courier New" w:hAnsi="Courier New"/>
                <w:sz w:val="18"/>
                <w:szCs w:val="18"/>
                <w:color w:val="auto"/>
              </w:rPr>
              <w:t>Total current liabilities</w:t>
            </w:r>
          </w:p>
        </w:tc>
        <w:tc>
          <w:tcPr>
            <w:tcW w:w="17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38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138,445</w:t>
            </w:r>
          </w:p>
        </w:tc>
        <w:tc>
          <w:tcPr>
            <w:tcW w:w="480" w:type="dxa"/>
            <w:vAlign w:val="bottom"/>
          </w:tcPr>
          <w:p>
            <w:pPr>
              <w:spacing w:after="0"/>
              <w:rPr>
                <w:sz w:val="17"/>
                <w:szCs w:val="17"/>
                <w:color w:val="auto"/>
              </w:rPr>
            </w:pP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101,988</w:t>
            </w:r>
          </w:p>
        </w:tc>
        <w:tc>
          <w:tcPr>
            <w:tcW w:w="52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110,758</w:t>
            </w:r>
          </w:p>
        </w:tc>
        <w:tc>
          <w:tcPr>
            <w:tcW w:w="0" w:type="dxa"/>
            <w:vAlign w:val="bottom"/>
          </w:tcPr>
          <w:p>
            <w:pPr>
              <w:spacing w:after="0"/>
              <w:rPr>
                <w:sz w:val="1"/>
                <w:szCs w:val="1"/>
                <w:color w:val="auto"/>
              </w:rPr>
            </w:pPr>
          </w:p>
        </w:tc>
      </w:tr>
      <w:tr>
        <w:trPr>
          <w:trHeight w:val="296"/>
        </w:trPr>
        <w:tc>
          <w:tcPr>
            <w:tcW w:w="6380" w:type="dxa"/>
            <w:vAlign w:val="bottom"/>
          </w:tcPr>
          <w:p>
            <w:pPr>
              <w:spacing w:after="0"/>
              <w:rPr>
                <w:sz w:val="24"/>
                <w:szCs w:val="24"/>
                <w:color w:val="auto"/>
              </w:rPr>
            </w:pPr>
          </w:p>
        </w:tc>
        <w:tc>
          <w:tcPr>
            <w:tcW w:w="174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6380" w:type="dxa"/>
            <w:vAlign w:val="bottom"/>
          </w:tcPr>
          <w:p>
            <w:pPr>
              <w:spacing w:after="0"/>
              <w:rPr>
                <w:sz w:val="20"/>
                <w:szCs w:val="20"/>
                <w:color w:val="auto"/>
              </w:rPr>
            </w:pPr>
            <w:r>
              <w:rPr>
                <w:rFonts w:ascii="Courier New" w:cs="Courier New" w:eastAsia="Courier New" w:hAnsi="Courier New"/>
                <w:sz w:val="18"/>
                <w:szCs w:val="18"/>
                <w:color w:val="auto"/>
              </w:rPr>
              <w:t>Term debt, less current portion</w:t>
            </w:r>
          </w:p>
        </w:tc>
        <w:tc>
          <w:tcPr>
            <w:tcW w:w="420" w:type="dxa"/>
            <w:vAlign w:val="bottom"/>
          </w:tcPr>
          <w:p>
            <w:pPr>
              <w:spacing w:after="0"/>
              <w:rPr>
                <w:sz w:val="24"/>
                <w:szCs w:val="24"/>
                <w:color w:val="auto"/>
              </w:rPr>
            </w:pPr>
          </w:p>
        </w:tc>
        <w:tc>
          <w:tcPr>
            <w:tcW w:w="13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324,368</w:t>
            </w:r>
          </w:p>
        </w:tc>
        <w:tc>
          <w:tcPr>
            <w:tcW w:w="480" w:type="dxa"/>
            <w:vAlign w:val="bottom"/>
          </w:tcPr>
          <w:p>
            <w:pPr>
              <w:spacing w:after="0"/>
              <w:rPr>
                <w:sz w:val="24"/>
                <w:szCs w:val="24"/>
                <w:color w:val="auto"/>
              </w:rPr>
            </w:pPr>
          </w:p>
        </w:tc>
        <w:tc>
          <w:tcPr>
            <w:tcW w:w="12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286,405</w:t>
            </w:r>
          </w:p>
        </w:tc>
        <w:tc>
          <w:tcPr>
            <w:tcW w:w="520" w:type="dxa"/>
            <w:vAlign w:val="bottom"/>
          </w:tcPr>
          <w:p>
            <w:pPr>
              <w:spacing w:after="0"/>
              <w:rPr>
                <w:sz w:val="24"/>
                <w:szCs w:val="24"/>
                <w:color w:val="auto"/>
              </w:rPr>
            </w:pP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223,128</w:t>
            </w:r>
          </w:p>
        </w:tc>
        <w:tc>
          <w:tcPr>
            <w:tcW w:w="0" w:type="dxa"/>
            <w:vAlign w:val="bottom"/>
          </w:tcPr>
          <w:p>
            <w:pPr>
              <w:spacing w:after="0"/>
              <w:rPr>
                <w:sz w:val="1"/>
                <w:szCs w:val="1"/>
                <w:color w:val="auto"/>
              </w:rPr>
            </w:pPr>
          </w:p>
        </w:tc>
      </w:tr>
      <w:tr>
        <w:trPr>
          <w:trHeight w:val="203"/>
        </w:trPr>
        <w:tc>
          <w:tcPr>
            <w:tcW w:w="6380" w:type="dxa"/>
            <w:vAlign w:val="bottom"/>
          </w:tcPr>
          <w:p>
            <w:pPr>
              <w:spacing w:after="0" w:line="203" w:lineRule="exact"/>
              <w:rPr>
                <w:sz w:val="20"/>
                <w:szCs w:val="20"/>
                <w:color w:val="auto"/>
              </w:rPr>
            </w:pPr>
            <w:r>
              <w:rPr>
                <w:rFonts w:ascii="Courier New" w:cs="Courier New" w:eastAsia="Courier New" w:hAnsi="Courier New"/>
                <w:sz w:val="18"/>
                <w:szCs w:val="18"/>
                <w:color w:val="auto"/>
              </w:rPr>
              <w:t>Postretirement benefits other than pensions</w:t>
            </w:r>
          </w:p>
        </w:tc>
        <w:tc>
          <w:tcPr>
            <w:tcW w:w="420" w:type="dxa"/>
            <w:vAlign w:val="bottom"/>
          </w:tcPr>
          <w:p>
            <w:pPr>
              <w:spacing w:after="0"/>
              <w:rPr>
                <w:sz w:val="17"/>
                <w:szCs w:val="17"/>
                <w:color w:val="auto"/>
              </w:rPr>
            </w:pP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27,204</w:t>
            </w:r>
          </w:p>
        </w:tc>
        <w:tc>
          <w:tcPr>
            <w:tcW w:w="480" w:type="dxa"/>
            <w:vAlign w:val="bottom"/>
          </w:tcPr>
          <w:p>
            <w:pPr>
              <w:spacing w:after="0"/>
              <w:rPr>
                <w:sz w:val="17"/>
                <w:szCs w:val="17"/>
                <w:color w:val="auto"/>
              </w:rPr>
            </w:pP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27,202</w:t>
            </w:r>
          </w:p>
        </w:tc>
        <w:tc>
          <w:tcPr>
            <w:tcW w:w="52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27,157</w:t>
            </w:r>
          </w:p>
        </w:tc>
        <w:tc>
          <w:tcPr>
            <w:tcW w:w="0" w:type="dxa"/>
            <w:vAlign w:val="bottom"/>
          </w:tcPr>
          <w:p>
            <w:pPr>
              <w:spacing w:after="0"/>
              <w:rPr>
                <w:sz w:val="1"/>
                <w:szCs w:val="1"/>
                <w:color w:val="auto"/>
              </w:rPr>
            </w:pPr>
          </w:p>
        </w:tc>
      </w:tr>
      <w:tr>
        <w:trPr>
          <w:trHeight w:val="203"/>
        </w:trPr>
        <w:tc>
          <w:tcPr>
            <w:tcW w:w="63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liabilities</w:t>
            </w:r>
          </w:p>
        </w:tc>
        <w:tc>
          <w:tcPr>
            <w:tcW w:w="420" w:type="dxa"/>
            <w:vAlign w:val="bottom"/>
          </w:tcPr>
          <w:p>
            <w:pPr>
              <w:spacing w:after="0"/>
              <w:rPr>
                <w:sz w:val="17"/>
                <w:szCs w:val="17"/>
                <w:color w:val="auto"/>
              </w:rPr>
            </w:pP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5,152</w:t>
            </w:r>
          </w:p>
        </w:tc>
        <w:tc>
          <w:tcPr>
            <w:tcW w:w="480" w:type="dxa"/>
            <w:vAlign w:val="bottom"/>
          </w:tcPr>
          <w:p>
            <w:pPr>
              <w:spacing w:after="0"/>
              <w:rPr>
                <w:sz w:val="17"/>
                <w:szCs w:val="17"/>
                <w:color w:val="auto"/>
              </w:rPr>
            </w:pP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6,064</w:t>
            </w:r>
          </w:p>
        </w:tc>
        <w:tc>
          <w:tcPr>
            <w:tcW w:w="52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6,341</w:t>
            </w:r>
          </w:p>
        </w:tc>
        <w:tc>
          <w:tcPr>
            <w:tcW w:w="0" w:type="dxa"/>
            <w:vAlign w:val="bottom"/>
          </w:tcPr>
          <w:p>
            <w:pPr>
              <w:spacing w:after="0"/>
              <w:rPr>
                <w:sz w:val="1"/>
                <w:szCs w:val="1"/>
                <w:color w:val="auto"/>
              </w:rPr>
            </w:pPr>
          </w:p>
        </w:tc>
      </w:tr>
      <w:tr>
        <w:trPr>
          <w:trHeight w:val="296"/>
        </w:trPr>
        <w:tc>
          <w:tcPr>
            <w:tcW w:w="6380" w:type="dxa"/>
            <w:vAlign w:val="bottom"/>
          </w:tcPr>
          <w:p>
            <w:pPr>
              <w:spacing w:after="0"/>
              <w:rPr>
                <w:sz w:val="24"/>
                <w:szCs w:val="24"/>
                <w:color w:val="auto"/>
              </w:rPr>
            </w:pPr>
          </w:p>
        </w:tc>
        <w:tc>
          <w:tcPr>
            <w:tcW w:w="174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6380" w:type="dxa"/>
            <w:vAlign w:val="bottom"/>
          </w:tcPr>
          <w:p>
            <w:pPr>
              <w:ind w:left="540"/>
              <w:spacing w:after="0"/>
              <w:rPr>
                <w:sz w:val="20"/>
                <w:szCs w:val="20"/>
                <w:color w:val="auto"/>
              </w:rPr>
            </w:pPr>
            <w:r>
              <w:rPr>
                <w:rFonts w:ascii="Courier New" w:cs="Courier New" w:eastAsia="Courier New" w:hAnsi="Courier New"/>
                <w:sz w:val="18"/>
                <w:szCs w:val="18"/>
                <w:color w:val="auto"/>
              </w:rPr>
              <w:t>Total Liabilities</w:t>
            </w:r>
          </w:p>
        </w:tc>
        <w:tc>
          <w:tcPr>
            <w:tcW w:w="420" w:type="dxa"/>
            <w:vAlign w:val="bottom"/>
          </w:tcPr>
          <w:p>
            <w:pPr>
              <w:spacing w:after="0"/>
              <w:rPr>
                <w:sz w:val="24"/>
                <w:szCs w:val="24"/>
                <w:color w:val="auto"/>
              </w:rPr>
            </w:pPr>
          </w:p>
        </w:tc>
        <w:tc>
          <w:tcPr>
            <w:tcW w:w="13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495,169</w:t>
            </w:r>
          </w:p>
        </w:tc>
        <w:tc>
          <w:tcPr>
            <w:tcW w:w="480" w:type="dxa"/>
            <w:vAlign w:val="bottom"/>
          </w:tcPr>
          <w:p>
            <w:pPr>
              <w:spacing w:after="0"/>
              <w:rPr>
                <w:sz w:val="24"/>
                <w:szCs w:val="24"/>
                <w:color w:val="auto"/>
              </w:rPr>
            </w:pPr>
          </w:p>
        </w:tc>
        <w:tc>
          <w:tcPr>
            <w:tcW w:w="12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421,659</w:t>
            </w:r>
          </w:p>
        </w:tc>
        <w:tc>
          <w:tcPr>
            <w:tcW w:w="520" w:type="dxa"/>
            <w:vAlign w:val="bottom"/>
          </w:tcPr>
          <w:p>
            <w:pPr>
              <w:spacing w:after="0"/>
              <w:rPr>
                <w:sz w:val="24"/>
                <w:szCs w:val="24"/>
                <w:color w:val="auto"/>
              </w:rPr>
            </w:pP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367,384</w:t>
            </w:r>
          </w:p>
        </w:tc>
        <w:tc>
          <w:tcPr>
            <w:tcW w:w="0" w:type="dxa"/>
            <w:vAlign w:val="bottom"/>
          </w:tcPr>
          <w:p>
            <w:pPr>
              <w:spacing w:after="0"/>
              <w:rPr>
                <w:sz w:val="1"/>
                <w:szCs w:val="1"/>
                <w:color w:val="auto"/>
              </w:rPr>
            </w:pPr>
          </w:p>
        </w:tc>
      </w:tr>
      <w:tr>
        <w:trPr>
          <w:trHeight w:val="296"/>
        </w:trPr>
        <w:tc>
          <w:tcPr>
            <w:tcW w:w="6380" w:type="dxa"/>
            <w:vAlign w:val="bottom"/>
          </w:tcPr>
          <w:p>
            <w:pPr>
              <w:spacing w:after="0"/>
              <w:rPr>
                <w:sz w:val="24"/>
                <w:szCs w:val="24"/>
                <w:color w:val="auto"/>
              </w:rPr>
            </w:pPr>
          </w:p>
        </w:tc>
        <w:tc>
          <w:tcPr>
            <w:tcW w:w="174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6380" w:type="dxa"/>
            <w:vAlign w:val="bottom"/>
          </w:tcPr>
          <w:p>
            <w:pPr>
              <w:spacing w:after="0"/>
              <w:rPr>
                <w:sz w:val="20"/>
                <w:szCs w:val="20"/>
                <w:color w:val="auto"/>
              </w:rPr>
            </w:pPr>
            <w:r>
              <w:rPr>
                <w:rFonts w:ascii="Courier New" w:cs="Courier New" w:eastAsia="Courier New" w:hAnsi="Courier New"/>
                <w:sz w:val="18"/>
                <w:szCs w:val="18"/>
                <w:color w:val="auto"/>
              </w:rPr>
              <w:t>Commitments and Contingencies</w:t>
            </w: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380" w:type="dxa"/>
            <w:vAlign w:val="bottom"/>
          </w:tcPr>
          <w:p>
            <w:pPr>
              <w:spacing w:after="0"/>
              <w:rPr>
                <w:sz w:val="20"/>
                <w:szCs w:val="20"/>
                <w:color w:val="auto"/>
              </w:rPr>
            </w:pPr>
            <w:r>
              <w:rPr>
                <w:rFonts w:ascii="Courier New" w:cs="Courier New" w:eastAsia="Courier New" w:hAnsi="Courier New"/>
                <w:sz w:val="18"/>
                <w:szCs w:val="18"/>
                <w:color w:val="auto"/>
              </w:rPr>
              <w:t>Shareholders' Equity:</w:t>
            </w:r>
          </w:p>
        </w:tc>
        <w:tc>
          <w:tcPr>
            <w:tcW w:w="420" w:type="dxa"/>
            <w:vAlign w:val="bottom"/>
          </w:tcPr>
          <w:p>
            <w:pPr>
              <w:spacing w:after="0"/>
              <w:rPr>
                <w:sz w:val="24"/>
                <w:szCs w:val="24"/>
                <w:color w:val="auto"/>
              </w:rPr>
            </w:pPr>
          </w:p>
        </w:tc>
        <w:tc>
          <w:tcPr>
            <w:tcW w:w="132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177,255</w:t>
            </w:r>
          </w:p>
        </w:tc>
        <w:tc>
          <w:tcPr>
            <w:tcW w:w="480" w:type="dxa"/>
            <w:vAlign w:val="bottom"/>
          </w:tcPr>
          <w:p>
            <w:pPr>
              <w:spacing w:after="0"/>
              <w:rPr>
                <w:sz w:val="24"/>
                <w:szCs w:val="24"/>
                <w:color w:val="auto"/>
              </w:rPr>
            </w:pPr>
          </w:p>
        </w:tc>
        <w:tc>
          <w:tcPr>
            <w:tcW w:w="126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177,255</w:t>
            </w:r>
          </w:p>
        </w:tc>
        <w:tc>
          <w:tcPr>
            <w:tcW w:w="520" w:type="dxa"/>
            <w:vAlign w:val="bottom"/>
          </w:tcPr>
          <w:p>
            <w:pPr>
              <w:spacing w:after="0"/>
              <w:rPr>
                <w:sz w:val="24"/>
                <w:szCs w:val="24"/>
                <w:color w:val="auto"/>
              </w:rPr>
            </w:pPr>
          </w:p>
        </w:tc>
        <w:tc>
          <w:tcPr>
            <w:tcW w:w="10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177,255</w:t>
            </w:r>
          </w:p>
        </w:tc>
        <w:tc>
          <w:tcPr>
            <w:tcW w:w="0" w:type="dxa"/>
            <w:vAlign w:val="bottom"/>
          </w:tcPr>
          <w:p>
            <w:pPr>
              <w:spacing w:after="0"/>
              <w:rPr>
                <w:sz w:val="1"/>
                <w:szCs w:val="1"/>
                <w:color w:val="auto"/>
              </w:rPr>
            </w:pPr>
          </w:p>
        </w:tc>
      </w:tr>
      <w:tr>
        <w:trPr>
          <w:trHeight w:val="203"/>
        </w:trPr>
        <w:tc>
          <w:tcPr>
            <w:tcW w:w="6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Class A Convertible Preferred Stock, no par value</w:t>
            </w:r>
          </w:p>
        </w:tc>
        <w:tc>
          <w:tcPr>
            <w:tcW w:w="42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Common Shares, $.01 stated value, issued 21,082</w:t>
            </w:r>
          </w:p>
        </w:tc>
        <w:tc>
          <w:tcPr>
            <w:tcW w:w="420" w:type="dxa"/>
            <w:vAlign w:val="bottom"/>
          </w:tcPr>
          <w:p>
            <w:pPr>
              <w:spacing w:after="0"/>
              <w:rPr>
                <w:sz w:val="17"/>
                <w:szCs w:val="17"/>
                <w:color w:val="auto"/>
              </w:rPr>
            </w:pPr>
          </w:p>
        </w:tc>
        <w:tc>
          <w:tcPr>
            <w:tcW w:w="132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211</w:t>
            </w:r>
          </w:p>
        </w:tc>
        <w:tc>
          <w:tcPr>
            <w:tcW w:w="480" w:type="dxa"/>
            <w:vAlign w:val="bottom"/>
          </w:tcPr>
          <w:p>
            <w:pPr>
              <w:spacing w:after="0"/>
              <w:rPr>
                <w:sz w:val="17"/>
                <w:szCs w:val="17"/>
                <w:color w:val="auto"/>
              </w:rPr>
            </w:pPr>
          </w:p>
        </w:tc>
        <w:tc>
          <w:tcPr>
            <w:tcW w:w="126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211</w:t>
            </w:r>
          </w:p>
        </w:tc>
        <w:tc>
          <w:tcPr>
            <w:tcW w:w="520" w:type="dxa"/>
            <w:vAlign w:val="bottom"/>
          </w:tcPr>
          <w:p>
            <w:pPr>
              <w:spacing w:after="0"/>
              <w:rPr>
                <w:sz w:val="17"/>
                <w:szCs w:val="17"/>
                <w:color w:val="auto"/>
              </w:rPr>
            </w:pPr>
          </w:p>
        </w:tc>
        <w:tc>
          <w:tcPr>
            <w:tcW w:w="10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211</w:t>
            </w:r>
          </w:p>
        </w:tc>
        <w:tc>
          <w:tcPr>
            <w:tcW w:w="0" w:type="dxa"/>
            <w:vAlign w:val="bottom"/>
          </w:tcPr>
          <w:p>
            <w:pPr>
              <w:spacing w:after="0"/>
              <w:rPr>
                <w:sz w:val="1"/>
                <w:szCs w:val="1"/>
                <w:color w:val="auto"/>
              </w:rPr>
            </w:pPr>
          </w:p>
        </w:tc>
      </w:tr>
      <w:tr>
        <w:trPr>
          <w:trHeight w:val="203"/>
        </w:trPr>
        <w:tc>
          <w:tcPr>
            <w:tcW w:w="6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shares in 1995 and 1996</w:t>
            </w:r>
          </w:p>
        </w:tc>
        <w:tc>
          <w:tcPr>
            <w:tcW w:w="42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Capital in excess of par value</w:t>
            </w:r>
          </w:p>
        </w:tc>
        <w:tc>
          <w:tcPr>
            <w:tcW w:w="420" w:type="dxa"/>
            <w:vAlign w:val="bottom"/>
          </w:tcPr>
          <w:p>
            <w:pPr>
              <w:spacing w:after="0"/>
              <w:rPr>
                <w:sz w:val="17"/>
                <w:szCs w:val="17"/>
                <w:color w:val="auto"/>
              </w:rPr>
            </w:pP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207,557</w:t>
            </w:r>
          </w:p>
        </w:tc>
        <w:tc>
          <w:tcPr>
            <w:tcW w:w="480" w:type="dxa"/>
            <w:vAlign w:val="bottom"/>
          </w:tcPr>
          <w:p>
            <w:pPr>
              <w:spacing w:after="0"/>
              <w:rPr>
                <w:sz w:val="17"/>
                <w:szCs w:val="17"/>
                <w:color w:val="auto"/>
              </w:rPr>
            </w:pP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207,579</w:t>
            </w:r>
          </w:p>
        </w:tc>
        <w:tc>
          <w:tcPr>
            <w:tcW w:w="52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207,650</w:t>
            </w:r>
          </w:p>
        </w:tc>
        <w:tc>
          <w:tcPr>
            <w:tcW w:w="0" w:type="dxa"/>
            <w:vAlign w:val="bottom"/>
          </w:tcPr>
          <w:p>
            <w:pPr>
              <w:spacing w:after="0"/>
              <w:rPr>
                <w:sz w:val="1"/>
                <w:szCs w:val="1"/>
                <w:color w:val="auto"/>
              </w:rPr>
            </w:pPr>
          </w:p>
        </w:tc>
      </w:tr>
      <w:tr>
        <w:trPr>
          <w:trHeight w:val="203"/>
        </w:trPr>
        <w:tc>
          <w:tcPr>
            <w:tcW w:w="6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420" w:type="dxa"/>
            <w:vAlign w:val="bottom"/>
          </w:tcPr>
          <w:p>
            <w:pPr>
              <w:spacing w:after="0"/>
              <w:rPr>
                <w:sz w:val="17"/>
                <w:szCs w:val="17"/>
                <w:color w:val="auto"/>
              </w:rPr>
            </w:pP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23,062</w:t>
            </w:r>
          </w:p>
        </w:tc>
        <w:tc>
          <w:tcPr>
            <w:tcW w:w="480" w:type="dxa"/>
            <w:vAlign w:val="bottom"/>
          </w:tcPr>
          <w:p>
            <w:pPr>
              <w:spacing w:after="0"/>
              <w:rPr>
                <w:sz w:val="17"/>
                <w:szCs w:val="17"/>
                <w:color w:val="auto"/>
              </w:rPr>
            </w:pP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13,862</w:t>
            </w:r>
          </w:p>
        </w:tc>
        <w:tc>
          <w:tcPr>
            <w:tcW w:w="52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20,392</w:t>
            </w:r>
          </w:p>
        </w:tc>
        <w:tc>
          <w:tcPr>
            <w:tcW w:w="0" w:type="dxa"/>
            <w:vAlign w:val="bottom"/>
          </w:tcPr>
          <w:p>
            <w:pPr>
              <w:spacing w:after="0"/>
              <w:rPr>
                <w:sz w:val="1"/>
                <w:szCs w:val="1"/>
                <w:color w:val="auto"/>
              </w:rPr>
            </w:pPr>
          </w:p>
        </w:tc>
      </w:tr>
      <w:tr>
        <w:trPr>
          <w:trHeight w:val="203"/>
        </w:trPr>
        <w:tc>
          <w:tcPr>
            <w:tcW w:w="6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Cumulative foreign currency translation adjustments</w:t>
            </w:r>
          </w:p>
        </w:tc>
        <w:tc>
          <w:tcPr>
            <w:tcW w:w="420" w:type="dxa"/>
            <w:vAlign w:val="bottom"/>
          </w:tcPr>
          <w:p>
            <w:pPr>
              <w:spacing w:after="0"/>
              <w:rPr>
                <w:sz w:val="17"/>
                <w:szCs w:val="17"/>
                <w:color w:val="auto"/>
              </w:rPr>
            </w:pP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3,934</w:t>
            </w:r>
          </w:p>
        </w:tc>
        <w:tc>
          <w:tcPr>
            <w:tcW w:w="480" w:type="dxa"/>
            <w:vAlign w:val="bottom"/>
          </w:tcPr>
          <w:p>
            <w:pPr>
              <w:spacing w:after="0"/>
              <w:rPr>
                <w:sz w:val="17"/>
                <w:szCs w:val="17"/>
                <w:color w:val="auto"/>
              </w:rPr>
            </w:pP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1,470</w:t>
            </w:r>
          </w:p>
        </w:tc>
        <w:tc>
          <w:tcPr>
            <w:tcW w:w="52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2,151</w:t>
            </w:r>
          </w:p>
        </w:tc>
        <w:tc>
          <w:tcPr>
            <w:tcW w:w="0" w:type="dxa"/>
            <w:vAlign w:val="bottom"/>
          </w:tcPr>
          <w:p>
            <w:pPr>
              <w:spacing w:after="0"/>
              <w:rPr>
                <w:sz w:val="1"/>
                <w:szCs w:val="1"/>
                <w:color w:val="auto"/>
              </w:rPr>
            </w:pPr>
          </w:p>
        </w:tc>
      </w:tr>
      <w:tr>
        <w:trPr>
          <w:trHeight w:val="203"/>
        </w:trPr>
        <w:tc>
          <w:tcPr>
            <w:tcW w:w="6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Treasury stock, 2,388 shares in 1995 and 2,507 shares</w:t>
            </w:r>
          </w:p>
        </w:tc>
        <w:tc>
          <w:tcPr>
            <w:tcW w:w="420" w:type="dxa"/>
            <w:vAlign w:val="bottom"/>
          </w:tcPr>
          <w:p>
            <w:pPr>
              <w:spacing w:after="0"/>
              <w:rPr>
                <w:sz w:val="17"/>
                <w:szCs w:val="17"/>
                <w:color w:val="auto"/>
              </w:rPr>
            </w:pPr>
          </w:p>
        </w:tc>
        <w:tc>
          <w:tcPr>
            <w:tcW w:w="132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(40,981)</w:t>
            </w:r>
          </w:p>
        </w:tc>
        <w:tc>
          <w:tcPr>
            <w:tcW w:w="480" w:type="dxa"/>
            <w:vAlign w:val="bottom"/>
          </w:tcPr>
          <w:p>
            <w:pPr>
              <w:spacing w:after="0"/>
              <w:rPr>
                <w:sz w:val="17"/>
                <w:szCs w:val="17"/>
                <w:color w:val="auto"/>
              </w:rPr>
            </w:pPr>
          </w:p>
        </w:tc>
        <w:tc>
          <w:tcPr>
            <w:tcW w:w="126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w w:val="99"/>
              </w:rPr>
              <w:t>(43,358)</w:t>
            </w:r>
          </w:p>
        </w:tc>
        <w:tc>
          <w:tcPr>
            <w:tcW w:w="520" w:type="dxa"/>
            <w:vAlign w:val="bottom"/>
          </w:tcPr>
          <w:p>
            <w:pPr>
              <w:spacing w:after="0"/>
              <w:rPr>
                <w:sz w:val="17"/>
                <w:szCs w:val="17"/>
                <w:color w:val="auto"/>
              </w:rPr>
            </w:pPr>
          </w:p>
        </w:tc>
        <w:tc>
          <w:tcPr>
            <w:tcW w:w="10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(43,358)</w:t>
            </w:r>
          </w:p>
        </w:tc>
        <w:tc>
          <w:tcPr>
            <w:tcW w:w="0" w:type="dxa"/>
            <w:vAlign w:val="bottom"/>
          </w:tcPr>
          <w:p>
            <w:pPr>
              <w:spacing w:after="0"/>
              <w:rPr>
                <w:sz w:val="1"/>
                <w:szCs w:val="1"/>
                <w:color w:val="auto"/>
              </w:rPr>
            </w:pPr>
          </w:p>
        </w:tc>
      </w:tr>
      <w:tr>
        <w:trPr>
          <w:trHeight w:val="203"/>
        </w:trPr>
        <w:tc>
          <w:tcPr>
            <w:tcW w:w="6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 1996, at cost</w:t>
            </w:r>
          </w:p>
        </w:tc>
        <w:tc>
          <w:tcPr>
            <w:tcW w:w="42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vMerge w:val="restart"/>
          </w:tcPr>
          <w:p>
            <w:pPr>
              <w:ind w:left="540"/>
              <w:spacing w:after="0"/>
              <w:rPr>
                <w:sz w:val="20"/>
                <w:szCs w:val="20"/>
                <w:color w:val="auto"/>
              </w:rPr>
            </w:pPr>
            <w:r>
              <w:rPr>
                <w:rFonts w:ascii="Courier New" w:cs="Courier New" w:eastAsia="Courier New" w:hAnsi="Courier New"/>
                <w:sz w:val="18"/>
                <w:szCs w:val="18"/>
                <w:color w:val="auto"/>
              </w:rPr>
              <w:t>Total Shareholders' Equity</w:t>
            </w:r>
          </w:p>
        </w:tc>
        <w:tc>
          <w:tcPr>
            <w:tcW w:w="17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38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371,038</w:t>
            </w:r>
          </w:p>
        </w:tc>
        <w:tc>
          <w:tcPr>
            <w:tcW w:w="480" w:type="dxa"/>
            <w:vAlign w:val="bottom"/>
          </w:tcPr>
          <w:p>
            <w:pPr>
              <w:spacing w:after="0"/>
              <w:rPr>
                <w:sz w:val="17"/>
                <w:szCs w:val="17"/>
                <w:color w:val="auto"/>
              </w:rPr>
            </w:pP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357,019</w:t>
            </w:r>
          </w:p>
        </w:tc>
        <w:tc>
          <w:tcPr>
            <w:tcW w:w="52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364,301</w:t>
            </w:r>
          </w:p>
        </w:tc>
        <w:tc>
          <w:tcPr>
            <w:tcW w:w="0" w:type="dxa"/>
            <w:vAlign w:val="bottom"/>
          </w:tcPr>
          <w:p>
            <w:pPr>
              <w:spacing w:after="0"/>
              <w:rPr>
                <w:sz w:val="1"/>
                <w:szCs w:val="1"/>
                <w:color w:val="auto"/>
              </w:rPr>
            </w:pPr>
          </w:p>
        </w:tc>
      </w:tr>
      <w:tr>
        <w:trPr>
          <w:trHeight w:val="296"/>
        </w:trPr>
        <w:tc>
          <w:tcPr>
            <w:tcW w:w="6380" w:type="dxa"/>
            <w:vAlign w:val="bottom"/>
          </w:tcPr>
          <w:p>
            <w:pPr>
              <w:spacing w:after="0"/>
              <w:rPr>
                <w:sz w:val="24"/>
                <w:szCs w:val="24"/>
                <w:color w:val="auto"/>
              </w:rPr>
            </w:pPr>
          </w:p>
        </w:tc>
        <w:tc>
          <w:tcPr>
            <w:tcW w:w="174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6380" w:type="dxa"/>
            <w:vAlign w:val="bottom"/>
          </w:tcPr>
          <w:p>
            <w:pPr>
              <w:ind w:left="540"/>
              <w:spacing w:after="0"/>
              <w:rPr>
                <w:sz w:val="20"/>
                <w:szCs w:val="20"/>
                <w:color w:val="auto"/>
              </w:rPr>
            </w:pPr>
            <w:r>
              <w:rPr>
                <w:rFonts w:ascii="Courier New" w:cs="Courier New" w:eastAsia="Courier New" w:hAnsi="Courier New"/>
                <w:sz w:val="18"/>
                <w:szCs w:val="18"/>
                <w:color w:val="auto"/>
              </w:rPr>
              <w:t>Total Liabilities and Shareholders' Equity</w:t>
            </w:r>
          </w:p>
        </w:tc>
        <w:tc>
          <w:tcPr>
            <w:tcW w:w="174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$ 866,207</w:t>
            </w:r>
          </w:p>
        </w:tc>
        <w:tc>
          <w:tcPr>
            <w:tcW w:w="1740" w:type="dxa"/>
            <w:vAlign w:val="bottom"/>
            <w:gridSpan w:val="2"/>
          </w:tcPr>
          <w:p>
            <w:pPr>
              <w:jc w:val="right"/>
              <w:ind w:right="392"/>
              <w:spacing w:after="0"/>
              <w:rPr>
                <w:sz w:val="20"/>
                <w:szCs w:val="20"/>
                <w:color w:val="auto"/>
              </w:rPr>
            </w:pPr>
            <w:r>
              <w:rPr>
                <w:rFonts w:ascii="Courier New" w:cs="Courier New" w:eastAsia="Courier New" w:hAnsi="Courier New"/>
                <w:sz w:val="18"/>
                <w:szCs w:val="18"/>
                <w:color w:val="auto"/>
              </w:rPr>
              <w:t>$ 778,678</w:t>
            </w:r>
          </w:p>
        </w:tc>
        <w:tc>
          <w:tcPr>
            <w:tcW w:w="152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$ 731,685</w:t>
            </w:r>
          </w:p>
        </w:tc>
        <w:tc>
          <w:tcPr>
            <w:tcW w:w="0" w:type="dxa"/>
            <w:vAlign w:val="bottom"/>
          </w:tcPr>
          <w:p>
            <w:pPr>
              <w:spacing w:after="0"/>
              <w:rPr>
                <w:sz w:val="1"/>
                <w:szCs w:val="1"/>
                <w:color w:val="auto"/>
              </w:rPr>
            </w:pPr>
          </w:p>
        </w:tc>
      </w:tr>
      <w:tr>
        <w:trPr>
          <w:trHeight w:val="296"/>
        </w:trPr>
        <w:tc>
          <w:tcPr>
            <w:tcW w:w="6380" w:type="dxa"/>
            <w:vAlign w:val="bottom"/>
          </w:tcPr>
          <w:p>
            <w:pPr>
              <w:spacing w:after="0"/>
              <w:rPr>
                <w:sz w:val="24"/>
                <w:szCs w:val="24"/>
                <w:color w:val="auto"/>
              </w:rPr>
            </w:pPr>
          </w:p>
        </w:tc>
        <w:tc>
          <w:tcPr>
            <w:tcW w:w="174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5</w:t>
      </w:r>
    </w:p>
    <w:p>
      <w:pPr>
        <w:sectPr>
          <w:pgSz w:w="11900" w:h="16838" w:orient="portrait"/>
          <w:cols w:equalWidth="0" w:num="1">
            <w:col w:w="11380"/>
          </w:cols>
          <w:pgMar w:left="240" w:top="893" w:right="279" w:bottom="388" w:gutter="0" w:footer="0" w:header="0"/>
        </w:sectPr>
      </w:pPr>
    </w:p>
    <w:bookmarkStart w:id="5" w:name="page6"/>
    <w:bookmarkEnd w:id="5"/>
    <w:p>
      <w:pPr>
        <w:ind w:left="2440"/>
        <w:spacing w:after="0"/>
        <w:rPr>
          <w:sz w:val="20"/>
          <w:szCs w:val="20"/>
          <w:color w:val="auto"/>
        </w:rPr>
      </w:pPr>
      <w:r>
        <w:rPr>
          <w:rFonts w:ascii="Courier New" w:cs="Courier New" w:eastAsia="Courier New" w:hAnsi="Courier New"/>
          <w:sz w:val="18"/>
          <w:szCs w:val="18"/>
          <w:color w:val="auto"/>
        </w:rPr>
        <w:t>THE SCOTTS COMPANY AND SUBSIDIARIES</w:t>
      </w:r>
    </w:p>
    <w:p>
      <w:pPr>
        <w:spacing w:after="0" w:line="3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Notes to Consolidated Financial Statements</w:t>
      </w:r>
    </w:p>
    <w:p>
      <w:pPr>
        <w:spacing w:after="0" w:line="372" w:lineRule="exact"/>
        <w:rPr>
          <w:sz w:val="20"/>
          <w:szCs w:val="20"/>
          <w:color w:val="auto"/>
        </w:rPr>
      </w:pPr>
    </w:p>
    <w:p>
      <w:pPr>
        <w:ind w:left="640" w:right="5579" w:hanging="632"/>
        <w:spacing w:after="0" w:line="476"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ORGANIZATION AND BASIS OF PRESENTATION NATURE OF OPERATIONS</w:t>
      </w:r>
    </w:p>
    <w:p>
      <w:pPr>
        <w:spacing w:after="0" w:line="1" w:lineRule="exact"/>
        <w:rPr>
          <w:rFonts w:ascii="Courier New" w:cs="Courier New" w:eastAsia="Courier New" w:hAnsi="Courier New"/>
          <w:sz w:val="18"/>
          <w:szCs w:val="18"/>
          <w:color w:val="auto"/>
        </w:rPr>
      </w:pPr>
    </w:p>
    <w:p>
      <w:pPr>
        <w:jc w:val="both"/>
        <w:ind w:left="640" w:right="1779"/>
        <w:spacing w:after="0" w:line="24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Scotts Company is engaged in the manufacture and sale of lawn care and garden products. The Company's major customers include mass merchandisers, home improvement centers, large hardware chains, independent hardware stores, nurseries, garden centers, food and drug stores, golf courses, professional sports stadiums, lawn and landscape service companies, commercial nurseries and greenhouses, and specialty crop growers. The Company's products are sold in the United States, Canada, the United Kingdom, continental Europe, Southeast Asia, the Middle East, Africa, Australia, New Zealand, and several Latin American Countries. The Company's business is highly seasonal with approximately 70% of sales occurring in the second and third fiscal quarters.</w:t>
      </w:r>
    </w:p>
    <w:p>
      <w:pPr>
        <w:spacing w:after="0" w:line="103"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BASIS OF PRESENTATION</w:t>
      </w:r>
    </w:p>
    <w:p>
      <w:pPr>
        <w:spacing w:after="0" w:line="201" w:lineRule="exact"/>
        <w:rPr>
          <w:rFonts w:ascii="Courier New" w:cs="Courier New" w:eastAsia="Courier New" w:hAnsi="Courier New"/>
          <w:sz w:val="18"/>
          <w:szCs w:val="18"/>
          <w:color w:val="auto"/>
        </w:rPr>
      </w:pPr>
    </w:p>
    <w:p>
      <w:pPr>
        <w:jc w:val="both"/>
        <w:ind w:left="640" w:right="1779"/>
        <w:spacing w:after="0" w:line="29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consolidated financial statements include the accounts of The Scotts Company ("Scotts") and its wholly-owned subsidiaries, Hyponex Corporation ("Hyponex"), Republic Tool and Manufacturing Corp. ("Republic"), Scotts-Sierra Horticultural Products Company ("Sierra") and Scotts' Miracle-Gro Products, Inc. ("Miracle-Gro"), (collectively, the "Company"). All material intercompany transactions have been eliminated.</w:t>
      </w:r>
    </w:p>
    <w:p>
      <w:pPr>
        <w:spacing w:after="0" w:line="67" w:lineRule="exact"/>
        <w:rPr>
          <w:rFonts w:ascii="Courier New" w:cs="Courier New" w:eastAsia="Courier New" w:hAnsi="Courier New"/>
          <w:sz w:val="18"/>
          <w:szCs w:val="18"/>
          <w:color w:val="auto"/>
        </w:rPr>
      </w:pPr>
    </w:p>
    <w:p>
      <w:pPr>
        <w:jc w:val="both"/>
        <w:ind w:left="640" w:right="1779"/>
        <w:spacing w:after="0" w:line="28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consolidated balance sheets as of December 30, 1995 and December 28, 1996, the related consolidated statements of operations for the three month periods ended December 30, 1995 and December 28, 1996 and the related consolidated statements of cash flows for the three month periods ended December 30, 1995 and December 28, 1996 are unaudited; however, in the opinion of management, such financial statements contain all adjustments necessary for the fair presentation of the Company's financial position and results of operations. Interim results reflect all normal recurring adjustments and are not necessarily indicative of results for a full year. The interim financial statements and notes are presented as specified by Regulation S-X of the Securities and Exchange Commission, and should be read in conjunction with the financial statements and accompanying notes in Scotts' fiscal 1996 Annual Report on Form 10-K.</w:t>
      </w:r>
    </w:p>
    <w:p>
      <w:pPr>
        <w:spacing w:after="0" w:line="289"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USE OF ESTIMATES</w:t>
      </w:r>
    </w:p>
    <w:p>
      <w:pPr>
        <w:spacing w:after="0" w:line="201" w:lineRule="exact"/>
        <w:rPr>
          <w:rFonts w:ascii="Courier New" w:cs="Courier New" w:eastAsia="Courier New" w:hAnsi="Courier New"/>
          <w:sz w:val="18"/>
          <w:szCs w:val="18"/>
          <w:color w:val="auto"/>
        </w:rPr>
      </w:pPr>
    </w:p>
    <w:p>
      <w:pPr>
        <w:jc w:val="both"/>
        <w:ind w:left="640" w:right="1779"/>
        <w:spacing w:after="0" w:line="25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preparation of financial statements in conformity with generally accepted accounting principles requires management to make estimates and assumptions that affect the amounts reported in the consolidated financial statements and accompanying disclosures. The most significant of these estimates are related to the allowance for doubtful accounts, inventory valuation reserves, marketing promotional and consumer rebate liabilities, income taxes and contingencies. Although these estimates are based on management's best knowledge of current events and actions the Company may undertake in the future, actual results ultimately may differ from the estimates.</w:t>
      </w:r>
    </w:p>
    <w:p>
      <w:pPr>
        <w:spacing w:after="0" w:line="104" w:lineRule="exact"/>
        <w:rPr>
          <w:rFonts w:ascii="Courier New" w:cs="Courier New" w:eastAsia="Courier New" w:hAnsi="Courier New"/>
          <w:sz w:val="18"/>
          <w:szCs w:val="18"/>
          <w:color w:val="auto"/>
        </w:rPr>
      </w:pPr>
    </w:p>
    <w:p>
      <w:pPr>
        <w:ind w:left="640" w:right="8099" w:hanging="632"/>
        <w:spacing w:after="0" w:line="402" w:lineRule="auto"/>
        <w:tabs>
          <w:tab w:leader="none" w:pos="6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INVENTORIES (in thousands)</w:t>
      </w:r>
    </w:p>
    <w:p>
      <w:pPr>
        <w:spacing w:after="0" w:line="1"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Inventories, net of provisions of $6,189, $9,867 and $8,666, consisted of:</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00" w:type="dxa"/>
            <w:vAlign w:val="bottom"/>
          </w:tcPr>
          <w:p>
            <w:pPr>
              <w:spacing w:after="0"/>
              <w:rPr>
                <w:sz w:val="17"/>
                <w:szCs w:val="17"/>
                <w:color w:val="auto"/>
              </w:rPr>
            </w:pPr>
          </w:p>
        </w:tc>
        <w:tc>
          <w:tcPr>
            <w:tcW w:w="1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December 30</w:t>
            </w:r>
          </w:p>
        </w:tc>
        <w:tc>
          <w:tcPr>
            <w:tcW w:w="19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December 28</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September 30</w:t>
            </w:r>
          </w:p>
        </w:tc>
      </w:tr>
      <w:tr>
        <w:trPr>
          <w:trHeight w:val="203"/>
        </w:trPr>
        <w:tc>
          <w:tcPr>
            <w:tcW w:w="1900" w:type="dxa"/>
            <w:vAlign w:val="bottom"/>
          </w:tcPr>
          <w:p>
            <w:pPr>
              <w:spacing w:after="0"/>
              <w:rPr>
                <w:sz w:val="17"/>
                <w:szCs w:val="17"/>
                <w:color w:val="auto"/>
              </w:rPr>
            </w:pPr>
          </w:p>
        </w:tc>
        <w:tc>
          <w:tcPr>
            <w:tcW w:w="18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1995</w:t>
            </w:r>
          </w:p>
        </w:tc>
        <w:tc>
          <w:tcPr>
            <w:tcW w:w="19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1996</w:t>
            </w:r>
          </w:p>
        </w:tc>
        <w:tc>
          <w:tcPr>
            <w:tcW w:w="1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1996</w:t>
            </w:r>
          </w:p>
        </w:tc>
      </w:tr>
      <w:tr>
        <w:trPr>
          <w:trHeight w:val="296"/>
        </w:trPr>
        <w:tc>
          <w:tcPr>
            <w:tcW w:w="1900" w:type="dxa"/>
            <w:vAlign w:val="bottom"/>
          </w:tcPr>
          <w:p>
            <w:pPr>
              <w:spacing w:after="0"/>
              <w:rPr>
                <w:sz w:val="24"/>
                <w:szCs w:val="24"/>
                <w:color w:val="auto"/>
              </w:rPr>
            </w:pPr>
          </w:p>
        </w:tc>
        <w:tc>
          <w:tcPr>
            <w:tcW w:w="1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9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311"/>
        </w:trPr>
        <w:tc>
          <w:tcPr>
            <w:tcW w:w="1900" w:type="dxa"/>
            <w:vAlign w:val="bottom"/>
          </w:tcPr>
          <w:p>
            <w:pPr>
              <w:spacing w:after="0"/>
              <w:rPr>
                <w:sz w:val="20"/>
                <w:szCs w:val="20"/>
                <w:color w:val="auto"/>
              </w:rPr>
            </w:pPr>
            <w:r>
              <w:rPr>
                <w:rFonts w:ascii="Courier New" w:cs="Courier New" w:eastAsia="Courier New" w:hAnsi="Courier New"/>
                <w:sz w:val="18"/>
                <w:szCs w:val="18"/>
                <w:color w:val="auto"/>
              </w:rPr>
              <w:t>Finished Goods</w:t>
            </w:r>
          </w:p>
        </w:tc>
        <w:tc>
          <w:tcPr>
            <w:tcW w:w="1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$112,981</w:t>
            </w:r>
          </w:p>
        </w:tc>
        <w:tc>
          <w:tcPr>
            <w:tcW w:w="19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$137,865</w:t>
            </w:r>
          </w:p>
        </w:tc>
        <w:tc>
          <w:tcPr>
            <w:tcW w:w="15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$ 96,722</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Raw Materials</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71,648</w:t>
            </w:r>
          </w:p>
        </w:tc>
        <w:tc>
          <w:tcPr>
            <w:tcW w:w="19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57,589</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52,114</w:t>
            </w:r>
          </w:p>
        </w:tc>
      </w:tr>
      <w:tr>
        <w:trPr>
          <w:trHeight w:val="296"/>
        </w:trPr>
        <w:tc>
          <w:tcPr>
            <w:tcW w:w="1900" w:type="dxa"/>
            <w:vAlign w:val="bottom"/>
          </w:tcPr>
          <w:p>
            <w:pPr>
              <w:spacing w:after="0"/>
              <w:rPr>
                <w:sz w:val="24"/>
                <w:szCs w:val="24"/>
                <w:color w:val="auto"/>
              </w:rPr>
            </w:pPr>
          </w:p>
        </w:tc>
        <w:tc>
          <w:tcPr>
            <w:tcW w:w="1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9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r>
      <w:tr>
        <w:trPr>
          <w:trHeight w:val="311"/>
        </w:trPr>
        <w:tc>
          <w:tcPr>
            <w:tcW w:w="1900" w:type="dxa"/>
            <w:vAlign w:val="bottom"/>
          </w:tcPr>
          <w:p>
            <w:pPr>
              <w:spacing w:after="0"/>
              <w:rPr>
                <w:sz w:val="24"/>
                <w:szCs w:val="24"/>
                <w:color w:val="auto"/>
              </w:rPr>
            </w:pPr>
          </w:p>
        </w:tc>
        <w:tc>
          <w:tcPr>
            <w:tcW w:w="1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$184,629</w:t>
            </w:r>
          </w:p>
        </w:tc>
        <w:tc>
          <w:tcPr>
            <w:tcW w:w="19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$195,454</w:t>
            </w:r>
          </w:p>
        </w:tc>
        <w:tc>
          <w:tcPr>
            <w:tcW w:w="15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$148,836</w:t>
            </w:r>
          </w:p>
        </w:tc>
      </w:tr>
      <w:tr>
        <w:trPr>
          <w:trHeight w:val="296"/>
        </w:trPr>
        <w:tc>
          <w:tcPr>
            <w:tcW w:w="1900" w:type="dxa"/>
            <w:vAlign w:val="bottom"/>
          </w:tcPr>
          <w:p>
            <w:pPr>
              <w:spacing w:after="0"/>
              <w:rPr>
                <w:sz w:val="24"/>
                <w:szCs w:val="24"/>
                <w:color w:val="auto"/>
              </w:rPr>
            </w:pPr>
          </w:p>
        </w:tc>
        <w:tc>
          <w:tcPr>
            <w:tcW w:w="1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9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r>
      <w:tr>
        <w:trPr>
          <w:trHeight w:val="810"/>
        </w:trPr>
        <w:tc>
          <w:tcPr>
            <w:tcW w:w="19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940" w:type="dxa"/>
            <w:vAlign w:val="bottom"/>
          </w:tcPr>
          <w:p>
            <w:pPr>
              <w:jc w:val="right"/>
              <w:ind w:right="1012"/>
              <w:spacing w:after="0"/>
              <w:rPr>
                <w:sz w:val="20"/>
                <w:szCs w:val="20"/>
                <w:color w:val="auto"/>
              </w:rPr>
            </w:pPr>
            <w:r>
              <w:rPr>
                <w:rFonts w:ascii="Courier New" w:cs="Courier New" w:eastAsia="Courier New" w:hAnsi="Courier New"/>
                <w:sz w:val="18"/>
                <w:szCs w:val="18"/>
                <w:color w:val="auto"/>
              </w:rPr>
              <w:t>Page 6</w:t>
            </w:r>
          </w:p>
        </w:tc>
        <w:tc>
          <w:tcPr>
            <w:tcW w:w="1540" w:type="dxa"/>
            <w:vAlign w:val="bottom"/>
          </w:tcPr>
          <w:p>
            <w:pPr>
              <w:spacing w:after="0"/>
              <w:rPr>
                <w:sz w:val="24"/>
                <w:szCs w:val="24"/>
                <w:color w:val="auto"/>
              </w:rPr>
            </w:pPr>
          </w:p>
        </w:tc>
      </w:tr>
    </w:tbl>
    <w:p>
      <w:pPr>
        <w:sectPr>
          <w:pgSz w:w="11900" w:h="16838" w:orient="portrait"/>
          <w:cols w:equalWidth="0" w:num="1">
            <w:col w:w="10219"/>
          </w:cols>
          <w:pgMar w:left="240" w:top="691" w:right="1440" w:bottom="296" w:gutter="0" w:footer="0" w:header="0"/>
        </w:sectPr>
      </w:pPr>
    </w:p>
    <w:bookmarkStart w:id="6" w:name="page7"/>
    <w:bookmarkEnd w:id="6"/>
    <w:p>
      <w:pPr>
        <w:ind w:left="2440"/>
        <w:spacing w:after="0"/>
        <w:rPr>
          <w:sz w:val="20"/>
          <w:szCs w:val="20"/>
          <w:color w:val="auto"/>
        </w:rPr>
      </w:pPr>
      <w:r>
        <w:rPr>
          <w:rFonts w:ascii="Courier New" w:cs="Courier New" w:eastAsia="Courier New" w:hAnsi="Courier New"/>
          <w:sz w:val="18"/>
          <w:szCs w:val="18"/>
          <w:color w:val="auto"/>
        </w:rPr>
        <w:t>THE SCOTTS COMPANY AND SUBSIDIARIES</w:t>
      </w:r>
    </w:p>
    <w:p>
      <w:pPr>
        <w:spacing w:after="0" w:line="3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Notes to Consolidated Financial Statements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20"/>
                <w:szCs w:val="20"/>
                <w:color w:val="auto"/>
              </w:rPr>
            </w:pPr>
            <w:r>
              <w:rPr>
                <w:rFonts w:ascii="Courier New" w:cs="Courier New" w:eastAsia="Courier New" w:hAnsi="Courier New"/>
                <w:sz w:val="18"/>
                <w:szCs w:val="18"/>
                <w:color w:val="auto"/>
              </w:rPr>
              <w:t>3.</w:t>
            </w:r>
          </w:p>
        </w:tc>
        <w:tc>
          <w:tcPr>
            <w:tcW w:w="2800" w:type="dxa"/>
            <w:vAlign w:val="bottom"/>
          </w:tcPr>
          <w:p>
            <w:pPr>
              <w:ind w:left="320"/>
              <w:spacing w:after="0"/>
              <w:rPr>
                <w:sz w:val="20"/>
                <w:szCs w:val="20"/>
                <w:color w:val="auto"/>
              </w:rPr>
            </w:pPr>
            <w:r>
              <w:rPr>
                <w:rFonts w:ascii="Courier New" w:cs="Courier New" w:eastAsia="Courier New" w:hAnsi="Courier New"/>
                <w:sz w:val="18"/>
                <w:szCs w:val="18"/>
                <w:color w:val="auto"/>
              </w:rPr>
              <w:t>LONG-TERM DEBT</w:t>
            </w:r>
          </w:p>
        </w:tc>
        <w:tc>
          <w:tcPr>
            <w:tcW w:w="19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20" w:type="dxa"/>
            <w:vAlign w:val="bottom"/>
          </w:tcPr>
          <w:p>
            <w:pPr>
              <w:spacing w:after="0"/>
              <w:rPr>
                <w:sz w:val="24"/>
                <w:szCs w:val="24"/>
                <w:color w:val="auto"/>
              </w:rPr>
            </w:pPr>
          </w:p>
        </w:tc>
        <w:tc>
          <w:tcPr>
            <w:tcW w:w="2800" w:type="dxa"/>
            <w:vAlign w:val="bottom"/>
          </w:tcPr>
          <w:p>
            <w:pPr>
              <w:ind w:left="320"/>
              <w:spacing w:after="0"/>
              <w:rPr>
                <w:sz w:val="20"/>
                <w:szCs w:val="20"/>
                <w:color w:val="auto"/>
              </w:rPr>
            </w:pPr>
            <w:r>
              <w:rPr>
                <w:rFonts w:ascii="Courier New" w:cs="Courier New" w:eastAsia="Courier New" w:hAnsi="Courier New"/>
                <w:sz w:val="18"/>
                <w:szCs w:val="18"/>
                <w:color w:val="auto"/>
              </w:rPr>
              <w:t>(in thousands)</w:t>
            </w:r>
          </w:p>
        </w:tc>
        <w:tc>
          <w:tcPr>
            <w:tcW w:w="190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December 30</w:t>
            </w:r>
          </w:p>
        </w:tc>
        <w:tc>
          <w:tcPr>
            <w:tcW w:w="16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December 28</w:t>
            </w:r>
          </w:p>
        </w:tc>
        <w:tc>
          <w:tcPr>
            <w:tcW w:w="15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September 30</w:t>
            </w:r>
          </w:p>
        </w:tc>
        <w:tc>
          <w:tcPr>
            <w:tcW w:w="0" w:type="dxa"/>
            <w:vAlign w:val="bottom"/>
          </w:tcPr>
          <w:p>
            <w:pPr>
              <w:spacing w:after="0"/>
              <w:rPr>
                <w:sz w:val="1"/>
                <w:szCs w:val="1"/>
                <w:color w:val="auto"/>
              </w:rPr>
            </w:pPr>
          </w:p>
        </w:tc>
      </w:tr>
      <w:tr>
        <w:trPr>
          <w:trHeight w:val="109"/>
        </w:trPr>
        <w:tc>
          <w:tcPr>
            <w:tcW w:w="320" w:type="dxa"/>
            <w:vAlign w:val="bottom"/>
          </w:tcPr>
          <w:p>
            <w:pPr>
              <w:spacing w:after="0"/>
              <w:rPr>
                <w:sz w:val="9"/>
                <w:szCs w:val="9"/>
                <w:color w:val="auto"/>
              </w:rPr>
            </w:pPr>
          </w:p>
        </w:tc>
        <w:tc>
          <w:tcPr>
            <w:tcW w:w="2800" w:type="dxa"/>
            <w:vAlign w:val="bottom"/>
          </w:tcPr>
          <w:p>
            <w:pPr>
              <w:spacing w:after="0"/>
              <w:rPr>
                <w:sz w:val="9"/>
                <w:szCs w:val="9"/>
                <w:color w:val="auto"/>
              </w:rPr>
            </w:pPr>
          </w:p>
        </w:tc>
        <w:tc>
          <w:tcPr>
            <w:tcW w:w="190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90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1995</w:t>
            </w:r>
          </w:p>
        </w:tc>
        <w:tc>
          <w:tcPr>
            <w:tcW w:w="16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1996</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1996</w:t>
            </w:r>
          </w:p>
        </w:tc>
        <w:tc>
          <w:tcPr>
            <w:tcW w:w="0" w:type="dxa"/>
            <w:vAlign w:val="bottom"/>
          </w:tcPr>
          <w:p>
            <w:pPr>
              <w:spacing w:after="0"/>
              <w:rPr>
                <w:sz w:val="1"/>
                <w:szCs w:val="1"/>
                <w:color w:val="auto"/>
              </w:rPr>
            </w:pPr>
          </w:p>
        </w:tc>
      </w:tr>
      <w:tr>
        <w:trPr>
          <w:trHeight w:val="296"/>
        </w:trPr>
        <w:tc>
          <w:tcPr>
            <w:tcW w:w="3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90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3120" w:type="dxa"/>
            <w:vAlign w:val="bottom"/>
            <w:gridSpan w:val="2"/>
          </w:tcPr>
          <w:p>
            <w:pPr>
              <w:spacing w:after="0"/>
              <w:rPr>
                <w:sz w:val="20"/>
                <w:szCs w:val="20"/>
                <w:color w:val="auto"/>
              </w:rPr>
            </w:pPr>
            <w:r>
              <w:rPr>
                <w:rFonts w:ascii="Courier New" w:cs="Courier New" w:eastAsia="Courier New" w:hAnsi="Courier New"/>
                <w:sz w:val="18"/>
                <w:szCs w:val="18"/>
                <w:color w:val="auto"/>
              </w:rPr>
              <w:t>Revolving Credit Line</w:t>
            </w:r>
          </w:p>
        </w:tc>
        <w:tc>
          <w:tcPr>
            <w:tcW w:w="19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$261,071</w:t>
            </w:r>
          </w:p>
        </w:tc>
        <w:tc>
          <w:tcPr>
            <w:tcW w:w="16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$188,736</w:t>
            </w:r>
          </w:p>
        </w:tc>
        <w:tc>
          <w:tcPr>
            <w:tcW w:w="1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$125,750</w:t>
            </w:r>
          </w:p>
        </w:tc>
        <w:tc>
          <w:tcPr>
            <w:tcW w:w="0" w:type="dxa"/>
            <w:vAlign w:val="bottom"/>
          </w:tcPr>
          <w:p>
            <w:pPr>
              <w:spacing w:after="0"/>
              <w:rPr>
                <w:sz w:val="1"/>
                <w:szCs w:val="1"/>
                <w:color w:val="auto"/>
              </w:rPr>
            </w:pPr>
          </w:p>
        </w:tc>
      </w:tr>
      <w:tr>
        <w:trPr>
          <w:trHeight w:val="203"/>
        </w:trPr>
        <w:tc>
          <w:tcPr>
            <w:tcW w:w="3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9 7/8% Senior</w:t>
            </w:r>
          </w:p>
        </w:tc>
        <w:tc>
          <w:tcPr>
            <w:tcW w:w="19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2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Subordinated Notes</w:t>
            </w:r>
          </w:p>
        </w:tc>
        <w:tc>
          <w:tcPr>
            <w:tcW w:w="19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2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$100 million face</w:t>
            </w:r>
          </w:p>
        </w:tc>
        <w:tc>
          <w:tcPr>
            <w:tcW w:w="190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99,325</w:t>
            </w:r>
          </w:p>
        </w:tc>
        <w:tc>
          <w:tcPr>
            <w:tcW w:w="168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99,405</w:t>
            </w:r>
          </w:p>
        </w:tc>
        <w:tc>
          <w:tcPr>
            <w:tcW w:w="152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99,378</w:t>
            </w: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2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amount due 2004</w:t>
            </w:r>
          </w:p>
        </w:tc>
        <w:tc>
          <w:tcPr>
            <w:tcW w:w="1900" w:type="dxa"/>
            <w:vAlign w:val="bottom"/>
            <w:vMerge w:val="continue"/>
          </w:tcPr>
          <w:p>
            <w:pPr>
              <w:spacing w:after="0"/>
              <w:rPr>
                <w:sz w:val="17"/>
                <w:szCs w:val="17"/>
                <w:color w:val="auto"/>
              </w:rPr>
            </w:pPr>
          </w:p>
        </w:tc>
        <w:tc>
          <w:tcPr>
            <w:tcW w:w="1680" w:type="dxa"/>
            <w:vAlign w:val="bottom"/>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Capital lease</w:t>
            </w:r>
          </w:p>
        </w:tc>
        <w:tc>
          <w:tcPr>
            <w:tcW w:w="190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460</w:t>
            </w:r>
          </w:p>
        </w:tc>
        <w:tc>
          <w:tcPr>
            <w:tcW w:w="168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139</w:t>
            </w:r>
          </w:p>
        </w:tc>
        <w:tc>
          <w:tcPr>
            <w:tcW w:w="152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197</w:t>
            </w: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2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obligations and other</w:t>
            </w:r>
          </w:p>
        </w:tc>
        <w:tc>
          <w:tcPr>
            <w:tcW w:w="1900" w:type="dxa"/>
            <w:vAlign w:val="bottom"/>
            <w:vMerge w:val="continue"/>
          </w:tcPr>
          <w:p>
            <w:pPr>
              <w:spacing w:after="0"/>
              <w:rPr>
                <w:sz w:val="17"/>
                <w:szCs w:val="17"/>
                <w:color w:val="auto"/>
              </w:rPr>
            </w:pPr>
          </w:p>
        </w:tc>
        <w:tc>
          <w:tcPr>
            <w:tcW w:w="1680" w:type="dxa"/>
            <w:vAlign w:val="bottom"/>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12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rPr>
              <w:t>Less current portions</w:t>
            </w:r>
          </w:p>
        </w:tc>
        <w:tc>
          <w:tcPr>
            <w:tcW w:w="1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360,856</w:t>
            </w:r>
          </w:p>
        </w:tc>
        <w:tc>
          <w:tcPr>
            <w:tcW w:w="16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288,280</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225,325</w:t>
            </w:r>
          </w:p>
        </w:tc>
        <w:tc>
          <w:tcPr>
            <w:tcW w:w="0" w:type="dxa"/>
            <w:vAlign w:val="bottom"/>
          </w:tcPr>
          <w:p>
            <w:pPr>
              <w:spacing w:after="0"/>
              <w:rPr>
                <w:sz w:val="1"/>
                <w:szCs w:val="1"/>
                <w:color w:val="auto"/>
              </w:rPr>
            </w:pPr>
          </w:p>
        </w:tc>
      </w:tr>
      <w:tr>
        <w:trPr>
          <w:trHeight w:val="203"/>
        </w:trPr>
        <w:tc>
          <w:tcPr>
            <w:tcW w:w="3120" w:type="dxa"/>
            <w:vAlign w:val="bottom"/>
            <w:gridSpan w:val="2"/>
            <w:vMerge w:val="continue"/>
          </w:tcPr>
          <w:p>
            <w:pPr>
              <w:spacing w:after="0"/>
              <w:rPr>
                <w:sz w:val="17"/>
                <w:szCs w:val="17"/>
                <w:color w:val="auto"/>
              </w:rPr>
            </w:pPr>
          </w:p>
        </w:tc>
        <w:tc>
          <w:tcPr>
            <w:tcW w:w="1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36,488</w:t>
            </w:r>
          </w:p>
        </w:tc>
        <w:tc>
          <w:tcPr>
            <w:tcW w:w="16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1,875</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2,197</w:t>
            </w:r>
          </w:p>
        </w:tc>
        <w:tc>
          <w:tcPr>
            <w:tcW w:w="0" w:type="dxa"/>
            <w:vAlign w:val="bottom"/>
          </w:tcPr>
          <w:p>
            <w:pPr>
              <w:spacing w:after="0"/>
              <w:rPr>
                <w:sz w:val="1"/>
                <w:szCs w:val="1"/>
                <w:color w:val="auto"/>
              </w:rPr>
            </w:pPr>
          </w:p>
        </w:tc>
      </w:tr>
      <w:tr>
        <w:trPr>
          <w:trHeight w:val="296"/>
        </w:trPr>
        <w:tc>
          <w:tcPr>
            <w:tcW w:w="3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9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3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9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$324,368</w:t>
            </w:r>
          </w:p>
        </w:tc>
        <w:tc>
          <w:tcPr>
            <w:tcW w:w="16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$286,405</w:t>
            </w:r>
          </w:p>
        </w:tc>
        <w:tc>
          <w:tcPr>
            <w:tcW w:w="1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$223,128</w:t>
            </w:r>
          </w:p>
        </w:tc>
        <w:tc>
          <w:tcPr>
            <w:tcW w:w="0" w:type="dxa"/>
            <w:vAlign w:val="bottom"/>
          </w:tcPr>
          <w:p>
            <w:pPr>
              <w:spacing w:after="0"/>
              <w:rPr>
                <w:sz w:val="1"/>
                <w:szCs w:val="1"/>
                <w:color w:val="auto"/>
              </w:rPr>
            </w:pPr>
          </w:p>
        </w:tc>
      </w:tr>
      <w:tr>
        <w:trPr>
          <w:trHeight w:val="296"/>
        </w:trPr>
        <w:tc>
          <w:tcPr>
            <w:tcW w:w="3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9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Maturities of term debt for the next five calendar years are as follows:</w:t>
      </w:r>
    </w:p>
    <w:p>
      <w:pPr>
        <w:spacing w:after="0" w:line="200"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1840" w:type="dxa"/>
            <w:vAlign w:val="bottom"/>
          </w:tcPr>
          <w:p>
            <w:pPr>
              <w:spacing w:after="0"/>
              <w:rPr>
                <w:sz w:val="20"/>
                <w:szCs w:val="20"/>
                <w:color w:val="auto"/>
              </w:rPr>
            </w:pPr>
            <w:r>
              <w:rPr>
                <w:rFonts w:ascii="Courier New" w:cs="Courier New" w:eastAsia="Courier New" w:hAnsi="Courier New"/>
                <w:sz w:val="18"/>
                <w:szCs w:val="18"/>
                <w:color w:val="auto"/>
              </w:rPr>
              <w:t>1997</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1,875</w:t>
            </w:r>
          </w:p>
        </w:tc>
      </w:tr>
      <w:tr>
        <w:trPr>
          <w:trHeight w:val="203"/>
        </w:trPr>
        <w:tc>
          <w:tcPr>
            <w:tcW w:w="1840" w:type="dxa"/>
            <w:vAlign w:val="bottom"/>
          </w:tcPr>
          <w:p>
            <w:pPr>
              <w:spacing w:after="0" w:line="203" w:lineRule="exact"/>
              <w:rPr>
                <w:sz w:val="20"/>
                <w:szCs w:val="20"/>
                <w:color w:val="auto"/>
              </w:rPr>
            </w:pPr>
            <w:r>
              <w:rPr>
                <w:rFonts w:ascii="Courier New" w:cs="Courier New" w:eastAsia="Courier New" w:hAnsi="Courier New"/>
                <w:sz w:val="18"/>
                <w:szCs w:val="18"/>
                <w:color w:val="auto"/>
              </w:rPr>
              <w:t>1998</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840" w:type="dxa"/>
            <w:vAlign w:val="bottom"/>
          </w:tcPr>
          <w:p>
            <w:pPr>
              <w:spacing w:after="0" w:line="203" w:lineRule="exact"/>
              <w:rPr>
                <w:sz w:val="20"/>
                <w:szCs w:val="20"/>
                <w:color w:val="auto"/>
              </w:rPr>
            </w:pPr>
            <w:r>
              <w:rPr>
                <w:rFonts w:ascii="Courier New" w:cs="Courier New" w:eastAsia="Courier New" w:hAnsi="Courier New"/>
                <w:sz w:val="18"/>
                <w:szCs w:val="18"/>
                <w:color w:val="auto"/>
              </w:rPr>
              <w:t>1999</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840" w:type="dxa"/>
            <w:vAlign w:val="bottom"/>
          </w:tcPr>
          <w:p>
            <w:pPr>
              <w:spacing w:after="0" w:line="203" w:lineRule="exact"/>
              <w:rPr>
                <w:sz w:val="20"/>
                <w:szCs w:val="20"/>
                <w:color w:val="auto"/>
              </w:rPr>
            </w:pPr>
            <w:r>
              <w:rPr>
                <w:rFonts w:ascii="Courier New" w:cs="Courier New" w:eastAsia="Courier New" w:hAnsi="Courier New"/>
                <w:sz w:val="18"/>
                <w:szCs w:val="18"/>
                <w:color w:val="auto"/>
              </w:rPr>
              <w:t>2000</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187,000</w:t>
            </w:r>
          </w:p>
        </w:tc>
      </w:tr>
      <w:tr>
        <w:trPr>
          <w:trHeight w:val="203"/>
        </w:trPr>
        <w:tc>
          <w:tcPr>
            <w:tcW w:w="1840" w:type="dxa"/>
            <w:vAlign w:val="bottom"/>
          </w:tcPr>
          <w:p>
            <w:pPr>
              <w:spacing w:after="0" w:line="203" w:lineRule="exact"/>
              <w:rPr>
                <w:sz w:val="20"/>
                <w:szCs w:val="20"/>
                <w:color w:val="auto"/>
              </w:rPr>
            </w:pPr>
            <w:r>
              <w:rPr>
                <w:rFonts w:ascii="Courier New" w:cs="Courier New" w:eastAsia="Courier New" w:hAnsi="Courier New"/>
                <w:sz w:val="18"/>
                <w:szCs w:val="18"/>
                <w:color w:val="auto"/>
              </w:rPr>
              <w:t>2001</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96"/>
        </w:trPr>
        <w:tc>
          <w:tcPr>
            <w:tcW w:w="1840" w:type="dxa"/>
            <w:vAlign w:val="bottom"/>
          </w:tcPr>
          <w:p>
            <w:pPr>
              <w:spacing w:after="0"/>
              <w:rPr>
                <w:sz w:val="20"/>
                <w:szCs w:val="20"/>
                <w:color w:val="auto"/>
              </w:rPr>
            </w:pPr>
            <w:r>
              <w:rPr>
                <w:rFonts w:ascii="Courier New" w:cs="Courier New" w:eastAsia="Courier New" w:hAnsi="Courier New"/>
                <w:sz w:val="18"/>
                <w:szCs w:val="18"/>
                <w:color w:val="auto"/>
              </w:rPr>
              <w:t>Thereafter</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100,000</w:t>
            </w:r>
          </w:p>
        </w:tc>
      </w:tr>
    </w:tbl>
    <w:p>
      <w:pPr>
        <w:spacing w:after="0" w:line="109" w:lineRule="exact"/>
        <w:rPr>
          <w:sz w:val="20"/>
          <w:szCs w:val="20"/>
          <w:color w:val="auto"/>
        </w:rPr>
      </w:pPr>
    </w:p>
    <w:p>
      <w:pPr>
        <w:jc w:val="both"/>
        <w:ind w:left="640" w:right="1779"/>
        <w:spacing w:after="0" w:line="260" w:lineRule="auto"/>
        <w:rPr>
          <w:sz w:val="20"/>
          <w:szCs w:val="20"/>
          <w:color w:val="auto"/>
        </w:rPr>
      </w:pPr>
      <w:r>
        <w:rPr>
          <w:rFonts w:ascii="Courier New" w:cs="Courier New" w:eastAsia="Courier New" w:hAnsi="Courier New"/>
          <w:sz w:val="18"/>
          <w:szCs w:val="18"/>
          <w:color w:val="auto"/>
        </w:rPr>
        <w:t>On December 23, 1996, the Company entered into an amendment to the Fourth Amended and Restated Credit Agreement with Chase Manhattan Bank and various participating banks. The amendment provides, on an unsecured basis, up to $425 million to the Company, which represents an increase of $50 million to the revolving credit facility, and establishes a $100 million sub-tranche to be available in U. K. Pounds Sterling.</w:t>
      </w:r>
    </w:p>
    <w:p>
      <w:pPr>
        <w:spacing w:after="0" w:line="93" w:lineRule="exact"/>
        <w:rPr>
          <w:sz w:val="20"/>
          <w:szCs w:val="20"/>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FOREIGN EXCHANGE INSTRUMENTS</w:t>
      </w:r>
    </w:p>
    <w:p>
      <w:pPr>
        <w:spacing w:after="0" w:line="201" w:lineRule="exact"/>
        <w:rPr>
          <w:rFonts w:ascii="Courier New" w:cs="Courier New" w:eastAsia="Courier New" w:hAnsi="Courier New"/>
          <w:sz w:val="18"/>
          <w:szCs w:val="18"/>
          <w:color w:val="auto"/>
        </w:rPr>
      </w:pPr>
    </w:p>
    <w:p>
      <w:pPr>
        <w:jc w:val="both"/>
        <w:ind w:left="640" w:right="1779"/>
        <w:spacing w:after="0" w:line="25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enters into forward foreign exchange contracts and purchases currency options to hedge its exposure to fluctuations in foreign currency exchange rates. These contracts generally involve the exchange of one currency for a second currency at some future date. Counterparties to these contracts are major financial institutions. Gains and losses on these contracts generally offset gains and losses on the assets, liabilities and transactions being hedged.</w:t>
      </w:r>
    </w:p>
    <w:p>
      <w:pPr>
        <w:spacing w:after="0" w:line="98" w:lineRule="exact"/>
        <w:rPr>
          <w:rFonts w:ascii="Courier New" w:cs="Courier New" w:eastAsia="Courier New" w:hAnsi="Courier New"/>
          <w:sz w:val="18"/>
          <w:szCs w:val="18"/>
          <w:color w:val="auto"/>
        </w:rPr>
      </w:pPr>
    </w:p>
    <w:p>
      <w:pPr>
        <w:jc w:val="both"/>
        <w:ind w:left="640" w:right="1779"/>
        <w:spacing w:after="0" w:line="26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Realized and unrealized foreign exchange gains and losses are recognized and offset foreign exchange gains or losses on the underlying exposures. Unrealized gains and losses that are designated and effective as hedges on such transactions are deferred and recognized in income in the same period as the hedged transactions.</w:t>
      </w:r>
    </w:p>
    <w:p>
      <w:pPr>
        <w:spacing w:after="0" w:line="89" w:lineRule="exact"/>
        <w:rPr>
          <w:rFonts w:ascii="Courier New" w:cs="Courier New" w:eastAsia="Courier New" w:hAnsi="Courier New"/>
          <w:sz w:val="18"/>
          <w:szCs w:val="18"/>
          <w:color w:val="auto"/>
        </w:rPr>
      </w:pPr>
    </w:p>
    <w:p>
      <w:pPr>
        <w:jc w:val="both"/>
        <w:ind w:left="640" w:right="1779"/>
        <w:spacing w:after="0" w:line="25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At December 28, 1996, the Company's European operations had foreign exchange risk in various European currencies tied to the Dutch Guilder. These currencies are the Belgian Franc, German Mark, Spanish Peseta, Italian Lira, French Franc, British Pound and the Australian Dollar and U. S. Dollar. The Company's U. S. operations had foreign exchange rate risk in the Canadian Dollar, the Dutch Guilder and the British Pound which are tied to the U. S. Dollar. As of December 28, 1996, the Company had outstanding forward foreign exchange contracts with a contract value of approximately $18.3 million. These contracts have maturity dates ranging from January 28, 1997 to June 24, 1997.</w:t>
      </w:r>
    </w:p>
    <w:p>
      <w:pPr>
        <w:spacing w:after="0" w:line="3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7</w:t>
      </w:r>
    </w:p>
    <w:p>
      <w:pPr>
        <w:sectPr>
          <w:pgSz w:w="11900" w:h="16838" w:orient="portrait"/>
          <w:cols w:equalWidth="0" w:num="1">
            <w:col w:w="10219"/>
          </w:cols>
          <w:pgMar w:left="240" w:top="1096" w:right="1440" w:bottom="793" w:gutter="0" w:footer="0" w:header="0"/>
        </w:sectPr>
      </w:pPr>
    </w:p>
    <w:bookmarkStart w:id="7" w:name="page8"/>
    <w:bookmarkEnd w:id="7"/>
    <w:p>
      <w:pPr>
        <w:ind w:left="2440"/>
        <w:spacing w:after="0"/>
        <w:rPr>
          <w:sz w:val="20"/>
          <w:szCs w:val="20"/>
          <w:color w:val="auto"/>
        </w:rPr>
      </w:pPr>
      <w:r>
        <w:rPr>
          <w:rFonts w:ascii="Courier New" w:cs="Courier New" w:eastAsia="Courier New" w:hAnsi="Courier New"/>
          <w:sz w:val="18"/>
          <w:szCs w:val="18"/>
          <w:color w:val="auto"/>
        </w:rPr>
        <w:t>THE SCOTTS COMPANY AND SUBSIDIARIES</w:t>
      </w:r>
    </w:p>
    <w:p>
      <w:pPr>
        <w:spacing w:after="0" w:line="3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Notes to Consolidated Financial Statements</w:t>
      </w:r>
    </w:p>
    <w:p>
      <w:pPr>
        <w:spacing w:after="0" w:line="372" w:lineRule="exact"/>
        <w:rPr>
          <w:sz w:val="20"/>
          <w:szCs w:val="20"/>
          <w:color w:val="auto"/>
        </w:rPr>
      </w:pP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ACCOUNTING ISSUES</w:t>
      </w:r>
    </w:p>
    <w:p>
      <w:pPr>
        <w:spacing w:after="0" w:line="201" w:lineRule="exact"/>
        <w:rPr>
          <w:rFonts w:ascii="Courier New" w:cs="Courier New" w:eastAsia="Courier New" w:hAnsi="Courier New"/>
          <w:sz w:val="18"/>
          <w:szCs w:val="18"/>
          <w:color w:val="auto"/>
        </w:rPr>
      </w:pPr>
    </w:p>
    <w:p>
      <w:pPr>
        <w:jc w:val="both"/>
        <w:ind w:left="640" w:right="1779"/>
        <w:spacing w:after="0" w:line="24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October 1995, the Financial Accounting Standards Board issued SFAS No. 123, "Accounting for Stock-Based Compensation," effective for financial statements for fiscal years beginning after December 15, 1995. SFAS No. 123 provides for, but does not require, a fair value method of accounting for stock-based compensation arrangements rather than the intrinsic value method previously required. Alternatively, entities that retain the intrinsic value method are required to disclose in the notes to the financial statements pro forma net income and earnings per share information as if the fair value method had been applied. The Company does not intend to adopt the fair value method of SFAS No. 123; therefore, this standard will not have a material effect on the Company's consolidated financial statements.</w:t>
      </w:r>
    </w:p>
    <w:p>
      <w:pPr>
        <w:spacing w:after="0" w:line="105"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EXPENSES, NET</w:t>
      </w:r>
    </w:p>
    <w:p>
      <w:pPr>
        <w:spacing w:after="0" w:line="201"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Other expenses, net consisted of the following for the three months ended: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184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December 30</w:t>
            </w:r>
          </w:p>
        </w:tc>
        <w:tc>
          <w:tcPr>
            <w:tcW w:w="14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December 28</w:t>
            </w: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1995</w:t>
            </w:r>
          </w:p>
        </w:tc>
        <w:tc>
          <w:tcPr>
            <w:tcW w:w="4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1996</w:t>
            </w:r>
          </w:p>
        </w:tc>
        <w:tc>
          <w:tcPr>
            <w:tcW w:w="0" w:type="dxa"/>
            <w:vAlign w:val="bottom"/>
          </w:tcPr>
          <w:p>
            <w:pPr>
              <w:spacing w:after="0"/>
              <w:rPr>
                <w:sz w:val="1"/>
                <w:szCs w:val="1"/>
                <w:color w:val="auto"/>
              </w:rPr>
            </w:pPr>
          </w:p>
        </w:tc>
      </w:tr>
      <w:tr>
        <w:trPr>
          <w:trHeight w:val="296"/>
        </w:trPr>
        <w:tc>
          <w:tcPr>
            <w:tcW w:w="4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84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ind w:left="320"/>
              <w:spacing w:after="0"/>
              <w:rPr>
                <w:sz w:val="20"/>
                <w:szCs w:val="20"/>
                <w:color w:val="auto"/>
              </w:rPr>
            </w:pPr>
            <w:r>
              <w:rPr>
                <w:rFonts w:ascii="Courier New" w:cs="Courier New" w:eastAsia="Courier New" w:hAnsi="Courier New"/>
                <w:sz w:val="18"/>
                <w:szCs w:val="18"/>
                <w:color w:val="auto"/>
                <w:w w:val="95"/>
              </w:rPr>
              <w:t>-----------</w:t>
            </w:r>
          </w:p>
        </w:tc>
        <w:tc>
          <w:tcPr>
            <w:tcW w:w="0" w:type="dxa"/>
            <w:vAlign w:val="bottom"/>
          </w:tcPr>
          <w:p>
            <w:pPr>
              <w:spacing w:after="0"/>
              <w:rPr>
                <w:sz w:val="1"/>
                <w:szCs w:val="1"/>
                <w:color w:val="auto"/>
              </w:rPr>
            </w:pPr>
          </w:p>
        </w:tc>
      </w:tr>
      <w:tr>
        <w:trPr>
          <w:trHeight w:val="311"/>
        </w:trPr>
        <w:tc>
          <w:tcPr>
            <w:tcW w:w="420" w:type="dxa"/>
            <w:vAlign w:val="bottom"/>
          </w:tcPr>
          <w:p>
            <w:pPr>
              <w:spacing w:after="0"/>
              <w:rPr>
                <w:sz w:val="24"/>
                <w:szCs w:val="24"/>
                <w:color w:val="auto"/>
              </w:rPr>
            </w:pPr>
          </w:p>
        </w:tc>
        <w:tc>
          <w:tcPr>
            <w:tcW w:w="4380" w:type="dxa"/>
            <w:vAlign w:val="bottom"/>
          </w:tcPr>
          <w:p>
            <w:pPr>
              <w:ind w:left="1060"/>
              <w:spacing w:after="0"/>
              <w:rPr>
                <w:sz w:val="20"/>
                <w:szCs w:val="20"/>
                <w:color w:val="auto"/>
              </w:rPr>
            </w:pPr>
            <w:r>
              <w:rPr>
                <w:rFonts w:ascii="Courier New" w:cs="Courier New" w:eastAsia="Courier New" w:hAnsi="Courier New"/>
                <w:sz w:val="18"/>
                <w:szCs w:val="18"/>
                <w:color w:val="auto"/>
              </w:rPr>
              <w:t>Foreign currency loss</w:t>
            </w:r>
          </w:p>
        </w:tc>
        <w:tc>
          <w:tcPr>
            <w:tcW w:w="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180</w:t>
            </w:r>
          </w:p>
        </w:tc>
        <w:tc>
          <w:tcPr>
            <w:tcW w:w="420" w:type="dxa"/>
            <w:vAlign w:val="bottom"/>
          </w:tcPr>
          <w:p>
            <w:pPr>
              <w:ind w:left="320"/>
              <w:spacing w:after="0"/>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267</w:t>
            </w: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43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Royalty (income) expense</w:t>
            </w:r>
          </w:p>
        </w:tc>
        <w:tc>
          <w:tcPr>
            <w:tcW w:w="480" w:type="dxa"/>
            <w:vAlign w:val="bottom"/>
          </w:tcPr>
          <w:p>
            <w:pPr>
              <w:spacing w:after="0"/>
              <w:rPr>
                <w:sz w:val="17"/>
                <w:szCs w:val="17"/>
                <w:color w:val="auto"/>
              </w:rPr>
            </w:pP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(142)</w:t>
            </w:r>
          </w:p>
        </w:tc>
        <w:tc>
          <w:tcPr>
            <w:tcW w:w="4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w:t>
            </w: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43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Equity in income of</w:t>
            </w:r>
          </w:p>
        </w:tc>
        <w:tc>
          <w:tcPr>
            <w:tcW w:w="480" w:type="dxa"/>
            <w:vAlign w:val="bottom"/>
          </w:tcPr>
          <w:p>
            <w:pPr>
              <w:spacing w:after="0"/>
              <w:rPr>
                <w:sz w:val="17"/>
                <w:szCs w:val="17"/>
                <w:color w:val="auto"/>
              </w:rPr>
            </w:pPr>
          </w:p>
        </w:tc>
        <w:tc>
          <w:tcPr>
            <w:tcW w:w="1360" w:type="dxa"/>
            <w:vAlign w:val="bottom"/>
            <w:vMerge w:val="restart"/>
          </w:tcPr>
          <w:p>
            <w:pPr>
              <w:jc w:val="right"/>
              <w:ind w:right="532"/>
              <w:spacing w:after="0"/>
              <w:rPr>
                <w:sz w:val="20"/>
                <w:szCs w:val="20"/>
                <w:color w:val="auto"/>
              </w:rPr>
            </w:pPr>
            <w:r>
              <w:rPr>
                <w:rFonts w:ascii="Courier New" w:cs="Courier New" w:eastAsia="Courier New" w:hAnsi="Courier New"/>
                <w:sz w:val="18"/>
                <w:szCs w:val="18"/>
                <w:color w:val="auto"/>
              </w:rPr>
              <w:t>(191)</w:t>
            </w:r>
          </w:p>
        </w:tc>
        <w:tc>
          <w:tcPr>
            <w:tcW w:w="420" w:type="dxa"/>
            <w:vAlign w:val="bottom"/>
          </w:tcPr>
          <w:p>
            <w:pPr>
              <w:spacing w:after="0"/>
              <w:rPr>
                <w:sz w:val="17"/>
                <w:szCs w:val="17"/>
                <w:color w:val="auto"/>
              </w:rPr>
            </w:pPr>
          </w:p>
        </w:tc>
        <w:tc>
          <w:tcPr>
            <w:tcW w:w="10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(90)</w:t>
            </w: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438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unconsolidated businesses</w:t>
            </w:r>
          </w:p>
        </w:tc>
        <w:tc>
          <w:tcPr>
            <w:tcW w:w="48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43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Other</w:t>
            </w:r>
          </w:p>
        </w:tc>
        <w:tc>
          <w:tcPr>
            <w:tcW w:w="480" w:type="dxa"/>
            <w:vAlign w:val="bottom"/>
          </w:tcPr>
          <w:p>
            <w:pPr>
              <w:spacing w:after="0"/>
              <w:rPr>
                <w:sz w:val="17"/>
                <w:szCs w:val="17"/>
                <w:color w:val="auto"/>
              </w:rPr>
            </w:pPr>
          </w:p>
        </w:tc>
        <w:tc>
          <w:tcPr>
            <w:tcW w:w="13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346</w:t>
            </w:r>
          </w:p>
        </w:tc>
        <w:tc>
          <w:tcPr>
            <w:tcW w:w="4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67</w:t>
            </w:r>
          </w:p>
        </w:tc>
        <w:tc>
          <w:tcPr>
            <w:tcW w:w="0" w:type="dxa"/>
            <w:vAlign w:val="bottom"/>
          </w:tcPr>
          <w:p>
            <w:pPr>
              <w:spacing w:after="0"/>
              <w:rPr>
                <w:sz w:val="1"/>
                <w:szCs w:val="1"/>
                <w:color w:val="auto"/>
              </w:rPr>
            </w:pPr>
          </w:p>
        </w:tc>
      </w:tr>
      <w:tr>
        <w:trPr>
          <w:trHeight w:val="296"/>
        </w:trPr>
        <w:tc>
          <w:tcPr>
            <w:tcW w:w="4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60" w:type="dxa"/>
            <w:vAlign w:val="bottom"/>
          </w:tcPr>
          <w:p>
            <w:pPr>
              <w:jc w:val="right"/>
              <w:ind w:right="652"/>
              <w:spacing w:after="0"/>
              <w:rPr>
                <w:sz w:val="20"/>
                <w:szCs w:val="20"/>
                <w:color w:val="auto"/>
              </w:rPr>
            </w:pPr>
            <w:r>
              <w:rPr>
                <w:rFonts w:ascii="Courier New" w:cs="Courier New" w:eastAsia="Courier New" w:hAnsi="Courier New"/>
                <w:sz w:val="18"/>
                <w:szCs w:val="18"/>
                <w:color w:val="auto"/>
                <w:w w:val="92"/>
              </w:rPr>
              <w:t>------</w:t>
            </w:r>
          </w:p>
        </w:tc>
        <w:tc>
          <w:tcPr>
            <w:tcW w:w="42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5"/>
              </w:rPr>
              <w:t>-------</w:t>
            </w:r>
          </w:p>
        </w:tc>
        <w:tc>
          <w:tcPr>
            <w:tcW w:w="0" w:type="dxa"/>
            <w:vAlign w:val="bottom"/>
          </w:tcPr>
          <w:p>
            <w:pPr>
              <w:spacing w:after="0"/>
              <w:rPr>
                <w:sz w:val="1"/>
                <w:szCs w:val="1"/>
                <w:color w:val="auto"/>
              </w:rPr>
            </w:pPr>
          </w:p>
        </w:tc>
      </w:tr>
      <w:tr>
        <w:trPr>
          <w:trHeight w:val="311"/>
        </w:trPr>
        <w:tc>
          <w:tcPr>
            <w:tcW w:w="420" w:type="dxa"/>
            <w:vAlign w:val="bottom"/>
          </w:tcPr>
          <w:p>
            <w:pPr>
              <w:spacing w:after="0"/>
              <w:rPr>
                <w:sz w:val="24"/>
                <w:szCs w:val="24"/>
                <w:color w:val="auto"/>
              </w:rPr>
            </w:pPr>
          </w:p>
        </w:tc>
        <w:tc>
          <w:tcPr>
            <w:tcW w:w="4380" w:type="dxa"/>
            <w:vAlign w:val="bottom"/>
          </w:tcPr>
          <w:p>
            <w:pPr>
              <w:ind w:left="1060"/>
              <w:spacing w:after="0"/>
              <w:rPr>
                <w:sz w:val="20"/>
                <w:szCs w:val="20"/>
                <w:color w:val="auto"/>
              </w:rPr>
            </w:pPr>
            <w:r>
              <w:rPr>
                <w:rFonts w:ascii="Courier New" w:cs="Courier New" w:eastAsia="Courier New" w:hAnsi="Courier New"/>
                <w:sz w:val="18"/>
                <w:szCs w:val="18"/>
                <w:color w:val="auto"/>
              </w:rPr>
              <w:t>Total</w:t>
            </w:r>
          </w:p>
        </w:tc>
        <w:tc>
          <w:tcPr>
            <w:tcW w:w="480" w:type="dxa"/>
            <w:vAlign w:val="bottom"/>
          </w:tcPr>
          <w:p>
            <w:pPr>
              <w:ind w:left="360"/>
              <w:spacing w:after="0"/>
              <w:rPr>
                <w:sz w:val="20"/>
                <w:szCs w:val="20"/>
                <w:color w:val="auto"/>
              </w:rPr>
            </w:pPr>
            <w:r>
              <w:rPr>
                <w:rFonts w:ascii="Courier New" w:cs="Courier New" w:eastAsia="Courier New" w:hAnsi="Courier New"/>
                <w:sz w:val="18"/>
                <w:szCs w:val="18"/>
                <w:color w:val="auto"/>
                <w:w w:val="92"/>
              </w:rPr>
              <w:t>$</w:t>
            </w:r>
          </w:p>
        </w:tc>
        <w:tc>
          <w:tcPr>
            <w:tcW w:w="136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193</w:t>
            </w:r>
          </w:p>
        </w:tc>
        <w:tc>
          <w:tcPr>
            <w:tcW w:w="420" w:type="dxa"/>
            <w:vAlign w:val="bottom"/>
          </w:tcPr>
          <w:p>
            <w:pPr>
              <w:ind w:left="320"/>
              <w:spacing w:after="0"/>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267</w:t>
            </w:r>
          </w:p>
        </w:tc>
        <w:tc>
          <w:tcPr>
            <w:tcW w:w="0" w:type="dxa"/>
            <w:vAlign w:val="bottom"/>
          </w:tcPr>
          <w:p>
            <w:pPr>
              <w:spacing w:after="0"/>
              <w:rPr>
                <w:sz w:val="1"/>
                <w:szCs w:val="1"/>
                <w:color w:val="auto"/>
              </w:rPr>
            </w:pPr>
          </w:p>
        </w:tc>
      </w:tr>
      <w:tr>
        <w:trPr>
          <w:trHeight w:val="296"/>
        </w:trPr>
        <w:tc>
          <w:tcPr>
            <w:tcW w:w="4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6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4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7.</w:t>
            </w:r>
          </w:p>
        </w:tc>
        <w:tc>
          <w:tcPr>
            <w:tcW w:w="4380" w:type="dxa"/>
            <w:vAlign w:val="bottom"/>
          </w:tcPr>
          <w:p>
            <w:pPr>
              <w:ind w:left="220"/>
              <w:spacing w:after="0"/>
              <w:rPr>
                <w:sz w:val="20"/>
                <w:szCs w:val="20"/>
                <w:color w:val="auto"/>
              </w:rPr>
            </w:pPr>
            <w:r>
              <w:rPr>
                <w:rFonts w:ascii="Courier New" w:cs="Courier New" w:eastAsia="Courier New" w:hAnsi="Courier New"/>
                <w:sz w:val="18"/>
                <w:szCs w:val="18"/>
                <w:color w:val="auto"/>
              </w:rPr>
              <w:t>NET LOSS PER COMMON SHARE</w:t>
            </w:r>
          </w:p>
        </w:tc>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right="1779" w:firstLine="632"/>
        <w:spacing w:after="0" w:line="347" w:lineRule="auto"/>
        <w:rPr>
          <w:sz w:val="20"/>
          <w:szCs w:val="20"/>
          <w:color w:val="auto"/>
        </w:rPr>
      </w:pPr>
      <w:r>
        <w:rPr>
          <w:rFonts w:ascii="Courier New" w:cs="Courier New" w:eastAsia="Courier New" w:hAnsi="Courier New"/>
          <w:sz w:val="18"/>
          <w:szCs w:val="18"/>
          <w:color w:val="auto"/>
        </w:rPr>
        <w:t>Net loss per common share is based on the weighted average number of common shares outstanding each period.</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20" w:type="dxa"/>
            <w:vAlign w:val="bottom"/>
          </w:tcPr>
          <w:p>
            <w:pPr>
              <w:ind w:left="640"/>
              <w:spacing w:after="0"/>
              <w:rPr>
                <w:sz w:val="20"/>
                <w:szCs w:val="20"/>
                <w:color w:val="auto"/>
              </w:rPr>
            </w:pPr>
            <w:r>
              <w:rPr>
                <w:rFonts w:ascii="Courier New" w:cs="Courier New" w:eastAsia="Courier New" w:hAnsi="Courier New"/>
                <w:sz w:val="18"/>
                <w:szCs w:val="18"/>
                <w:color w:val="auto"/>
                <w:w w:val="98"/>
              </w:rPr>
              <w:t>The following table presents  information</w:t>
            </w:r>
          </w:p>
        </w:tc>
        <w:tc>
          <w:tcPr>
            <w:tcW w:w="3420" w:type="dxa"/>
            <w:vAlign w:val="bottom"/>
            <w:gridSpan w:val="4"/>
          </w:tcPr>
          <w:p>
            <w:pPr>
              <w:jc w:val="right"/>
              <w:spacing w:after="0"/>
              <w:rPr>
                <w:sz w:val="20"/>
                <w:szCs w:val="20"/>
                <w:color w:val="auto"/>
              </w:rPr>
            </w:pPr>
            <w:r>
              <w:rPr>
                <w:rFonts w:ascii="Courier New" w:cs="Courier New" w:eastAsia="Courier New" w:hAnsi="Courier New"/>
                <w:sz w:val="18"/>
                <w:szCs w:val="18"/>
                <w:color w:val="auto"/>
              </w:rPr>
              <w:t>necessary to calculate net loss</w:t>
            </w:r>
          </w:p>
        </w:tc>
        <w:tc>
          <w:tcPr>
            <w:tcW w:w="0" w:type="dxa"/>
            <w:vAlign w:val="bottom"/>
          </w:tcPr>
          <w:p>
            <w:pPr>
              <w:spacing w:after="0"/>
              <w:rPr>
                <w:sz w:val="1"/>
                <w:szCs w:val="1"/>
                <w:color w:val="auto"/>
              </w:rPr>
            </w:pPr>
          </w:p>
        </w:tc>
      </w:tr>
      <w:tr>
        <w:trPr>
          <w:trHeight w:val="296"/>
        </w:trPr>
        <w:tc>
          <w:tcPr>
            <w:tcW w:w="5020" w:type="dxa"/>
            <w:vAlign w:val="bottom"/>
          </w:tcPr>
          <w:p>
            <w:pPr>
              <w:spacing w:after="0"/>
              <w:rPr>
                <w:sz w:val="20"/>
                <w:szCs w:val="20"/>
                <w:color w:val="auto"/>
              </w:rPr>
            </w:pPr>
            <w:r>
              <w:rPr>
                <w:rFonts w:ascii="Courier New" w:cs="Courier New" w:eastAsia="Courier New" w:hAnsi="Courier New"/>
                <w:sz w:val="18"/>
                <w:szCs w:val="18"/>
                <w:color w:val="auto"/>
              </w:rPr>
              <w:t>per common share.</w:t>
            </w: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60" w:type="dxa"/>
            <w:vAlign w:val="bottom"/>
            <w:gridSpan w:val="3"/>
          </w:tcPr>
          <w:p>
            <w:pPr>
              <w:jc w:val="right"/>
              <w:ind w:right="652"/>
              <w:spacing w:after="0"/>
              <w:rPr>
                <w:sz w:val="20"/>
                <w:szCs w:val="20"/>
                <w:color w:val="auto"/>
              </w:rPr>
            </w:pPr>
            <w:r>
              <w:rPr>
                <w:rFonts w:ascii="Courier New" w:cs="Courier New" w:eastAsia="Courier New" w:hAnsi="Courier New"/>
                <w:sz w:val="18"/>
                <w:szCs w:val="18"/>
                <w:color w:val="auto"/>
              </w:rPr>
              <w:t>Three Months Ended</w:t>
            </w:r>
          </w:p>
        </w:tc>
        <w:tc>
          <w:tcPr>
            <w:tcW w:w="0" w:type="dxa"/>
            <w:vAlign w:val="bottom"/>
          </w:tcPr>
          <w:p>
            <w:pPr>
              <w:spacing w:after="0"/>
              <w:rPr>
                <w:sz w:val="1"/>
                <w:szCs w:val="1"/>
                <w:color w:val="auto"/>
              </w:rPr>
            </w:pPr>
          </w:p>
        </w:tc>
      </w:tr>
      <w:tr>
        <w:trPr>
          <w:trHeight w:val="203"/>
        </w:trPr>
        <w:tc>
          <w:tcPr>
            <w:tcW w:w="5020" w:type="dxa"/>
            <w:vAlign w:val="bottom"/>
            <w:vMerge w:val="restart"/>
          </w:tcPr>
          <w:p>
            <w:pPr>
              <w:ind w:left="1480"/>
              <w:spacing w:after="0"/>
              <w:rPr>
                <w:sz w:val="20"/>
                <w:szCs w:val="20"/>
                <w:color w:val="auto"/>
              </w:rPr>
            </w:pPr>
            <w:r>
              <w:rPr>
                <w:rFonts w:ascii="Courier New" w:cs="Courier New" w:eastAsia="Courier New" w:hAnsi="Courier New"/>
                <w:sz w:val="18"/>
                <w:szCs w:val="18"/>
                <w:color w:val="auto"/>
              </w:rPr>
              <w:t>(in thousands)</w:t>
            </w:r>
          </w:p>
        </w:tc>
        <w:tc>
          <w:tcPr>
            <w:tcW w:w="3420" w:type="dxa"/>
            <w:vAlign w:val="bottom"/>
            <w:gridSpan w:val="4"/>
          </w:tcPr>
          <w:p>
            <w:pPr>
              <w:ind w:left="26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5020" w:type="dxa"/>
            <w:vAlign w:val="bottom"/>
            <w:vMerge w:val="continue"/>
          </w:tcPr>
          <w:p>
            <w:pPr>
              <w:spacing w:after="0"/>
              <w:rPr>
                <w:sz w:val="17"/>
                <w:szCs w:val="17"/>
                <w:color w:val="auto"/>
              </w:rPr>
            </w:pPr>
          </w:p>
        </w:tc>
        <w:tc>
          <w:tcPr>
            <w:tcW w:w="1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December 30</w:t>
            </w:r>
          </w:p>
        </w:tc>
        <w:tc>
          <w:tcPr>
            <w:tcW w:w="58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December 28</w:t>
            </w:r>
          </w:p>
        </w:tc>
        <w:tc>
          <w:tcPr>
            <w:tcW w:w="0" w:type="dxa"/>
            <w:vAlign w:val="bottom"/>
          </w:tcPr>
          <w:p>
            <w:pPr>
              <w:spacing w:after="0"/>
              <w:rPr>
                <w:sz w:val="1"/>
                <w:szCs w:val="1"/>
                <w:color w:val="auto"/>
              </w:rPr>
            </w:pPr>
          </w:p>
        </w:tc>
      </w:tr>
      <w:tr>
        <w:trPr>
          <w:trHeight w:val="203"/>
        </w:trPr>
        <w:tc>
          <w:tcPr>
            <w:tcW w:w="5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1995</w:t>
            </w:r>
          </w:p>
        </w:tc>
        <w:tc>
          <w:tcPr>
            <w:tcW w:w="58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1996</w:t>
            </w:r>
          </w:p>
        </w:tc>
        <w:tc>
          <w:tcPr>
            <w:tcW w:w="0" w:type="dxa"/>
            <w:vAlign w:val="bottom"/>
          </w:tcPr>
          <w:p>
            <w:pPr>
              <w:spacing w:after="0"/>
              <w:rPr>
                <w:sz w:val="1"/>
                <w:szCs w:val="1"/>
                <w:color w:val="auto"/>
              </w:rPr>
            </w:pPr>
          </w:p>
        </w:tc>
      </w:tr>
      <w:tr>
        <w:trPr>
          <w:trHeight w:val="296"/>
        </w:trPr>
        <w:tc>
          <w:tcPr>
            <w:tcW w:w="5020" w:type="dxa"/>
            <w:vAlign w:val="bottom"/>
          </w:tcPr>
          <w:p>
            <w:pPr>
              <w:spacing w:after="0"/>
              <w:rPr>
                <w:sz w:val="24"/>
                <w:szCs w:val="24"/>
                <w:color w:val="auto"/>
              </w:rPr>
            </w:pPr>
          </w:p>
        </w:tc>
        <w:tc>
          <w:tcPr>
            <w:tcW w:w="16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5"/>
              </w:rPr>
              <w:t>-----------</w:t>
            </w:r>
          </w:p>
        </w:tc>
        <w:tc>
          <w:tcPr>
            <w:tcW w:w="0" w:type="dxa"/>
            <w:vAlign w:val="bottom"/>
          </w:tcPr>
          <w:p>
            <w:pPr>
              <w:spacing w:after="0"/>
              <w:rPr>
                <w:sz w:val="1"/>
                <w:szCs w:val="1"/>
                <w:color w:val="auto"/>
              </w:rPr>
            </w:pPr>
          </w:p>
        </w:tc>
      </w:tr>
      <w:tr>
        <w:trPr>
          <w:trHeight w:val="311"/>
        </w:trPr>
        <w:tc>
          <w:tcPr>
            <w:tcW w:w="5020" w:type="dxa"/>
            <w:vAlign w:val="bottom"/>
          </w:tcPr>
          <w:p>
            <w:pPr>
              <w:ind w:left="1480"/>
              <w:spacing w:after="0"/>
              <w:rPr>
                <w:sz w:val="20"/>
                <w:szCs w:val="20"/>
                <w:color w:val="auto"/>
              </w:rPr>
            </w:pPr>
            <w:r>
              <w:rPr>
                <w:rFonts w:ascii="Courier New" w:cs="Courier New" w:eastAsia="Courier New" w:hAnsi="Courier New"/>
                <w:sz w:val="18"/>
                <w:szCs w:val="18"/>
                <w:color w:val="auto"/>
              </w:rPr>
              <w:t>Net loss</w:t>
            </w:r>
          </w:p>
        </w:tc>
        <w:tc>
          <w:tcPr>
            <w:tcW w:w="360" w:type="dxa"/>
            <w:vAlign w:val="bottom"/>
          </w:tcPr>
          <w:p>
            <w:pPr>
              <w:ind w:left="260"/>
              <w:spacing w:after="0"/>
              <w:rPr>
                <w:sz w:val="20"/>
                <w:szCs w:val="20"/>
                <w:color w:val="auto"/>
              </w:rPr>
            </w:pPr>
            <w:r>
              <w:rPr>
                <w:rFonts w:ascii="Courier New" w:cs="Courier New" w:eastAsia="Courier New" w:hAnsi="Courier New"/>
                <w:sz w:val="18"/>
                <w:szCs w:val="18"/>
                <w:color w:val="auto"/>
                <w:w w:val="73"/>
              </w:rPr>
              <w:t>$</w:t>
            </w: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(7,174)</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(4,093)</w:t>
            </w:r>
          </w:p>
        </w:tc>
        <w:tc>
          <w:tcPr>
            <w:tcW w:w="0" w:type="dxa"/>
            <w:vAlign w:val="bottom"/>
          </w:tcPr>
          <w:p>
            <w:pPr>
              <w:spacing w:after="0"/>
              <w:rPr>
                <w:sz w:val="1"/>
                <w:szCs w:val="1"/>
                <w:color w:val="auto"/>
              </w:rPr>
            </w:pPr>
          </w:p>
        </w:tc>
      </w:tr>
      <w:tr>
        <w:trPr>
          <w:trHeight w:val="203"/>
        </w:trPr>
        <w:tc>
          <w:tcPr>
            <w:tcW w:w="502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Preferred Stock dividends</w:t>
            </w:r>
          </w:p>
        </w:tc>
        <w:tc>
          <w:tcPr>
            <w:tcW w:w="3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(2,436)</w:t>
            </w:r>
          </w:p>
        </w:tc>
        <w:tc>
          <w:tcPr>
            <w:tcW w:w="58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(2,437)</w:t>
            </w:r>
          </w:p>
        </w:tc>
        <w:tc>
          <w:tcPr>
            <w:tcW w:w="0" w:type="dxa"/>
            <w:vAlign w:val="bottom"/>
          </w:tcPr>
          <w:p>
            <w:pPr>
              <w:spacing w:after="0"/>
              <w:rPr>
                <w:sz w:val="1"/>
                <w:szCs w:val="1"/>
                <w:color w:val="auto"/>
              </w:rPr>
            </w:pPr>
          </w:p>
        </w:tc>
      </w:tr>
      <w:tr>
        <w:trPr>
          <w:trHeight w:val="296"/>
        </w:trPr>
        <w:tc>
          <w:tcPr>
            <w:tcW w:w="5020" w:type="dxa"/>
            <w:vAlign w:val="bottom"/>
            <w:vMerge w:val="restart"/>
          </w:tcPr>
          <w:p>
            <w:pPr>
              <w:ind w:left="1480"/>
              <w:spacing w:after="0"/>
              <w:rPr>
                <w:sz w:val="20"/>
                <w:szCs w:val="20"/>
                <w:color w:val="auto"/>
              </w:rPr>
            </w:pPr>
            <w:r>
              <w:rPr>
                <w:rFonts w:ascii="Courier New" w:cs="Courier New" w:eastAsia="Courier New" w:hAnsi="Courier New"/>
                <w:sz w:val="18"/>
                <w:szCs w:val="18"/>
                <w:color w:val="auto"/>
              </w:rPr>
              <w:t>Loss applicable to common</w:t>
            </w:r>
          </w:p>
        </w:tc>
        <w:tc>
          <w:tcPr>
            <w:tcW w:w="360" w:type="dxa"/>
            <w:vAlign w:val="bottom"/>
          </w:tcPr>
          <w:p>
            <w:pPr>
              <w:spacing w:after="0"/>
              <w:rPr>
                <w:sz w:val="24"/>
                <w:szCs w:val="24"/>
                <w:color w:val="auto"/>
              </w:rPr>
            </w:pPr>
          </w:p>
        </w:tc>
        <w:tc>
          <w:tcPr>
            <w:tcW w:w="13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24"/>
                <w:szCs w:val="24"/>
                <w:color w:val="auto"/>
              </w:rPr>
            </w:pP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5020" w:type="dxa"/>
            <w:vAlign w:val="bottom"/>
            <w:vMerge w:val="continue"/>
          </w:tcPr>
          <w:p>
            <w:pPr>
              <w:spacing w:after="0"/>
              <w:rPr>
                <w:sz w:val="9"/>
                <w:szCs w:val="9"/>
                <w:color w:val="auto"/>
              </w:rPr>
            </w:pPr>
          </w:p>
        </w:tc>
        <w:tc>
          <w:tcPr>
            <w:tcW w:w="360" w:type="dxa"/>
            <w:vAlign w:val="bottom"/>
            <w:vMerge w:val="restart"/>
          </w:tcPr>
          <w:p>
            <w:pPr>
              <w:ind w:left="260"/>
              <w:spacing w:after="0"/>
              <w:rPr>
                <w:sz w:val="20"/>
                <w:szCs w:val="20"/>
                <w:color w:val="auto"/>
              </w:rPr>
            </w:pPr>
            <w:r>
              <w:rPr>
                <w:rFonts w:ascii="Courier New" w:cs="Courier New" w:eastAsia="Courier New" w:hAnsi="Courier New"/>
                <w:sz w:val="18"/>
                <w:szCs w:val="18"/>
                <w:color w:val="auto"/>
                <w:w w:val="73"/>
              </w:rPr>
              <w:t>$</w:t>
            </w:r>
          </w:p>
        </w:tc>
        <w:tc>
          <w:tcPr>
            <w:tcW w:w="13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(9,610)</w:t>
            </w:r>
          </w:p>
        </w:tc>
        <w:tc>
          <w:tcPr>
            <w:tcW w:w="5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(6,530)</w:t>
            </w:r>
          </w:p>
        </w:tc>
        <w:tc>
          <w:tcPr>
            <w:tcW w:w="0" w:type="dxa"/>
            <w:vAlign w:val="bottom"/>
          </w:tcPr>
          <w:p>
            <w:pPr>
              <w:spacing w:after="0"/>
              <w:rPr>
                <w:sz w:val="1"/>
                <w:szCs w:val="1"/>
                <w:color w:val="auto"/>
              </w:rPr>
            </w:pPr>
          </w:p>
        </w:tc>
      </w:tr>
      <w:tr>
        <w:trPr>
          <w:trHeight w:val="203"/>
        </w:trPr>
        <w:tc>
          <w:tcPr>
            <w:tcW w:w="5020" w:type="dxa"/>
            <w:vAlign w:val="bottom"/>
          </w:tcPr>
          <w:p>
            <w:pPr>
              <w:ind w:left="1900"/>
              <w:spacing w:after="0" w:line="203" w:lineRule="exact"/>
              <w:rPr>
                <w:sz w:val="20"/>
                <w:szCs w:val="20"/>
                <w:color w:val="auto"/>
              </w:rPr>
            </w:pPr>
            <w:r>
              <w:rPr>
                <w:rFonts w:ascii="Courier New" w:cs="Courier New" w:eastAsia="Courier New" w:hAnsi="Courier New"/>
                <w:sz w:val="18"/>
                <w:szCs w:val="18"/>
                <w:color w:val="auto"/>
              </w:rPr>
              <w:t>shareholders</w:t>
            </w:r>
          </w:p>
        </w:tc>
        <w:tc>
          <w:tcPr>
            <w:tcW w:w="36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5020" w:type="dxa"/>
            <w:vAlign w:val="bottom"/>
            <w:vMerge w:val="restart"/>
          </w:tcPr>
          <w:p>
            <w:pPr>
              <w:ind w:left="1480"/>
              <w:spacing w:after="0"/>
              <w:rPr>
                <w:sz w:val="20"/>
                <w:szCs w:val="20"/>
                <w:color w:val="auto"/>
              </w:rPr>
            </w:pPr>
            <w:r>
              <w:rPr>
                <w:rFonts w:ascii="Courier New" w:cs="Courier New" w:eastAsia="Courier New" w:hAnsi="Courier New"/>
                <w:sz w:val="18"/>
                <w:szCs w:val="18"/>
                <w:color w:val="auto"/>
              </w:rPr>
              <w:t>Common shares outstanding:</w:t>
            </w:r>
          </w:p>
        </w:tc>
        <w:tc>
          <w:tcPr>
            <w:tcW w:w="360" w:type="dxa"/>
            <w:vAlign w:val="bottom"/>
          </w:tcPr>
          <w:p>
            <w:pPr>
              <w:spacing w:after="0"/>
              <w:rPr>
                <w:sz w:val="24"/>
                <w:szCs w:val="24"/>
                <w:color w:val="auto"/>
              </w:rPr>
            </w:pPr>
          </w:p>
        </w:tc>
        <w:tc>
          <w:tcPr>
            <w:tcW w:w="13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24"/>
                <w:szCs w:val="24"/>
                <w:color w:val="auto"/>
              </w:rPr>
            </w:pP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502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502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Common shares used in net loss</w:t>
            </w:r>
          </w:p>
        </w:tc>
        <w:tc>
          <w:tcPr>
            <w:tcW w:w="360" w:type="dxa"/>
            <w:vAlign w:val="bottom"/>
          </w:tcPr>
          <w:p>
            <w:pPr>
              <w:spacing w:after="0"/>
              <w:rPr>
                <w:sz w:val="17"/>
                <w:szCs w:val="17"/>
                <w:color w:val="auto"/>
              </w:rPr>
            </w:pPr>
          </w:p>
        </w:tc>
        <w:tc>
          <w:tcPr>
            <w:tcW w:w="132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18,689</w:t>
            </w:r>
          </w:p>
        </w:tc>
        <w:tc>
          <w:tcPr>
            <w:tcW w:w="580" w:type="dxa"/>
            <w:vAlign w:val="bottom"/>
          </w:tcPr>
          <w:p>
            <w:pPr>
              <w:spacing w:after="0"/>
              <w:rPr>
                <w:sz w:val="17"/>
                <w:szCs w:val="17"/>
                <w:color w:val="auto"/>
              </w:rPr>
            </w:pPr>
          </w:p>
        </w:tc>
        <w:tc>
          <w:tcPr>
            <w:tcW w:w="11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18,575</w:t>
            </w:r>
          </w:p>
        </w:tc>
        <w:tc>
          <w:tcPr>
            <w:tcW w:w="0" w:type="dxa"/>
            <w:vAlign w:val="bottom"/>
          </w:tcPr>
          <w:p>
            <w:pPr>
              <w:spacing w:after="0"/>
              <w:rPr>
                <w:sz w:val="1"/>
                <w:szCs w:val="1"/>
                <w:color w:val="auto"/>
              </w:rPr>
            </w:pPr>
          </w:p>
        </w:tc>
      </w:tr>
      <w:tr>
        <w:trPr>
          <w:trHeight w:val="203"/>
        </w:trPr>
        <w:tc>
          <w:tcPr>
            <w:tcW w:w="5020" w:type="dxa"/>
            <w:vAlign w:val="bottom"/>
          </w:tcPr>
          <w:p>
            <w:pPr>
              <w:ind w:left="1900"/>
              <w:spacing w:after="0" w:line="203" w:lineRule="exact"/>
              <w:rPr>
                <w:sz w:val="20"/>
                <w:szCs w:val="20"/>
                <w:color w:val="auto"/>
              </w:rPr>
            </w:pPr>
            <w:r>
              <w:rPr>
                <w:rFonts w:ascii="Courier New" w:cs="Courier New" w:eastAsia="Courier New" w:hAnsi="Courier New"/>
                <w:sz w:val="18"/>
                <w:szCs w:val="18"/>
                <w:color w:val="auto"/>
              </w:rPr>
              <w:t>per share computation</w:t>
            </w:r>
          </w:p>
        </w:tc>
        <w:tc>
          <w:tcPr>
            <w:tcW w:w="36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5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24"/>
                <w:szCs w:val="24"/>
                <w:color w:val="auto"/>
              </w:rPr>
            </w:pP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020" w:type="dxa"/>
            <w:vAlign w:val="bottom"/>
          </w:tcPr>
          <w:p>
            <w:pPr>
              <w:ind w:left="1480"/>
              <w:spacing w:after="0"/>
              <w:rPr>
                <w:sz w:val="20"/>
                <w:szCs w:val="20"/>
                <w:color w:val="auto"/>
              </w:rPr>
            </w:pPr>
            <w:r>
              <w:rPr>
                <w:rFonts w:ascii="Courier New" w:cs="Courier New" w:eastAsia="Courier New" w:hAnsi="Courier New"/>
                <w:sz w:val="18"/>
                <w:szCs w:val="18"/>
                <w:color w:val="auto"/>
              </w:rPr>
              <w:t>Net loss per common share</w:t>
            </w:r>
          </w:p>
        </w:tc>
        <w:tc>
          <w:tcPr>
            <w:tcW w:w="360" w:type="dxa"/>
            <w:vAlign w:val="bottom"/>
          </w:tcPr>
          <w:p>
            <w:pPr>
              <w:ind w:left="40"/>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(.51)</w:t>
            </w:r>
          </w:p>
        </w:tc>
        <w:tc>
          <w:tcPr>
            <w:tcW w:w="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(.35)</w:t>
            </w:r>
          </w:p>
        </w:tc>
        <w:tc>
          <w:tcPr>
            <w:tcW w:w="0" w:type="dxa"/>
            <w:vAlign w:val="bottom"/>
          </w:tcPr>
          <w:p>
            <w:pPr>
              <w:spacing w:after="0"/>
              <w:rPr>
                <w:sz w:val="1"/>
                <w:szCs w:val="1"/>
                <w:color w:val="auto"/>
              </w:rPr>
            </w:pPr>
          </w:p>
        </w:tc>
      </w:tr>
      <w:tr>
        <w:trPr>
          <w:trHeight w:val="296"/>
        </w:trPr>
        <w:tc>
          <w:tcPr>
            <w:tcW w:w="5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94"/>
              </w:rPr>
              <w:t>=========</w:t>
            </w:r>
          </w:p>
        </w:tc>
        <w:tc>
          <w:tcPr>
            <w:tcW w:w="580" w:type="dxa"/>
            <w:vAlign w:val="bottom"/>
          </w:tcPr>
          <w:p>
            <w:pPr>
              <w:spacing w:after="0"/>
              <w:rPr>
                <w:sz w:val="24"/>
                <w:szCs w:val="24"/>
                <w:color w:val="auto"/>
              </w:rPr>
            </w:pP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4"/>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jc w:val="both"/>
        <w:ind w:left="640" w:right="1779"/>
        <w:spacing w:after="0" w:line="292" w:lineRule="auto"/>
        <w:rPr>
          <w:sz w:val="20"/>
          <w:szCs w:val="20"/>
          <w:color w:val="auto"/>
        </w:rPr>
      </w:pPr>
      <w:r>
        <w:rPr>
          <w:rFonts w:ascii="Courier New" w:cs="Courier New" w:eastAsia="Courier New" w:hAnsi="Courier New"/>
          <w:sz w:val="18"/>
          <w:szCs w:val="18"/>
          <w:color w:val="auto"/>
        </w:rPr>
        <w:t>Fully diluted net loss per common share is considered to be the same as primary net loss per common share as it was not materially different from primary net loss per common share.</w:t>
      </w:r>
    </w:p>
    <w:p>
      <w:pPr>
        <w:spacing w:after="0" w:line="26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8</w:t>
      </w:r>
    </w:p>
    <w:p>
      <w:pPr>
        <w:sectPr>
          <w:pgSz w:w="11900" w:h="16838" w:orient="portrait"/>
          <w:cols w:equalWidth="0" w:num="1">
            <w:col w:w="10219"/>
          </w:cols>
          <w:pgMar w:left="240" w:top="691" w:right="1440" w:bottom="1440" w:gutter="0" w:footer="0" w:header="0"/>
        </w:sectPr>
      </w:pPr>
    </w:p>
    <w:bookmarkStart w:id="8" w:name="page9"/>
    <w:bookmarkEnd w:id="8"/>
    <w:p>
      <w:pPr>
        <w:ind w:left="2432"/>
        <w:spacing w:after="0"/>
        <w:rPr>
          <w:sz w:val="20"/>
          <w:szCs w:val="20"/>
          <w:color w:val="auto"/>
        </w:rPr>
      </w:pPr>
      <w:r>
        <w:rPr>
          <w:rFonts w:ascii="Courier New" w:cs="Courier New" w:eastAsia="Courier New" w:hAnsi="Courier New"/>
          <w:sz w:val="18"/>
          <w:szCs w:val="18"/>
          <w:color w:val="auto"/>
        </w:rPr>
        <w:t>THE SCOTTS COMPANY AND SUBSIDIARIES</w:t>
      </w:r>
    </w:p>
    <w:p>
      <w:pPr>
        <w:spacing w:after="0" w:line="31" w:lineRule="exact"/>
        <w:rPr>
          <w:sz w:val="20"/>
          <w:szCs w:val="20"/>
          <w:color w:val="auto"/>
        </w:rPr>
      </w:pPr>
    </w:p>
    <w:p>
      <w:pPr>
        <w:ind w:left="1992"/>
        <w:spacing w:after="0"/>
        <w:rPr>
          <w:sz w:val="20"/>
          <w:szCs w:val="20"/>
          <w:color w:val="auto"/>
        </w:rPr>
      </w:pPr>
      <w:r>
        <w:rPr>
          <w:rFonts w:ascii="Courier New" w:cs="Courier New" w:eastAsia="Courier New" w:hAnsi="Courier New"/>
          <w:sz w:val="18"/>
          <w:szCs w:val="18"/>
          <w:color w:val="auto"/>
        </w:rPr>
        <w:t>Notes to Consolidated Financial Statements</w:t>
      </w:r>
    </w:p>
    <w:p>
      <w:pPr>
        <w:spacing w:after="0" w:line="372" w:lineRule="exact"/>
        <w:rPr>
          <w:sz w:val="20"/>
          <w:szCs w:val="20"/>
          <w:color w:val="auto"/>
        </w:rPr>
      </w:pPr>
    </w:p>
    <w:p>
      <w:pPr>
        <w:ind w:left="632" w:hanging="632"/>
        <w:spacing w:after="0"/>
        <w:tabs>
          <w:tab w:leader="none" w:pos="63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SUBSEQUENT EVENT</w:t>
      </w:r>
    </w:p>
    <w:p>
      <w:pPr>
        <w:spacing w:after="0" w:line="201" w:lineRule="exact"/>
        <w:rPr>
          <w:rFonts w:ascii="Courier New" w:cs="Courier New" w:eastAsia="Courier New" w:hAnsi="Courier New"/>
          <w:sz w:val="18"/>
          <w:szCs w:val="18"/>
          <w:color w:val="auto"/>
        </w:rPr>
      </w:pPr>
    </w:p>
    <w:p>
      <w:pPr>
        <w:jc w:val="both"/>
        <w:ind w:left="632" w:right="1779"/>
        <w:spacing w:after="0" w:line="26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On January 13, 1997, the Company acquired the approximately two-thirds interest in Miracle Holdings Limited ("Miracle Holdings") which the Company did not already own. Miracle Holdings owns Miracle Garden Care Limited, a manufacturer and distributor of lawn and garden products in the United Kingdom.</w:t>
      </w:r>
    </w:p>
    <w:p>
      <w:pPr>
        <w:spacing w:after="0" w:line="89" w:lineRule="exact"/>
        <w:rPr>
          <w:rFonts w:ascii="Courier New" w:cs="Courier New" w:eastAsia="Courier New" w:hAnsi="Courier New"/>
          <w:sz w:val="18"/>
          <w:szCs w:val="18"/>
          <w:color w:val="auto"/>
        </w:rPr>
      </w:pPr>
    </w:p>
    <w:p>
      <w:pPr>
        <w:ind w:left="632" w:hanging="632"/>
        <w:spacing w:after="0"/>
        <w:tabs>
          <w:tab w:leader="none" w:pos="63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CONTINGENCIES</w:t>
      </w:r>
    </w:p>
    <w:p>
      <w:pPr>
        <w:spacing w:after="0" w:line="201" w:lineRule="exact"/>
        <w:rPr>
          <w:rFonts w:ascii="Courier New" w:cs="Courier New" w:eastAsia="Courier New" w:hAnsi="Courier New"/>
          <w:sz w:val="18"/>
          <w:szCs w:val="18"/>
          <w:color w:val="auto"/>
        </w:rPr>
      </w:pPr>
    </w:p>
    <w:p>
      <w:pPr>
        <w:jc w:val="both"/>
        <w:ind w:left="632" w:right="1779"/>
        <w:spacing w:after="0" w:line="25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Management continually evaluates the Company's contingencies, including various lawsuits and claims which arise in the normal course of business. In the opinion of management, its assessment of contingencies is reasonable and related reserves, in the aggregate, are adequate; however, there can be no assurance that future quarterly or annual operating results will not be materially affected by final resolution of these matters. The following details are the more significant of the Company's identified contingencies.</w:t>
      </w:r>
    </w:p>
    <w:p>
      <w:pPr>
        <w:spacing w:after="0" w:line="103" w:lineRule="exact"/>
        <w:rPr>
          <w:rFonts w:ascii="Courier New" w:cs="Courier New" w:eastAsia="Courier New" w:hAnsi="Courier New"/>
          <w:sz w:val="18"/>
          <w:szCs w:val="18"/>
          <w:color w:val="auto"/>
        </w:rPr>
      </w:pPr>
    </w:p>
    <w:p>
      <w:pPr>
        <w:jc w:val="both"/>
        <w:ind w:left="632" w:right="1779"/>
        <w:spacing w:after="0" w:line="24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September 1991, the Company was identified by the Ohio Environmental Protection Agency (the "Ohio EPA") as a Potentially Responsible Party ("PRP") with respect to a site in Union County, Ohio (the "Hershberger site") that has allegedly been contaminated by hazardous substances whose transportation, treatment or disposal the Company allegedly arranged. Pursuant to a consent order with the Ohio EPA, the Company, together with four other PRP's identified to date, investigated the extent of contamination in the Hershberger site. The results of the investigation were that the site presents a low degree of risk and that the chemical compounds which contribute to the risk are not compounds used by the Company. However, as a result of the joint and several liability of PRP's, the Company may choose to participate in voluntary remediation efforts which might occur at the site. Management does not believe any such obligations would have a material adverse effect on the Company's results of operations or financial condition.</w:t>
      </w:r>
    </w:p>
    <w:p>
      <w:pPr>
        <w:spacing w:after="0" w:line="106" w:lineRule="exact"/>
        <w:rPr>
          <w:rFonts w:ascii="Courier New" w:cs="Courier New" w:eastAsia="Courier New" w:hAnsi="Courier New"/>
          <w:sz w:val="18"/>
          <w:szCs w:val="18"/>
          <w:color w:val="auto"/>
        </w:rPr>
      </w:pPr>
    </w:p>
    <w:p>
      <w:pPr>
        <w:jc w:val="both"/>
        <w:ind w:left="632" w:right="1779"/>
        <w:spacing w:after="0" w:line="24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July 1990, the Philadelphia district of the Army Corps of Engineers directed that peat harvesting operations be discontinued at Hyponex's Lafayette, New Jersey facility, and the Company complied. In May 1992, the Department of Justice in the U. S. District Court for the District of New Jersey, filed suit seeking a permanent injunction against such harvesting at that facility and civil penalties. The Philadelphia District of the Corps has taken the position that peat harvesting activities there require a permit under Section 404 of the Clean Water Act. If the Corps' position is upheld, it is possible that further harvesting of peat from this facility would be prohibited. The Company is defending this suit and is asserting a right to recover its economic losses resulting from the government's actions. Management does not believe that the outcome of this case will have a material adverse effect on the Company's operations or its financial condition. Furthermore, management believes the Company has sufficient raw material supplies available such that service to customers will not be adversely affected by continued closure of this peat harvesting operation.</w:t>
      </w:r>
    </w:p>
    <w:p>
      <w:pPr>
        <w:spacing w:after="0" w:line="107" w:lineRule="exact"/>
        <w:rPr>
          <w:rFonts w:ascii="Courier New" w:cs="Courier New" w:eastAsia="Courier New" w:hAnsi="Courier New"/>
          <w:sz w:val="18"/>
          <w:szCs w:val="18"/>
          <w:color w:val="auto"/>
        </w:rPr>
      </w:pPr>
    </w:p>
    <w:p>
      <w:pPr>
        <w:jc w:val="both"/>
        <w:ind w:left="632" w:right="1779"/>
        <w:spacing w:after="0" w:line="28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On January 30, 1996, the United States Environmental Protection Agency (the "U. S. EPA") served a Complaint and Notice of Opportunity for Hearing upon Sierra's wholly-owned subsidiary, Scotts-Sierra Crop Protection Company ("Crop Protection"). The Complaint alleged labeling violations under the Federal Insecticide, Fungicide and Rodenticide Act ("FIFRA") during 1992 and 1993 and proposed penalties totaling $785,000, the maximum allowable under FIFRA according to management's calculations. Presently pending is the U.S. EPA's Motion for an Accelerated Decision. Based upon Crop Protection's good faith compliance actions and FIFRA's provisions for "gravity-based" penalty reductions, management believes Crop Protection's maximum liability in this action to be $200,000. The Company does not believe that the outcome of this proceeding will have a material adverse effect on its financial condition or results of operations.</w:t>
      </w:r>
    </w:p>
    <w:p>
      <w:pPr>
        <w:spacing w:after="0" w:line="200" w:lineRule="exact"/>
        <w:rPr>
          <w:sz w:val="20"/>
          <w:szCs w:val="20"/>
          <w:color w:val="auto"/>
        </w:rPr>
      </w:pPr>
    </w:p>
    <w:p>
      <w:pPr>
        <w:spacing w:after="0" w:line="292" w:lineRule="exact"/>
        <w:rPr>
          <w:sz w:val="20"/>
          <w:szCs w:val="20"/>
          <w:color w:val="auto"/>
        </w:rPr>
      </w:pPr>
    </w:p>
    <w:p>
      <w:pPr>
        <w:ind w:left="3892"/>
        <w:spacing w:after="0"/>
        <w:rPr>
          <w:sz w:val="20"/>
          <w:szCs w:val="20"/>
          <w:color w:val="auto"/>
        </w:rPr>
      </w:pPr>
      <w:r>
        <w:rPr>
          <w:rFonts w:ascii="Courier New" w:cs="Courier New" w:eastAsia="Courier New" w:hAnsi="Courier New"/>
          <w:sz w:val="18"/>
          <w:szCs w:val="18"/>
          <w:color w:val="auto"/>
        </w:rPr>
        <w:t>Page 9</w:t>
      </w:r>
    </w:p>
    <w:p>
      <w:pPr>
        <w:sectPr>
          <w:pgSz w:w="11900" w:h="16838" w:orient="portrait"/>
          <w:cols w:equalWidth="0" w:num="1">
            <w:col w:w="10211"/>
          </w:cols>
          <w:pgMar w:left="248" w:top="893" w:right="1440" w:bottom="591" w:gutter="0" w:footer="0" w:header="0"/>
        </w:sectPr>
      </w:pPr>
    </w:p>
    <w:bookmarkStart w:id="9" w:name="page10"/>
    <w:bookmarkEnd w:id="9"/>
    <w:p>
      <w:pPr>
        <w:ind w:left="1800"/>
        <w:spacing w:after="0"/>
        <w:rPr>
          <w:sz w:val="20"/>
          <w:szCs w:val="20"/>
          <w:color w:val="auto"/>
        </w:rPr>
      </w:pPr>
      <w:r>
        <w:rPr>
          <w:rFonts w:ascii="Courier New" w:cs="Courier New" w:eastAsia="Courier New" w:hAnsi="Courier New"/>
          <w:sz w:val="18"/>
          <w:szCs w:val="18"/>
          <w:color w:val="auto"/>
        </w:rPr>
        <w:t>THE SCOTTS COMPANY AND SUBSIDIARIES</w:t>
      </w:r>
    </w:p>
    <w:p>
      <w:pPr>
        <w:spacing w:after="0" w:line="31" w:lineRule="exact"/>
        <w:rPr>
          <w:sz w:val="20"/>
          <w:szCs w:val="20"/>
          <w:color w:val="auto"/>
        </w:rPr>
      </w:pPr>
    </w:p>
    <w:p>
      <w:pPr>
        <w:ind w:left="1360"/>
        <w:spacing w:after="0"/>
        <w:rPr>
          <w:sz w:val="20"/>
          <w:szCs w:val="20"/>
          <w:color w:val="auto"/>
        </w:rPr>
      </w:pPr>
      <w:r>
        <w:rPr>
          <w:rFonts w:ascii="Courier New" w:cs="Courier New" w:eastAsia="Courier New" w:hAnsi="Courier New"/>
          <w:sz w:val="18"/>
          <w:szCs w:val="18"/>
          <w:color w:val="auto"/>
        </w:rPr>
        <w:t>Notes to Consolidated Financial Statements</w:t>
      </w:r>
    </w:p>
    <w:p>
      <w:pPr>
        <w:spacing w:after="0" w:line="372" w:lineRule="exact"/>
        <w:rPr>
          <w:sz w:val="20"/>
          <w:szCs w:val="20"/>
          <w:color w:val="auto"/>
        </w:rPr>
      </w:pPr>
    </w:p>
    <w:p>
      <w:pPr>
        <w:jc w:val="both"/>
        <w:ind w:right="1779"/>
        <w:spacing w:after="0" w:line="278" w:lineRule="auto"/>
        <w:rPr>
          <w:sz w:val="20"/>
          <w:szCs w:val="20"/>
          <w:color w:val="auto"/>
        </w:rPr>
      </w:pPr>
      <w:r>
        <w:rPr>
          <w:rFonts w:ascii="Courier New" w:cs="Courier New" w:eastAsia="Courier New" w:hAnsi="Courier New"/>
          <w:sz w:val="16"/>
          <w:szCs w:val="16"/>
          <w:color w:val="auto"/>
        </w:rPr>
        <w:t>During 1993 and 1994, Miracle-Gro Products discussed with Pursell Industries, Inc. ("Pursell") the feasibility of forming a joint venture to produce and market a line of slow-release lawn food, and in October 1993, signed a non-binding "heads of agreement." On March 2, 1995, Pursell instituted an action in the United States District Court for the Northern District of Alabama, PURSELL INDUSTRIES, INC. V. STERN'S MIRACLE-GRO PRODUCTS, INC., (the "Alabama Action"), which alleged, among other things, that a joint venture was formed, that Miracle-Gro Products breached an alleged joint venture contract, committed fraud, and breached an alleged fiduciary duty owed Pursell by not informing Pursell of negotiations concerning the merger transactions. On December 18, 1995, Pursell filed an amended complaint in which Scotts was named as an additional party defendant. The amended complaint contained a number of allegations and sought compensatory damages in excess of $10 million, punitive damages of $20 million, treble damages as allowed by law and injunctive relief with respect to the advertising and trade dress allegations.</w:t>
      </w:r>
    </w:p>
    <w:p>
      <w:pPr>
        <w:spacing w:after="0" w:line="295" w:lineRule="exact"/>
        <w:rPr>
          <w:sz w:val="20"/>
          <w:szCs w:val="20"/>
          <w:color w:val="auto"/>
        </w:rPr>
      </w:pPr>
    </w:p>
    <w:p>
      <w:pPr>
        <w:jc w:val="both"/>
        <w:ind w:right="1779"/>
        <w:spacing w:after="0" w:line="253" w:lineRule="auto"/>
        <w:rPr>
          <w:sz w:val="20"/>
          <w:szCs w:val="20"/>
          <w:color w:val="auto"/>
        </w:rPr>
      </w:pPr>
      <w:r>
        <w:rPr>
          <w:rFonts w:ascii="Courier New" w:cs="Courier New" w:eastAsia="Courier New" w:hAnsi="Courier New"/>
          <w:sz w:val="18"/>
          <w:szCs w:val="18"/>
          <w:color w:val="auto"/>
        </w:rPr>
        <w:t>On April 14, 1996, in response to communications from Scotts that Pursell was infringing the Company's Poly-S patents, Pursell instituted a second action in the United States District Court for the Northern District of Alabama, PURSELL INDUSTRIES, INC. V. THE SCOTTS COMPANY (THE "PATENT ACTION"). The complaint sought declaration that, among other things, Scotts' patents were invalid and that Pursell had not infringed any of Scotts' patents. Pursell also alleged unfair competition in relation to Scotts' working of its products with its Poly-S patents.</w:t>
      </w:r>
    </w:p>
    <w:p>
      <w:pPr>
        <w:spacing w:after="0" w:line="104" w:lineRule="exact"/>
        <w:rPr>
          <w:sz w:val="20"/>
          <w:szCs w:val="20"/>
          <w:color w:val="auto"/>
        </w:rPr>
      </w:pPr>
    </w:p>
    <w:p>
      <w:pPr>
        <w:jc w:val="both"/>
        <w:ind w:right="1779"/>
        <w:spacing w:after="0" w:line="253" w:lineRule="auto"/>
        <w:rPr>
          <w:sz w:val="20"/>
          <w:szCs w:val="20"/>
          <w:color w:val="auto"/>
        </w:rPr>
      </w:pPr>
      <w:r>
        <w:rPr>
          <w:rFonts w:ascii="Courier New" w:cs="Courier New" w:eastAsia="Courier New" w:hAnsi="Courier New"/>
          <w:sz w:val="18"/>
          <w:szCs w:val="18"/>
          <w:color w:val="auto"/>
        </w:rPr>
        <w:t>On January 16, 1997, Pursell and the Company settled both the Alabama Action and the Patent Action pursuant to a confidential Settlement Agreement and Release (the "Settlement Agreement"). Under the terms of the Settlement Agreement, both actions have been dismissed with prejudice. Full and complete releases were exchanged by the parties, and the Company granted to Pursell a fully paid-up, non-exclusive license under the Company's Poly-S patents. The settlement is not expected to have a material impact on operating results.</w:t>
      </w:r>
    </w:p>
    <w:p>
      <w:pPr>
        <w:spacing w:after="0" w:line="200" w:lineRule="exact"/>
        <w:rPr>
          <w:sz w:val="20"/>
          <w:szCs w:val="20"/>
          <w:color w:val="auto"/>
        </w:rPr>
      </w:pPr>
    </w:p>
    <w:p>
      <w:pPr>
        <w:spacing w:after="0" w:line="309"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Page 10</w:t>
      </w:r>
    </w:p>
    <w:p>
      <w:pPr>
        <w:sectPr>
          <w:pgSz w:w="11900" w:h="16838" w:orient="portrait"/>
          <w:cols w:equalWidth="0" w:num="1">
            <w:col w:w="9579"/>
          </w:cols>
          <w:pgMar w:left="880" w:top="691" w:right="1440" w:bottom="1440" w:gutter="0" w:footer="0" w:header="0"/>
        </w:sectPr>
      </w:pPr>
    </w:p>
    <w:bookmarkStart w:id="10" w:name="page11"/>
    <w:bookmarkEnd w:id="10"/>
    <w:p>
      <w:pPr>
        <w:jc w:val="center"/>
        <w:ind w:right="1679"/>
        <w:spacing w:after="0"/>
        <w:rPr>
          <w:sz w:val="20"/>
          <w:szCs w:val="20"/>
          <w:color w:val="auto"/>
        </w:rPr>
      </w:pPr>
      <w:r>
        <w:rPr>
          <w:rFonts w:ascii="Courier New" w:cs="Courier New" w:eastAsia="Courier New" w:hAnsi="Courier New"/>
          <w:sz w:val="18"/>
          <w:szCs w:val="18"/>
          <w:color w:val="auto"/>
        </w:rPr>
        <w:t>ITEM 2. MANAGEMENT'S DISCUSSION AND ANALYSIS OF</w:t>
      </w:r>
    </w:p>
    <w:p>
      <w:pPr>
        <w:spacing w:after="0" w:line="3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FINANCIAL CONDITION AND RESULTS OF OPERATIONS</w:t>
      </w:r>
    </w:p>
    <w:p>
      <w:pPr>
        <w:spacing w:after="0" w:line="372" w:lineRule="exact"/>
        <w:rPr>
          <w:sz w:val="20"/>
          <w:szCs w:val="20"/>
          <w:color w:val="auto"/>
        </w:rPr>
      </w:pPr>
    </w:p>
    <w:p>
      <w:pPr>
        <w:jc w:val="both"/>
        <w:ind w:right="1779"/>
        <w:spacing w:after="0" w:line="256" w:lineRule="auto"/>
        <w:rPr>
          <w:sz w:val="20"/>
          <w:szCs w:val="20"/>
          <w:color w:val="auto"/>
        </w:rPr>
      </w:pPr>
      <w:r>
        <w:rPr>
          <w:rFonts w:ascii="Courier New" w:cs="Courier New" w:eastAsia="Courier New" w:hAnsi="Courier New"/>
          <w:sz w:val="18"/>
          <w:szCs w:val="18"/>
          <w:color w:val="auto"/>
        </w:rPr>
        <w:t>The following discussion and analysis of the consolidated results of operations, cash flows and financial position of The Scotts Company should be read in conjunction with the Consolidated Financial Statements of the Company included elsewhere in this report. The Company's Annual Report on Form 10-K for the fiscal year ended September 30, 1996 includes additional information about the Company, its operations, and its financial position, and should be read in conjunction with this quarterly report on Form 10-Q.</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1" w:lineRule="exact"/>
        <w:rPr>
          <w:sz w:val="20"/>
          <w:szCs w:val="20"/>
          <w:color w:val="auto"/>
        </w:rPr>
      </w:pPr>
    </w:p>
    <w:p>
      <w:pPr>
        <w:ind w:right="3259"/>
        <w:spacing w:after="0" w:line="347" w:lineRule="auto"/>
        <w:rPr>
          <w:sz w:val="20"/>
          <w:szCs w:val="20"/>
          <w:color w:val="auto"/>
        </w:rPr>
      </w:pPr>
      <w:r>
        <w:rPr>
          <w:rFonts w:ascii="Courier New" w:cs="Courier New" w:eastAsia="Courier New" w:hAnsi="Courier New"/>
          <w:sz w:val="18"/>
          <w:szCs w:val="18"/>
          <w:color w:val="auto"/>
        </w:rPr>
        <w:t>THREE MONTHS ENDED DECEMBER 28, 1996 VERSUS THE THREE MONTHS ENDED DECEMBER 30, 1995</w:t>
      </w:r>
    </w:p>
    <w:p>
      <w:pPr>
        <w:spacing w:after="0" w:line="18" w:lineRule="exact"/>
        <w:rPr>
          <w:sz w:val="20"/>
          <w:szCs w:val="20"/>
          <w:color w:val="auto"/>
        </w:rPr>
      </w:pPr>
    </w:p>
    <w:p>
      <w:pPr>
        <w:jc w:val="both"/>
        <w:ind w:right="1779"/>
        <w:spacing w:after="0" w:line="347" w:lineRule="auto"/>
        <w:rPr>
          <w:sz w:val="20"/>
          <w:szCs w:val="20"/>
          <w:color w:val="auto"/>
        </w:rPr>
      </w:pPr>
      <w:r>
        <w:rPr>
          <w:rFonts w:ascii="Courier New" w:cs="Courier New" w:eastAsia="Courier New" w:hAnsi="Courier New"/>
          <w:sz w:val="18"/>
          <w:szCs w:val="18"/>
          <w:color w:val="auto"/>
        </w:rPr>
        <w:t>The following table sets forth the components of income and expense for the first quarter of fiscal 1997 and 1996 on a percent-of-net sales basis:</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40" w:type="dxa"/>
            <w:vAlign w:val="bottom"/>
          </w:tcPr>
          <w:p>
            <w:pPr>
              <w:spacing w:after="0"/>
              <w:rPr>
                <w:sz w:val="17"/>
                <w:szCs w:val="17"/>
                <w:color w:val="auto"/>
              </w:rPr>
            </w:pPr>
          </w:p>
        </w:tc>
        <w:tc>
          <w:tcPr>
            <w:tcW w:w="320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For The Three Months Ended</w:t>
            </w:r>
          </w:p>
        </w:tc>
        <w:tc>
          <w:tcPr>
            <w:tcW w:w="1160" w:type="dxa"/>
            <w:vAlign w:val="bottom"/>
          </w:tcPr>
          <w:p>
            <w:pPr>
              <w:ind w:left="220"/>
              <w:spacing w:after="0"/>
              <w:rPr>
                <w:sz w:val="20"/>
                <w:szCs w:val="20"/>
                <w:color w:val="auto"/>
              </w:rPr>
            </w:pPr>
            <w:r>
              <w:rPr>
                <w:rFonts w:ascii="Courier New" w:cs="Courier New" w:eastAsia="Courier New" w:hAnsi="Courier New"/>
                <w:sz w:val="18"/>
                <w:szCs w:val="18"/>
                <w:color w:val="auto"/>
                <w:w w:val="94"/>
              </w:rPr>
              <w:t>Period to</w:t>
            </w:r>
          </w:p>
        </w:tc>
        <w:tc>
          <w:tcPr>
            <w:tcW w:w="0" w:type="dxa"/>
            <w:vAlign w:val="bottom"/>
          </w:tcPr>
          <w:p>
            <w:pPr>
              <w:spacing w:after="0"/>
              <w:rPr>
                <w:sz w:val="1"/>
                <w:szCs w:val="1"/>
                <w:color w:val="auto"/>
              </w:rPr>
            </w:pPr>
          </w:p>
        </w:tc>
      </w:tr>
      <w:tr>
        <w:trPr>
          <w:trHeight w:val="203"/>
        </w:trPr>
        <w:tc>
          <w:tcPr>
            <w:tcW w:w="5440" w:type="dxa"/>
            <w:vAlign w:val="bottom"/>
          </w:tcPr>
          <w:p>
            <w:pPr>
              <w:spacing w:after="0"/>
              <w:rPr>
                <w:sz w:val="17"/>
                <w:szCs w:val="17"/>
                <w:color w:val="auto"/>
              </w:rPr>
            </w:pP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December 30</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December 28</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Period</w:t>
            </w:r>
          </w:p>
        </w:tc>
        <w:tc>
          <w:tcPr>
            <w:tcW w:w="0" w:type="dxa"/>
            <w:vAlign w:val="bottom"/>
          </w:tcPr>
          <w:p>
            <w:pPr>
              <w:spacing w:after="0"/>
              <w:rPr>
                <w:sz w:val="1"/>
                <w:szCs w:val="1"/>
                <w:color w:val="auto"/>
              </w:rPr>
            </w:pPr>
          </w:p>
        </w:tc>
      </w:tr>
      <w:tr>
        <w:trPr>
          <w:trHeight w:val="203"/>
        </w:trPr>
        <w:tc>
          <w:tcPr>
            <w:tcW w:w="5440" w:type="dxa"/>
            <w:vAlign w:val="bottom"/>
          </w:tcPr>
          <w:p>
            <w:pPr>
              <w:spacing w:after="0"/>
              <w:rPr>
                <w:sz w:val="17"/>
                <w:szCs w:val="17"/>
                <w:color w:val="auto"/>
              </w:rPr>
            </w:pP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1995</w:t>
            </w:r>
          </w:p>
        </w:tc>
        <w:tc>
          <w:tcPr>
            <w:tcW w:w="15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1996</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 Change</w:t>
            </w:r>
          </w:p>
        </w:tc>
        <w:tc>
          <w:tcPr>
            <w:tcW w:w="0" w:type="dxa"/>
            <w:vAlign w:val="bottom"/>
          </w:tcPr>
          <w:p>
            <w:pPr>
              <w:spacing w:after="0"/>
              <w:rPr>
                <w:sz w:val="1"/>
                <w:szCs w:val="1"/>
                <w:color w:val="auto"/>
              </w:rPr>
            </w:pPr>
          </w:p>
        </w:tc>
      </w:tr>
      <w:tr>
        <w:trPr>
          <w:trHeight w:val="296"/>
        </w:trPr>
        <w:tc>
          <w:tcPr>
            <w:tcW w:w="5440" w:type="dxa"/>
            <w:vAlign w:val="bottom"/>
          </w:tcPr>
          <w:p>
            <w:pPr>
              <w:spacing w:after="0"/>
              <w:rPr>
                <w:sz w:val="24"/>
                <w:szCs w:val="24"/>
                <w:color w:val="auto"/>
              </w:rPr>
            </w:pPr>
          </w:p>
        </w:tc>
        <w:tc>
          <w:tcPr>
            <w:tcW w:w="16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ind w:left="220"/>
              <w:spacing w:after="0"/>
              <w:rPr>
                <w:sz w:val="20"/>
                <w:szCs w:val="20"/>
                <w:color w:val="auto"/>
              </w:rPr>
            </w:pPr>
            <w:r>
              <w:rPr>
                <w:rFonts w:ascii="Courier New" w:cs="Courier New" w:eastAsia="Courier New" w:hAnsi="Courier New"/>
                <w:sz w:val="18"/>
                <w:szCs w:val="18"/>
                <w:color w:val="auto"/>
                <w:w w:val="94"/>
              </w:rPr>
              <w:t>---------</w:t>
            </w:r>
          </w:p>
        </w:tc>
        <w:tc>
          <w:tcPr>
            <w:tcW w:w="0" w:type="dxa"/>
            <w:vAlign w:val="bottom"/>
          </w:tcPr>
          <w:p>
            <w:pPr>
              <w:spacing w:after="0"/>
              <w:rPr>
                <w:sz w:val="1"/>
                <w:szCs w:val="1"/>
                <w:color w:val="auto"/>
              </w:rPr>
            </w:pPr>
          </w:p>
        </w:tc>
      </w:tr>
      <w:tr>
        <w:trPr>
          <w:trHeight w:val="311"/>
        </w:trPr>
        <w:tc>
          <w:tcPr>
            <w:tcW w:w="544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6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100.0%</w:t>
            </w:r>
          </w:p>
        </w:tc>
        <w:tc>
          <w:tcPr>
            <w:tcW w:w="15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100.0%</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(15.1)%</w:t>
            </w:r>
          </w:p>
        </w:tc>
        <w:tc>
          <w:tcPr>
            <w:tcW w:w="0" w:type="dxa"/>
            <w:vAlign w:val="bottom"/>
          </w:tcPr>
          <w:p>
            <w:pPr>
              <w:spacing w:after="0"/>
              <w:rPr>
                <w:sz w:val="1"/>
                <w:szCs w:val="1"/>
                <w:color w:val="auto"/>
              </w:rPr>
            </w:pP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sales</w:t>
            </w: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54.9</w:t>
            </w:r>
          </w:p>
        </w:tc>
        <w:tc>
          <w:tcPr>
            <w:tcW w:w="15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53.7</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(16.8)</w:t>
            </w:r>
          </w:p>
        </w:tc>
        <w:tc>
          <w:tcPr>
            <w:tcW w:w="0" w:type="dxa"/>
            <w:vAlign w:val="bottom"/>
          </w:tcPr>
          <w:p>
            <w:pPr>
              <w:spacing w:after="0"/>
              <w:rPr>
                <w:sz w:val="1"/>
                <w:szCs w:val="1"/>
                <w:color w:val="auto"/>
              </w:rPr>
            </w:pPr>
          </w:p>
        </w:tc>
      </w:tr>
      <w:tr>
        <w:trPr>
          <w:trHeight w:val="203"/>
        </w:trPr>
        <w:tc>
          <w:tcPr>
            <w:tcW w:w="5440" w:type="dxa"/>
            <w:vAlign w:val="bottom"/>
            <w:vMerge w:val="restart"/>
          </w:tcPr>
          <w:p>
            <w:pPr>
              <w:spacing w:after="0"/>
              <w:rPr>
                <w:sz w:val="20"/>
                <w:szCs w:val="20"/>
                <w:color w:val="auto"/>
              </w:rPr>
            </w:pPr>
            <w:r>
              <w:rPr>
                <w:rFonts w:ascii="Courier New" w:cs="Courier New" w:eastAsia="Courier New" w:hAnsi="Courier New"/>
                <w:sz w:val="18"/>
                <w:szCs w:val="18"/>
                <w:color w:val="auto"/>
              </w:rPr>
              <w:t>Gross profit</w:t>
            </w: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(12.9)</w:t>
            </w:r>
          </w:p>
        </w:tc>
        <w:tc>
          <w:tcPr>
            <w:tcW w:w="0" w:type="dxa"/>
            <w:vAlign w:val="bottom"/>
          </w:tcPr>
          <w:p>
            <w:pPr>
              <w:spacing w:after="0"/>
              <w:rPr>
                <w:sz w:val="1"/>
                <w:szCs w:val="1"/>
                <w:color w:val="auto"/>
              </w:rPr>
            </w:pPr>
          </w:p>
        </w:tc>
      </w:tr>
      <w:tr>
        <w:trPr>
          <w:trHeight w:val="203"/>
        </w:trPr>
        <w:tc>
          <w:tcPr>
            <w:tcW w:w="5440" w:type="dxa"/>
            <w:vAlign w:val="bottom"/>
            <w:vMerge w:val="continue"/>
          </w:tcPr>
          <w:p>
            <w:pPr>
              <w:spacing w:after="0"/>
              <w:rPr>
                <w:sz w:val="17"/>
                <w:szCs w:val="17"/>
                <w:color w:val="auto"/>
              </w:rPr>
            </w:pP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45.1</w:t>
            </w:r>
          </w:p>
        </w:tc>
        <w:tc>
          <w:tcPr>
            <w:tcW w:w="15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46.3</w:t>
            </w: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5440" w:type="dxa"/>
            <w:vAlign w:val="bottom"/>
          </w:tcPr>
          <w:p>
            <w:pPr>
              <w:spacing w:after="0"/>
              <w:rPr>
                <w:sz w:val="24"/>
                <w:szCs w:val="24"/>
                <w:color w:val="auto"/>
              </w:rPr>
            </w:pPr>
          </w:p>
        </w:tc>
        <w:tc>
          <w:tcPr>
            <w:tcW w:w="16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44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168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23.4</w:t>
            </w:r>
          </w:p>
        </w:tc>
        <w:tc>
          <w:tcPr>
            <w:tcW w:w="152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21.8</w:t>
            </w:r>
          </w:p>
        </w:tc>
        <w:tc>
          <w:tcPr>
            <w:tcW w:w="11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(20.9)</w:t>
            </w:r>
          </w:p>
        </w:tc>
        <w:tc>
          <w:tcPr>
            <w:tcW w:w="0" w:type="dxa"/>
            <w:vAlign w:val="bottom"/>
          </w:tcPr>
          <w:p>
            <w:pPr>
              <w:spacing w:after="0"/>
              <w:rPr>
                <w:sz w:val="1"/>
                <w:szCs w:val="1"/>
                <w:color w:val="auto"/>
              </w:rPr>
            </w:pPr>
          </w:p>
        </w:tc>
      </w:tr>
      <w:tr>
        <w:trPr>
          <w:trHeight w:val="203"/>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Marketing</w:t>
            </w:r>
          </w:p>
        </w:tc>
        <w:tc>
          <w:tcPr>
            <w:tcW w:w="1680" w:type="dxa"/>
            <w:vAlign w:val="bottom"/>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Distribution</w:t>
            </w: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14.0</w:t>
            </w:r>
          </w:p>
        </w:tc>
        <w:tc>
          <w:tcPr>
            <w:tcW w:w="15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13.7</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(16.9)</w:t>
            </w:r>
          </w:p>
        </w:tc>
        <w:tc>
          <w:tcPr>
            <w:tcW w:w="0" w:type="dxa"/>
            <w:vAlign w:val="bottom"/>
          </w:tcPr>
          <w:p>
            <w:pPr>
              <w:spacing w:after="0"/>
              <w:rPr>
                <w:sz w:val="1"/>
                <w:szCs w:val="1"/>
                <w:color w:val="auto"/>
              </w:rPr>
            </w:pPr>
          </w:p>
        </w:tc>
      </w:tr>
      <w:tr>
        <w:trPr>
          <w:trHeight w:val="203"/>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6.8</w:t>
            </w:r>
          </w:p>
        </w:tc>
        <w:tc>
          <w:tcPr>
            <w:tcW w:w="15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7.2</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(9.5)</w:t>
            </w:r>
          </w:p>
        </w:tc>
        <w:tc>
          <w:tcPr>
            <w:tcW w:w="0" w:type="dxa"/>
            <w:vAlign w:val="bottom"/>
          </w:tcPr>
          <w:p>
            <w:pPr>
              <w:spacing w:after="0"/>
              <w:rPr>
                <w:sz w:val="1"/>
                <w:szCs w:val="1"/>
                <w:color w:val="auto"/>
              </w:rPr>
            </w:pPr>
          </w:p>
        </w:tc>
      </w:tr>
      <w:tr>
        <w:trPr>
          <w:trHeight w:val="203"/>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2.3</w:t>
            </w:r>
          </w:p>
        </w:tc>
        <w:tc>
          <w:tcPr>
            <w:tcW w:w="15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2.7</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Amortization of goodwill and other intangibles</w:t>
            </w: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1.8</w:t>
            </w:r>
          </w:p>
        </w:tc>
        <w:tc>
          <w:tcPr>
            <w:tcW w:w="15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2.2</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w:t>
            </w:r>
          </w:p>
        </w:tc>
        <w:tc>
          <w:tcPr>
            <w:tcW w:w="0" w:type="dxa"/>
            <w:vAlign w:val="bottom"/>
          </w:tcPr>
          <w:p>
            <w:pPr>
              <w:spacing w:after="0"/>
              <w:rPr>
                <w:sz w:val="1"/>
                <w:szCs w:val="1"/>
                <w:color w:val="auto"/>
              </w:rPr>
            </w:pPr>
          </w:p>
        </w:tc>
      </w:tr>
      <w:tr>
        <w:trPr>
          <w:trHeight w:val="203"/>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 expenses</w:t>
            </w: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w:t>
            </w:r>
          </w:p>
        </w:tc>
        <w:tc>
          <w:tcPr>
            <w:tcW w:w="15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10.3</w:t>
            </w:r>
          </w:p>
        </w:tc>
        <w:tc>
          <w:tcPr>
            <w:tcW w:w="0" w:type="dxa"/>
            <w:vAlign w:val="bottom"/>
          </w:tcPr>
          <w:p>
            <w:pPr>
              <w:spacing w:after="0"/>
              <w:rPr>
                <w:sz w:val="1"/>
                <w:szCs w:val="1"/>
                <w:color w:val="auto"/>
              </w:rPr>
            </w:pPr>
          </w:p>
        </w:tc>
      </w:tr>
      <w:tr>
        <w:trPr>
          <w:trHeight w:val="203"/>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Unusual items</w:t>
            </w: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1.7</w:t>
            </w:r>
          </w:p>
        </w:tc>
        <w:tc>
          <w:tcPr>
            <w:tcW w:w="15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NM</w:t>
            </w:r>
          </w:p>
        </w:tc>
        <w:tc>
          <w:tcPr>
            <w:tcW w:w="0" w:type="dxa"/>
            <w:vAlign w:val="bottom"/>
          </w:tcPr>
          <w:p>
            <w:pPr>
              <w:spacing w:after="0"/>
              <w:rPr>
                <w:sz w:val="1"/>
                <w:szCs w:val="1"/>
                <w:color w:val="auto"/>
              </w:rPr>
            </w:pPr>
          </w:p>
        </w:tc>
      </w:tr>
      <w:tr>
        <w:trPr>
          <w:trHeight w:val="203"/>
        </w:trPr>
        <w:tc>
          <w:tcPr>
            <w:tcW w:w="544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Total operating expenses</w:t>
            </w: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(19.0)</w:t>
            </w:r>
          </w:p>
        </w:tc>
        <w:tc>
          <w:tcPr>
            <w:tcW w:w="0" w:type="dxa"/>
            <w:vAlign w:val="bottom"/>
          </w:tcPr>
          <w:p>
            <w:pPr>
              <w:spacing w:after="0"/>
              <w:rPr>
                <w:sz w:val="1"/>
                <w:szCs w:val="1"/>
                <w:color w:val="auto"/>
              </w:rPr>
            </w:pPr>
          </w:p>
        </w:tc>
      </w:tr>
      <w:tr>
        <w:trPr>
          <w:trHeight w:val="296"/>
        </w:trPr>
        <w:tc>
          <w:tcPr>
            <w:tcW w:w="5440" w:type="dxa"/>
            <w:vAlign w:val="bottom"/>
            <w:vMerge w:val="continue"/>
          </w:tcPr>
          <w:p>
            <w:pPr>
              <w:spacing w:after="0"/>
              <w:rPr>
                <w:sz w:val="24"/>
                <w:szCs w:val="24"/>
                <w:color w:val="auto"/>
              </w:rPr>
            </w:pPr>
          </w:p>
        </w:tc>
        <w:tc>
          <w:tcPr>
            <w:tcW w:w="16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50.2</w:t>
            </w:r>
          </w:p>
        </w:tc>
        <w:tc>
          <w:tcPr>
            <w:tcW w:w="15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47.9</w:t>
            </w: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440" w:type="dxa"/>
            <w:vAlign w:val="bottom"/>
          </w:tcPr>
          <w:p>
            <w:pPr>
              <w:spacing w:after="0"/>
              <w:rPr>
                <w:sz w:val="20"/>
                <w:szCs w:val="20"/>
                <w:color w:val="auto"/>
              </w:rPr>
            </w:pPr>
            <w:r>
              <w:rPr>
                <w:rFonts w:ascii="Courier New" w:cs="Courier New" w:eastAsia="Courier New" w:hAnsi="Courier New"/>
                <w:sz w:val="18"/>
                <w:szCs w:val="18"/>
                <w:color w:val="auto"/>
              </w:rPr>
              <w:t>Loss from operations</w:t>
            </w:r>
          </w:p>
        </w:tc>
        <w:tc>
          <w:tcPr>
            <w:tcW w:w="16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(5.1)</w:t>
            </w:r>
          </w:p>
        </w:tc>
        <w:tc>
          <w:tcPr>
            <w:tcW w:w="15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(1.6)</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72.9</w:t>
            </w:r>
          </w:p>
        </w:tc>
        <w:tc>
          <w:tcPr>
            <w:tcW w:w="0" w:type="dxa"/>
            <w:vAlign w:val="bottom"/>
          </w:tcPr>
          <w:p>
            <w:pPr>
              <w:spacing w:after="0"/>
              <w:rPr>
                <w:sz w:val="1"/>
                <w:szCs w:val="1"/>
                <w:color w:val="auto"/>
              </w:rPr>
            </w:pPr>
          </w:p>
        </w:tc>
      </w:tr>
      <w:tr>
        <w:trPr>
          <w:trHeight w:val="296"/>
        </w:trPr>
        <w:tc>
          <w:tcPr>
            <w:tcW w:w="5440" w:type="dxa"/>
            <w:vAlign w:val="bottom"/>
          </w:tcPr>
          <w:p>
            <w:pPr>
              <w:spacing w:after="0"/>
              <w:rPr>
                <w:sz w:val="24"/>
                <w:szCs w:val="24"/>
                <w:color w:val="auto"/>
              </w:rPr>
            </w:pPr>
          </w:p>
        </w:tc>
        <w:tc>
          <w:tcPr>
            <w:tcW w:w="16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440" w:type="dxa"/>
            <w:vAlign w:val="bottom"/>
          </w:tcPr>
          <w:p>
            <w:pPr>
              <w:spacing w:after="0"/>
              <w:rPr>
                <w:sz w:val="20"/>
                <w:szCs w:val="20"/>
                <w:color w:val="auto"/>
              </w:rPr>
            </w:pPr>
            <w:r>
              <w:rPr>
                <w:rFonts w:ascii="Courier New" w:cs="Courier New" w:eastAsia="Courier New" w:hAnsi="Courier New"/>
                <w:sz w:val="18"/>
                <w:szCs w:val="18"/>
                <w:color w:val="auto"/>
              </w:rPr>
              <w:t>Interest expense</w:t>
            </w:r>
          </w:p>
        </w:tc>
        <w:tc>
          <w:tcPr>
            <w:tcW w:w="16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5.6</w:t>
            </w:r>
          </w:p>
        </w:tc>
        <w:tc>
          <w:tcPr>
            <w:tcW w:w="15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5.6</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(15.6)</w:t>
            </w:r>
          </w:p>
        </w:tc>
        <w:tc>
          <w:tcPr>
            <w:tcW w:w="0" w:type="dxa"/>
            <w:vAlign w:val="bottom"/>
          </w:tcPr>
          <w:p>
            <w:pPr>
              <w:spacing w:after="0"/>
              <w:rPr>
                <w:sz w:val="1"/>
                <w:szCs w:val="1"/>
                <w:color w:val="auto"/>
              </w:rPr>
            </w:pPr>
          </w:p>
        </w:tc>
      </w:tr>
      <w:tr>
        <w:trPr>
          <w:trHeight w:val="296"/>
        </w:trPr>
        <w:tc>
          <w:tcPr>
            <w:tcW w:w="5440" w:type="dxa"/>
            <w:vAlign w:val="bottom"/>
          </w:tcPr>
          <w:p>
            <w:pPr>
              <w:spacing w:after="0"/>
              <w:rPr>
                <w:sz w:val="24"/>
                <w:szCs w:val="24"/>
                <w:color w:val="auto"/>
              </w:rPr>
            </w:pPr>
          </w:p>
        </w:tc>
        <w:tc>
          <w:tcPr>
            <w:tcW w:w="16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440" w:type="dxa"/>
            <w:vAlign w:val="bottom"/>
          </w:tcPr>
          <w:p>
            <w:pPr>
              <w:spacing w:after="0"/>
              <w:rPr>
                <w:sz w:val="20"/>
                <w:szCs w:val="20"/>
                <w:color w:val="auto"/>
              </w:rPr>
            </w:pPr>
            <w:r>
              <w:rPr>
                <w:rFonts w:ascii="Courier New" w:cs="Courier New" w:eastAsia="Courier New" w:hAnsi="Courier New"/>
                <w:sz w:val="18"/>
                <w:szCs w:val="18"/>
                <w:color w:val="auto"/>
              </w:rPr>
              <w:t>Loss before income taxes</w:t>
            </w:r>
          </w:p>
        </w:tc>
        <w:tc>
          <w:tcPr>
            <w:tcW w:w="16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(10.7)</w:t>
            </w:r>
          </w:p>
        </w:tc>
        <w:tc>
          <w:tcPr>
            <w:tcW w:w="15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(7.2)</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42.9</w:t>
            </w:r>
          </w:p>
        </w:tc>
        <w:tc>
          <w:tcPr>
            <w:tcW w:w="0" w:type="dxa"/>
            <w:vAlign w:val="bottom"/>
          </w:tcPr>
          <w:p>
            <w:pPr>
              <w:spacing w:after="0"/>
              <w:rPr>
                <w:sz w:val="1"/>
                <w:szCs w:val="1"/>
                <w:color w:val="auto"/>
              </w:rPr>
            </w:pPr>
          </w:p>
        </w:tc>
      </w:tr>
      <w:tr>
        <w:trPr>
          <w:trHeight w:val="296"/>
        </w:trPr>
        <w:tc>
          <w:tcPr>
            <w:tcW w:w="5440" w:type="dxa"/>
            <w:vAlign w:val="bottom"/>
          </w:tcPr>
          <w:p>
            <w:pPr>
              <w:spacing w:after="0"/>
              <w:rPr>
                <w:sz w:val="24"/>
                <w:szCs w:val="24"/>
                <w:color w:val="auto"/>
              </w:rPr>
            </w:pPr>
          </w:p>
        </w:tc>
        <w:tc>
          <w:tcPr>
            <w:tcW w:w="16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440" w:type="dxa"/>
            <w:vAlign w:val="bottom"/>
          </w:tcPr>
          <w:p>
            <w:pPr>
              <w:spacing w:after="0"/>
              <w:rPr>
                <w:sz w:val="20"/>
                <w:szCs w:val="20"/>
                <w:color w:val="auto"/>
              </w:rPr>
            </w:pPr>
            <w:r>
              <w:rPr>
                <w:rFonts w:ascii="Courier New" w:cs="Courier New" w:eastAsia="Courier New" w:hAnsi="Courier New"/>
                <w:sz w:val="18"/>
                <w:szCs w:val="18"/>
                <w:color w:val="auto"/>
              </w:rPr>
              <w:t>Income tax benefit</w:t>
            </w:r>
          </w:p>
        </w:tc>
        <w:tc>
          <w:tcPr>
            <w:tcW w:w="16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(4.6)</w:t>
            </w:r>
          </w:p>
        </w:tc>
        <w:tc>
          <w:tcPr>
            <w:tcW w:w="15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(3.1)</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(43.0)</w:t>
            </w:r>
          </w:p>
        </w:tc>
        <w:tc>
          <w:tcPr>
            <w:tcW w:w="0" w:type="dxa"/>
            <w:vAlign w:val="bottom"/>
          </w:tcPr>
          <w:p>
            <w:pPr>
              <w:spacing w:after="0"/>
              <w:rPr>
                <w:sz w:val="1"/>
                <w:szCs w:val="1"/>
                <w:color w:val="auto"/>
              </w:rPr>
            </w:pPr>
          </w:p>
        </w:tc>
      </w:tr>
      <w:tr>
        <w:trPr>
          <w:trHeight w:val="296"/>
        </w:trPr>
        <w:tc>
          <w:tcPr>
            <w:tcW w:w="5440" w:type="dxa"/>
            <w:vAlign w:val="bottom"/>
          </w:tcPr>
          <w:p>
            <w:pPr>
              <w:spacing w:after="0"/>
              <w:rPr>
                <w:sz w:val="24"/>
                <w:szCs w:val="24"/>
                <w:color w:val="auto"/>
              </w:rPr>
            </w:pPr>
          </w:p>
        </w:tc>
        <w:tc>
          <w:tcPr>
            <w:tcW w:w="16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Net loss</w:t>
            </w:r>
          </w:p>
        </w:tc>
        <w:tc>
          <w:tcPr>
            <w:tcW w:w="16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(6.1)</w:t>
            </w:r>
          </w:p>
        </w:tc>
        <w:tc>
          <w:tcPr>
            <w:tcW w:w="15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(4.1)</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42.9</w:t>
            </w:r>
          </w:p>
        </w:tc>
        <w:tc>
          <w:tcPr>
            <w:tcW w:w="0" w:type="dxa"/>
            <w:vAlign w:val="bottom"/>
          </w:tcPr>
          <w:p>
            <w:pPr>
              <w:spacing w:after="0"/>
              <w:rPr>
                <w:sz w:val="1"/>
                <w:szCs w:val="1"/>
                <w:color w:val="auto"/>
              </w:rPr>
            </w:pPr>
          </w:p>
        </w:tc>
      </w:tr>
      <w:tr>
        <w:trPr>
          <w:trHeight w:val="311"/>
        </w:trPr>
        <w:tc>
          <w:tcPr>
            <w:tcW w:w="5440" w:type="dxa"/>
            <w:vAlign w:val="bottom"/>
          </w:tcPr>
          <w:p>
            <w:pPr>
              <w:spacing w:after="0"/>
              <w:rPr>
                <w:sz w:val="20"/>
                <w:szCs w:val="20"/>
                <w:color w:val="auto"/>
              </w:rPr>
            </w:pPr>
            <w:r>
              <w:rPr>
                <w:rFonts w:ascii="Courier New" w:cs="Courier New" w:eastAsia="Courier New" w:hAnsi="Courier New"/>
                <w:sz w:val="18"/>
                <w:szCs w:val="18"/>
                <w:color w:val="auto"/>
              </w:rPr>
              <w:t>Preferred stock dividends</w:t>
            </w:r>
          </w:p>
        </w:tc>
        <w:tc>
          <w:tcPr>
            <w:tcW w:w="16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2.1</w:t>
            </w:r>
          </w:p>
        </w:tc>
        <w:tc>
          <w:tcPr>
            <w:tcW w:w="15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2.4</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NM</w:t>
            </w:r>
          </w:p>
        </w:tc>
        <w:tc>
          <w:tcPr>
            <w:tcW w:w="0" w:type="dxa"/>
            <w:vAlign w:val="bottom"/>
          </w:tcPr>
          <w:p>
            <w:pPr>
              <w:spacing w:after="0"/>
              <w:rPr>
                <w:sz w:val="1"/>
                <w:szCs w:val="1"/>
                <w:color w:val="auto"/>
              </w:rPr>
            </w:pPr>
          </w:p>
        </w:tc>
      </w:tr>
      <w:tr>
        <w:trPr>
          <w:trHeight w:val="296"/>
        </w:trPr>
        <w:tc>
          <w:tcPr>
            <w:tcW w:w="5440" w:type="dxa"/>
            <w:vAlign w:val="bottom"/>
          </w:tcPr>
          <w:p>
            <w:pPr>
              <w:spacing w:after="0"/>
              <w:rPr>
                <w:sz w:val="24"/>
                <w:szCs w:val="24"/>
                <w:color w:val="auto"/>
              </w:rPr>
            </w:pPr>
          </w:p>
        </w:tc>
        <w:tc>
          <w:tcPr>
            <w:tcW w:w="16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440" w:type="dxa"/>
            <w:vAlign w:val="bottom"/>
          </w:tcPr>
          <w:p>
            <w:pPr>
              <w:spacing w:after="0"/>
              <w:rPr>
                <w:sz w:val="20"/>
                <w:szCs w:val="20"/>
                <w:color w:val="auto"/>
              </w:rPr>
            </w:pPr>
            <w:r>
              <w:rPr>
                <w:rFonts w:ascii="Courier New" w:cs="Courier New" w:eastAsia="Courier New" w:hAnsi="Courier New"/>
                <w:sz w:val="18"/>
                <w:szCs w:val="18"/>
                <w:color w:val="auto"/>
              </w:rPr>
              <w:t>Loss applicable to common shareholders</w:t>
            </w:r>
          </w:p>
        </w:tc>
        <w:tc>
          <w:tcPr>
            <w:tcW w:w="16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(8.2)%</w:t>
            </w:r>
          </w:p>
        </w:tc>
        <w:tc>
          <w:tcPr>
            <w:tcW w:w="152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(6.5)%</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32.0%</w:t>
            </w:r>
          </w:p>
        </w:tc>
        <w:tc>
          <w:tcPr>
            <w:tcW w:w="0" w:type="dxa"/>
            <w:vAlign w:val="bottom"/>
          </w:tcPr>
          <w:p>
            <w:pPr>
              <w:spacing w:after="0"/>
              <w:rPr>
                <w:sz w:val="1"/>
                <w:szCs w:val="1"/>
                <w:color w:val="auto"/>
              </w:rPr>
            </w:pPr>
          </w:p>
        </w:tc>
      </w:tr>
      <w:tr>
        <w:trPr>
          <w:trHeight w:val="296"/>
        </w:trPr>
        <w:tc>
          <w:tcPr>
            <w:tcW w:w="5440" w:type="dxa"/>
            <w:vAlign w:val="bottom"/>
          </w:tcPr>
          <w:p>
            <w:pPr>
              <w:spacing w:after="0"/>
              <w:rPr>
                <w:sz w:val="24"/>
                <w:szCs w:val="24"/>
                <w:color w:val="auto"/>
              </w:rPr>
            </w:pPr>
          </w:p>
        </w:tc>
        <w:tc>
          <w:tcPr>
            <w:tcW w:w="16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jc w:val="both"/>
        <w:ind w:right="1779"/>
        <w:spacing w:after="0" w:line="252" w:lineRule="auto"/>
        <w:rPr>
          <w:sz w:val="20"/>
          <w:szCs w:val="20"/>
          <w:color w:val="auto"/>
        </w:rPr>
      </w:pPr>
      <w:r>
        <w:rPr>
          <w:rFonts w:ascii="Courier New" w:cs="Courier New" w:eastAsia="Courier New" w:hAnsi="Courier New"/>
          <w:sz w:val="18"/>
          <w:szCs w:val="18"/>
          <w:color w:val="auto"/>
        </w:rPr>
        <w:t>Net sales for the three months ended December 28, 1996 totaled $100.2 million, a decrease of $17.7 million or 15.1% compared to prior year. Management estimates that $13.7 million (11.6%) of this decrease was attributable to the discontinuance of the consumer lawns retailer early purchase program that encouraged retailers to build their inventories substantially in advance of the spring selling season. The remaining change in sales was attributable to lower domestic shipments ($5.3 million or 4.5%) due principally to customer demand moving closer to seasonal needs, partially offset by higher international sales of $1.3 million or 1.0%.</w:t>
      </w:r>
    </w:p>
    <w:p>
      <w:pPr>
        <w:spacing w:after="0" w:line="3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11</w:t>
      </w:r>
    </w:p>
    <w:p>
      <w:pPr>
        <w:sectPr>
          <w:pgSz w:w="11900" w:h="16838" w:orient="portrait"/>
          <w:cols w:equalWidth="0" w:num="1">
            <w:col w:w="10219"/>
          </w:cols>
          <w:pgMar w:left="240" w:top="691" w:right="1440" w:bottom="0" w:gutter="0" w:footer="0" w:header="0"/>
        </w:sectPr>
      </w:pPr>
    </w:p>
    <w:bookmarkStart w:id="11" w:name="page12"/>
    <w:bookmarkEnd w:id="11"/>
    <w:p>
      <w:pPr>
        <w:spacing w:after="0" w:line="61" w:lineRule="exact"/>
        <w:rPr>
          <w:sz w:val="20"/>
          <w:szCs w:val="20"/>
          <w:color w:val="auto"/>
        </w:rPr>
      </w:pPr>
    </w:p>
    <w:p>
      <w:pPr>
        <w:jc w:val="both"/>
        <w:ind w:right="1779"/>
        <w:spacing w:after="0" w:line="280" w:lineRule="auto"/>
        <w:rPr>
          <w:sz w:val="20"/>
          <w:szCs w:val="20"/>
          <w:color w:val="auto"/>
        </w:rPr>
      </w:pPr>
      <w:r>
        <w:rPr>
          <w:rFonts w:ascii="Courier New" w:cs="Courier New" w:eastAsia="Courier New" w:hAnsi="Courier New"/>
          <w:sz w:val="16"/>
          <w:szCs w:val="16"/>
          <w:color w:val="auto"/>
        </w:rPr>
        <w:t>Consumer Lawns Group net sales decreased $15.1 million or 31.2% to $33.4 million, primarily as a result of the discontinuance of the retailer early purchase program (approximately 28.2%). Consumer Gardens Group net sales decreased $1.5 million or 12.3% to $10.8 million. To take advantage of the gardens group distribution channels, the Company will be distributing grass seed through this group for the first time in fiscal 1997. This change resulted in a delay of overall gardens group shipments in order to optimize the in-season shelf life of grass seed products. Organics Business Group net sales decreased $1.2 million or 7.7% to $14.4 million, principally due to decreased emphasis on promotional discounting to drive volume. As anticipated, Professional Business Group net sales decreased $1.2 million or 4.5% to $25.0 million, due to the discontinuance of marginal products and customer arrangements. International Business Group net sales increased $1.3 million or 8.3% to $16.6 million, principally due to volume gains in the Asia/Pacific and Latin American regions.</w:t>
      </w:r>
    </w:p>
    <w:p>
      <w:pPr>
        <w:spacing w:after="0" w:line="290" w:lineRule="exact"/>
        <w:rPr>
          <w:sz w:val="20"/>
          <w:szCs w:val="20"/>
          <w:color w:val="auto"/>
        </w:rPr>
      </w:pPr>
    </w:p>
    <w:p>
      <w:pPr>
        <w:jc w:val="both"/>
        <w:ind w:right="1779"/>
        <w:spacing w:after="0" w:line="298" w:lineRule="auto"/>
        <w:rPr>
          <w:sz w:val="20"/>
          <w:szCs w:val="20"/>
          <w:color w:val="auto"/>
        </w:rPr>
      </w:pPr>
      <w:r>
        <w:rPr>
          <w:rFonts w:ascii="Courier New" w:cs="Courier New" w:eastAsia="Courier New" w:hAnsi="Courier New"/>
          <w:sz w:val="16"/>
          <w:szCs w:val="16"/>
          <w:color w:val="auto"/>
        </w:rPr>
        <w:t>Cost of sales were 53.7% of net sales for the three months ended December 28, 1996, a 1.2 percentage point decrease compared to 54.9% in the same period of the prior year. This improvement is attributable to the discontinuance of promotional programs to drive out-of-season sales, the discontinuance of lower margin professional and consumer products, a higher proportion of international sales with higher average margins and manufacturing efficiencies.</w:t>
      </w:r>
    </w:p>
    <w:p>
      <w:pPr>
        <w:spacing w:after="0" w:line="68" w:lineRule="exact"/>
        <w:rPr>
          <w:sz w:val="20"/>
          <w:szCs w:val="20"/>
          <w:color w:val="auto"/>
        </w:rPr>
      </w:pPr>
    </w:p>
    <w:p>
      <w:pPr>
        <w:jc w:val="both"/>
        <w:ind w:right="1779"/>
        <w:spacing w:after="0" w:line="249" w:lineRule="auto"/>
        <w:rPr>
          <w:sz w:val="20"/>
          <w:szCs w:val="20"/>
          <w:color w:val="auto"/>
        </w:rPr>
      </w:pPr>
      <w:r>
        <w:rPr>
          <w:rFonts w:ascii="Courier New" w:cs="Courier New" w:eastAsia="Courier New" w:hAnsi="Courier New"/>
          <w:sz w:val="18"/>
          <w:szCs w:val="18"/>
          <w:color w:val="auto"/>
        </w:rPr>
        <w:t>Operating expenses decreased $11.3 million or 19.0% to $48.0 million. Operating expenses were 47.9% of net sales, compared to 50.2% in the prior year. Excluding unusual items in the first quarter of fiscal 1996, operating expenses decreased $9.2 million or 16.1% and represented 48.5% of net sales in the prior period. Marketing expense decreased from 23.4% to 21.8% of net sales or 20.9% compared to the prior period, reflecting the 15.1% decrease in net sales and the more cost-effective marketing programs. While the Company anticipates that marketing expense will be slightly lower as a percentage of sales for all of fiscal 1997, the strategy to emphasize consumer directed media will concentrate a greater proportion of the Company's annual marketing expense in the second and third quarters.</w:t>
      </w:r>
    </w:p>
    <w:p>
      <w:pPr>
        <w:spacing w:after="0" w:line="104" w:lineRule="exact"/>
        <w:rPr>
          <w:sz w:val="20"/>
          <w:szCs w:val="20"/>
          <w:color w:val="auto"/>
        </w:rPr>
      </w:pPr>
    </w:p>
    <w:p>
      <w:pPr>
        <w:jc w:val="both"/>
        <w:ind w:right="1779"/>
        <w:spacing w:after="0" w:line="260" w:lineRule="auto"/>
        <w:rPr>
          <w:sz w:val="20"/>
          <w:szCs w:val="20"/>
          <w:color w:val="auto"/>
        </w:rPr>
      </w:pPr>
      <w:r>
        <w:rPr>
          <w:rFonts w:ascii="Courier New" w:cs="Courier New" w:eastAsia="Courier New" w:hAnsi="Courier New"/>
          <w:sz w:val="18"/>
          <w:szCs w:val="18"/>
          <w:color w:val="auto"/>
        </w:rPr>
        <w:t>Distribution expense decreased from 14.0% to 13.7% of net sales or 16.9% compared to the prior period, principally due to lower sales volumes and to a lesser extent more efficient distribution of higher margin products. All major expense categories, including General and Administrative expense (down by 9.5%) reflected the favorable impact of restructuring moves taken in 1996 and ongoing cost control efforts.</w:t>
      </w:r>
    </w:p>
    <w:p>
      <w:pPr>
        <w:spacing w:after="0" w:line="93" w:lineRule="exact"/>
        <w:rPr>
          <w:sz w:val="20"/>
          <w:szCs w:val="20"/>
          <w:color w:val="auto"/>
        </w:rPr>
      </w:pPr>
    </w:p>
    <w:p>
      <w:pPr>
        <w:jc w:val="both"/>
        <w:ind w:right="1779"/>
        <w:spacing w:after="0" w:line="265" w:lineRule="auto"/>
        <w:rPr>
          <w:sz w:val="20"/>
          <w:szCs w:val="20"/>
          <w:color w:val="auto"/>
        </w:rPr>
      </w:pPr>
      <w:r>
        <w:rPr>
          <w:rFonts w:ascii="Courier New" w:cs="Courier New" w:eastAsia="Courier New" w:hAnsi="Courier New"/>
          <w:sz w:val="18"/>
          <w:szCs w:val="18"/>
          <w:color w:val="auto"/>
        </w:rPr>
        <w:t>Due to the seasonal nature of its operations, the Company experienced an operating loss of $1.6 million for the three months ended December 28, 1996. Including unusual items in the prior year, this was a $4.4 million or 72.9% improvement; excluding unusual items in the prior year, this was a $2.3 million or 58.9% improvement.</w:t>
      </w:r>
    </w:p>
    <w:p>
      <w:pPr>
        <w:spacing w:after="0" w:line="90" w:lineRule="exact"/>
        <w:rPr>
          <w:sz w:val="20"/>
          <w:szCs w:val="20"/>
          <w:color w:val="auto"/>
        </w:rPr>
      </w:pPr>
    </w:p>
    <w:p>
      <w:pPr>
        <w:jc w:val="both"/>
        <w:ind w:right="1779"/>
        <w:spacing w:after="0" w:line="292" w:lineRule="auto"/>
        <w:rPr>
          <w:sz w:val="20"/>
          <w:szCs w:val="20"/>
          <w:color w:val="auto"/>
        </w:rPr>
      </w:pPr>
      <w:r>
        <w:rPr>
          <w:rFonts w:ascii="Courier New" w:cs="Courier New" w:eastAsia="Courier New" w:hAnsi="Courier New"/>
          <w:sz w:val="18"/>
          <w:szCs w:val="18"/>
          <w:color w:val="auto"/>
        </w:rPr>
        <w:t>Interest expense decreased $1.0 million or 15.6%, principally due to a $55.2 million reduction in average borrowings for the three month period ended December 28, 1996 compared to the same period in the prior year.</w:t>
      </w:r>
    </w:p>
    <w:p>
      <w:pPr>
        <w:spacing w:after="0" w:line="66" w:lineRule="exact"/>
        <w:rPr>
          <w:sz w:val="20"/>
          <w:szCs w:val="20"/>
          <w:color w:val="auto"/>
        </w:rPr>
      </w:pPr>
    </w:p>
    <w:p>
      <w:pPr>
        <w:jc w:val="both"/>
        <w:ind w:right="1779"/>
        <w:spacing w:after="0" w:line="292" w:lineRule="auto"/>
        <w:rPr>
          <w:sz w:val="20"/>
          <w:szCs w:val="20"/>
          <w:color w:val="auto"/>
        </w:rPr>
      </w:pPr>
      <w:r>
        <w:rPr>
          <w:rFonts w:ascii="Courier New" w:cs="Courier New" w:eastAsia="Courier New" w:hAnsi="Courier New"/>
          <w:sz w:val="18"/>
          <w:szCs w:val="18"/>
          <w:color w:val="auto"/>
        </w:rPr>
        <w:t>The Company's effective tax rate was 43.2% in both periods. The Company's effective tax rate is slightly higher than statutory rates due to non-tax deductible amortization of goodwill and certain intangibles in the U. S.</w:t>
      </w:r>
    </w:p>
    <w:p>
      <w:pPr>
        <w:spacing w:after="0" w:line="66" w:lineRule="exact"/>
        <w:rPr>
          <w:sz w:val="20"/>
          <w:szCs w:val="20"/>
          <w:color w:val="auto"/>
        </w:rPr>
      </w:pPr>
    </w:p>
    <w:p>
      <w:pPr>
        <w:jc w:val="both"/>
        <w:ind w:right="1779"/>
        <w:spacing w:after="0" w:line="252" w:lineRule="auto"/>
        <w:rPr>
          <w:sz w:val="20"/>
          <w:szCs w:val="20"/>
          <w:color w:val="auto"/>
        </w:rPr>
      </w:pPr>
      <w:r>
        <w:rPr>
          <w:rFonts w:ascii="Courier New" w:cs="Courier New" w:eastAsia="Courier New" w:hAnsi="Courier New"/>
          <w:sz w:val="18"/>
          <w:szCs w:val="18"/>
          <w:color w:val="auto"/>
        </w:rPr>
        <w:t>During the three month period ended December 28, 1996, the Company reported a net loss of $4.1 million or $.35 per common share compared with a net loss of $7.2 million or $.51 per common share. Excluding unusual items, the prior year net loss would have been approximately $6.0 million or $.45 per common share. The improvement made in first quarter results reflects the positive impact of changes in selling programs, improved gross margins, ongoing cost control efforts and lower average borrowings, partially offset by the impact of lower sales. The Company's results of operations for the three months ended December 28, 1996 are in line with management's expectations.</w:t>
      </w:r>
    </w:p>
    <w:p>
      <w:pPr>
        <w:spacing w:after="0" w:line="3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12</w:t>
      </w:r>
    </w:p>
    <w:p>
      <w:pPr>
        <w:sectPr>
          <w:pgSz w:w="11900" w:h="16838" w:orient="portrait"/>
          <w:cols w:equalWidth="0" w:num="1">
            <w:col w:w="10219"/>
          </w:cols>
          <w:pgMar w:left="240" w:top="1440"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1" w:lineRule="exact"/>
        <w:rPr>
          <w:sz w:val="20"/>
          <w:szCs w:val="20"/>
          <w:color w:val="auto"/>
        </w:rPr>
      </w:pPr>
    </w:p>
    <w:p>
      <w:pPr>
        <w:jc w:val="both"/>
        <w:ind w:right="1779"/>
        <w:spacing w:after="0" w:line="252" w:lineRule="auto"/>
        <w:rPr>
          <w:sz w:val="20"/>
          <w:szCs w:val="20"/>
          <w:color w:val="auto"/>
        </w:rPr>
      </w:pPr>
      <w:r>
        <w:rPr>
          <w:rFonts w:ascii="Courier New" w:cs="Courier New" w:eastAsia="Courier New" w:hAnsi="Courier New"/>
          <w:sz w:val="18"/>
          <w:szCs w:val="18"/>
          <w:color w:val="auto"/>
        </w:rPr>
        <w:t>Cash used in operating activities totaled $63.9 million for the three month period ended December 28, 1996 compared to $81.2 million in the prior period. The seasonal nature of the Company's operations results in a significant increase in working capital (primarily inventory and accounts receivable) during the first and second fiscal quarters. The third fiscal quarter is a significant period for collecting accounts receivable. The lower level of cash used in operating activities in the current period is principally attributable to the discontinuance of the consumer lawns retailer promotional program, which reduced first quarter sales, and to better inventory management.</w:t>
      </w:r>
    </w:p>
    <w:p>
      <w:pPr>
        <w:spacing w:after="0" w:line="99" w:lineRule="exact"/>
        <w:rPr>
          <w:sz w:val="20"/>
          <w:szCs w:val="20"/>
          <w:color w:val="auto"/>
        </w:rPr>
      </w:pPr>
    </w:p>
    <w:p>
      <w:pPr>
        <w:jc w:val="both"/>
        <w:ind w:right="1779"/>
        <w:spacing w:after="0" w:line="285" w:lineRule="auto"/>
        <w:rPr>
          <w:sz w:val="20"/>
          <w:szCs w:val="20"/>
          <w:color w:val="auto"/>
        </w:rPr>
      </w:pPr>
      <w:r>
        <w:rPr>
          <w:rFonts w:ascii="Courier New" w:cs="Courier New" w:eastAsia="Courier New" w:hAnsi="Courier New"/>
          <w:sz w:val="16"/>
          <w:szCs w:val="16"/>
          <w:color w:val="auto"/>
        </w:rPr>
        <w:t>Cash used in investing activities totaled $1.3 million compared to $3.6 in the prior year. This decrease is principally due to the timing of capital projects. The Company estimates that fiscal 1997 capital investments will be $25 million to $30 million compared to $18.2 million in the prior year. These capital investments will be financed with cash provided by operations and utilization of available credit facilities. The largest project will be an approximately $9.0 million expansion of the Marysville distribution facility, estimated to generate annual distribution expense savings of at least $1.5 million beginning in fiscal 1998. The Company's Fourth Amended and Restated Credit Agreement (the "Credit Agreement") restricts annual capital investments to $50 million.</w:t>
      </w:r>
    </w:p>
    <w:p>
      <w:pPr>
        <w:spacing w:after="0" w:line="76" w:lineRule="exact"/>
        <w:rPr>
          <w:sz w:val="20"/>
          <w:szCs w:val="20"/>
          <w:color w:val="auto"/>
        </w:rPr>
      </w:pPr>
    </w:p>
    <w:p>
      <w:pPr>
        <w:jc w:val="both"/>
        <w:ind w:right="1779"/>
        <w:spacing w:after="0" w:line="265" w:lineRule="auto"/>
        <w:rPr>
          <w:sz w:val="20"/>
          <w:szCs w:val="20"/>
          <w:color w:val="auto"/>
        </w:rPr>
      </w:pPr>
      <w:r>
        <w:rPr>
          <w:rFonts w:ascii="Courier New" w:cs="Courier New" w:eastAsia="Courier New" w:hAnsi="Courier New"/>
          <w:sz w:val="18"/>
          <w:szCs w:val="18"/>
          <w:color w:val="auto"/>
        </w:rPr>
        <w:t>Financing activities provided $60.3 million for the three month period ended December 28, 1996 compared to $85.9 million in the prior period. Financing activities are principally supported by the Company's Credit Agreement. The lower level of incremental borrowings in the first quarter of fiscal 1997 compared to the prior year is a result of lower working capital requirements.</w:t>
      </w:r>
    </w:p>
    <w:p>
      <w:pPr>
        <w:spacing w:after="0" w:line="90" w:lineRule="exact"/>
        <w:rPr>
          <w:sz w:val="20"/>
          <w:szCs w:val="20"/>
          <w:color w:val="auto"/>
        </w:rPr>
      </w:pPr>
    </w:p>
    <w:p>
      <w:pPr>
        <w:jc w:val="both"/>
        <w:ind w:right="1779"/>
        <w:spacing w:after="0" w:line="298" w:lineRule="auto"/>
        <w:rPr>
          <w:sz w:val="20"/>
          <w:szCs w:val="20"/>
          <w:color w:val="auto"/>
        </w:rPr>
      </w:pPr>
      <w:r>
        <w:rPr>
          <w:rFonts w:ascii="Courier New" w:cs="Courier New" w:eastAsia="Courier New" w:hAnsi="Courier New"/>
          <w:sz w:val="16"/>
          <w:szCs w:val="16"/>
          <w:color w:val="auto"/>
        </w:rPr>
        <w:t>Total debt increased by $63.0 million compared with debt at September 30, 1996 and decreased by $73.0 million compared with total debt at December 30, 1995. The increase as compared to September 30, 1996 was to support increased working capital and capital expenditures. The decrease compared to December 30, 1995 was attributable to positive cash flow generated in fiscal 1996 and lower overall working capital increases in the current period versus the prior year.</w:t>
      </w:r>
    </w:p>
    <w:p>
      <w:pPr>
        <w:spacing w:after="0" w:line="68" w:lineRule="exact"/>
        <w:rPr>
          <w:sz w:val="20"/>
          <w:szCs w:val="20"/>
          <w:color w:val="auto"/>
        </w:rPr>
      </w:pPr>
    </w:p>
    <w:p>
      <w:pPr>
        <w:jc w:val="both"/>
        <w:ind w:right="1779"/>
        <w:spacing w:after="0" w:line="250" w:lineRule="auto"/>
        <w:rPr>
          <w:sz w:val="20"/>
          <w:szCs w:val="20"/>
          <w:color w:val="auto"/>
        </w:rPr>
      </w:pPr>
      <w:r>
        <w:rPr>
          <w:rFonts w:ascii="Courier New" w:cs="Courier New" w:eastAsia="Courier New" w:hAnsi="Courier New"/>
          <w:sz w:val="18"/>
          <w:szCs w:val="18"/>
          <w:color w:val="auto"/>
        </w:rPr>
        <w:t>Shareholders' equity as of December 28, 1996 was $357.0 million representing a $7.3 million decrease compared to September 30, 1996 and a $14.0 million decrease compared to December 30, 1995. The decrease compared to September 30, 1996 was due to the net loss of $4.1 million, Convertible Preferred Stock dividends of $2.4 million and an unfavorable change in the cumulative foreign currency adjustment of $0.8 million. The decrease compared to December 30, 1995 was due to the net income for the twelve month period ended December 28, 1996 of $0.6 million offset by Convertible Preferred Stock dividends of $9.8 million, net treasury stock purchases of $2.4 million and an unfavorable change in the cumulative foreign currency adjustment of $2.4 million.</w:t>
      </w:r>
    </w:p>
    <w:p>
      <w:pPr>
        <w:spacing w:after="0" w:line="104" w:lineRule="exact"/>
        <w:rPr>
          <w:sz w:val="20"/>
          <w:szCs w:val="20"/>
          <w:color w:val="auto"/>
        </w:rPr>
      </w:pPr>
    </w:p>
    <w:p>
      <w:pPr>
        <w:jc w:val="both"/>
        <w:ind w:right="1779"/>
        <w:spacing w:after="0" w:line="260" w:lineRule="auto"/>
        <w:rPr>
          <w:sz w:val="20"/>
          <w:szCs w:val="20"/>
          <w:color w:val="auto"/>
        </w:rPr>
      </w:pPr>
      <w:r>
        <w:rPr>
          <w:rFonts w:ascii="Courier New" w:cs="Courier New" w:eastAsia="Courier New" w:hAnsi="Courier New"/>
          <w:sz w:val="18"/>
          <w:szCs w:val="18"/>
          <w:color w:val="auto"/>
        </w:rPr>
        <w:t>The primary sources of liquidity for the Company are funds generated by operations and borrowings under the Company's Credit Agreement. The Credit Agreement was amended in December 1996. The most recent amendment provides for an increase in the available line-of-credit from $375 million to $425 million, and provides that up to the equivalent of $100 million of the available credit may be borrowed in British pounds sterling.</w:t>
      </w:r>
    </w:p>
    <w:p>
      <w:pPr>
        <w:spacing w:after="0" w:line="93" w:lineRule="exact"/>
        <w:rPr>
          <w:sz w:val="20"/>
          <w:szCs w:val="20"/>
          <w:color w:val="auto"/>
        </w:rPr>
      </w:pPr>
    </w:p>
    <w:p>
      <w:pPr>
        <w:jc w:val="both"/>
        <w:ind w:right="1779"/>
        <w:spacing w:after="0" w:line="248" w:lineRule="auto"/>
        <w:rPr>
          <w:sz w:val="20"/>
          <w:szCs w:val="20"/>
          <w:color w:val="auto"/>
        </w:rPr>
      </w:pPr>
      <w:r>
        <w:rPr>
          <w:rFonts w:ascii="Courier New" w:cs="Courier New" w:eastAsia="Courier New" w:hAnsi="Courier New"/>
          <w:sz w:val="18"/>
          <w:szCs w:val="18"/>
          <w:color w:val="auto"/>
        </w:rPr>
        <w:t>The Company has foreign exchange rate risk related to international operations and cash flows. The Company utilizes a program which is designed to minimize the exposure to adverse currency impacts on the cash value of the Company's non-local currency receivables and payables, as well as the associated earnings impact. The Company enters into forward foreign exchange contracts and purchase currency options tied to the economic value of receivables and payables and expected cash flows denominated in non-local foreign currencies. Management anticipates that these financial instruments will act as an effective hedge against the potential adverse impact of exchange rate fluctuations on the Company's results of operations, financial condition and liquidity. It is recognized, however, that the program will minimize but not completely eliminate the Company's exposure to adverse currency movements.</w:t>
      </w:r>
    </w:p>
    <w:p>
      <w:pPr>
        <w:spacing w:after="0" w:line="30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13</w:t>
      </w:r>
    </w:p>
    <w:p>
      <w:pPr>
        <w:sectPr>
          <w:pgSz w:w="11900" w:h="16838" w:orient="portrait"/>
          <w:cols w:equalWidth="0" w:num="1">
            <w:col w:w="10219"/>
          </w:cols>
          <w:pgMar w:left="240" w:top="893" w:right="1440" w:bottom="1440" w:gutter="0" w:footer="0" w:header="0"/>
        </w:sectPr>
      </w:pPr>
    </w:p>
    <w:bookmarkStart w:id="13" w:name="page14"/>
    <w:bookmarkEnd w:id="13"/>
    <w:p>
      <w:pPr>
        <w:jc w:val="both"/>
        <w:ind w:right="1779"/>
        <w:spacing w:after="0" w:line="252" w:lineRule="auto"/>
        <w:rPr>
          <w:sz w:val="20"/>
          <w:szCs w:val="20"/>
          <w:color w:val="auto"/>
        </w:rPr>
      </w:pPr>
      <w:r>
        <w:rPr>
          <w:rFonts w:ascii="Courier New" w:cs="Courier New" w:eastAsia="Courier New" w:hAnsi="Courier New"/>
          <w:sz w:val="18"/>
          <w:szCs w:val="18"/>
          <w:color w:val="auto"/>
        </w:rPr>
        <w:t>As of December 28, 1996, the Company's European operations had foreign exchange risk in various European currencies tied to the Dutch Guilder. These currencies include the Belgian Franc, German Mark, Spanish Peseta, French Franc, British Pound, Italian Lire, and the Australian Dollar and U. S. Dollar. The Company's U. S. operations had foreign exchange rate risk in the Canadian Dollar, Dutch Guilder and the British Pound which are tied to the U. S. Dollar. As of December 28, 1996, there were outstanding forward foreign exchange contracts with a value of approximately $18.3 million. These contracts had maturity dates ranging from January 28, 1997 to June 24, 1997.</w:t>
      </w:r>
    </w:p>
    <w:p>
      <w:pPr>
        <w:spacing w:after="0" w:line="99" w:lineRule="exact"/>
        <w:rPr>
          <w:sz w:val="20"/>
          <w:szCs w:val="20"/>
          <w:color w:val="auto"/>
        </w:rPr>
      </w:pPr>
    </w:p>
    <w:p>
      <w:pPr>
        <w:jc w:val="both"/>
        <w:ind w:right="1779"/>
        <w:spacing w:after="0" w:line="292" w:lineRule="auto"/>
        <w:rPr>
          <w:sz w:val="20"/>
          <w:szCs w:val="20"/>
          <w:color w:val="auto"/>
        </w:rPr>
      </w:pPr>
      <w:r>
        <w:rPr>
          <w:rFonts w:ascii="Courier New" w:cs="Courier New" w:eastAsia="Courier New" w:hAnsi="Courier New"/>
          <w:sz w:val="18"/>
          <w:szCs w:val="18"/>
          <w:color w:val="auto"/>
        </w:rPr>
        <w:t>In the opinion of the Company's management, cash flows from operations and capital resources will be sufficient to meet debt service and working capital needs during the 1997 fiscal year.</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Inflation</w:t>
      </w:r>
    </w:p>
    <w:p>
      <w:pPr>
        <w:spacing w:after="0" w:line="201" w:lineRule="exact"/>
        <w:rPr>
          <w:sz w:val="20"/>
          <w:szCs w:val="20"/>
          <w:color w:val="auto"/>
        </w:rPr>
      </w:pPr>
    </w:p>
    <w:p>
      <w:pPr>
        <w:jc w:val="both"/>
        <w:ind w:right="1779"/>
        <w:spacing w:after="0" w:line="292" w:lineRule="auto"/>
        <w:rPr>
          <w:sz w:val="20"/>
          <w:szCs w:val="20"/>
          <w:color w:val="auto"/>
        </w:rPr>
      </w:pPr>
      <w:r>
        <w:rPr>
          <w:rFonts w:ascii="Courier New" w:cs="Courier New" w:eastAsia="Courier New" w:hAnsi="Courier New"/>
          <w:sz w:val="18"/>
          <w:szCs w:val="18"/>
          <w:color w:val="auto"/>
        </w:rPr>
        <w:t>The Company is subject to the effects of changing prices. The Company has, however, generally been able to pass along inflationary increases in its costs by increasing the prices of its products.</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Environmental Matters</w:t>
      </w:r>
    </w:p>
    <w:p>
      <w:pPr>
        <w:spacing w:after="0" w:line="201" w:lineRule="exact"/>
        <w:rPr>
          <w:sz w:val="20"/>
          <w:szCs w:val="20"/>
          <w:color w:val="auto"/>
        </w:rPr>
      </w:pPr>
    </w:p>
    <w:p>
      <w:pPr>
        <w:jc w:val="both"/>
        <w:ind w:right="1779"/>
        <w:spacing w:after="0" w:line="277" w:lineRule="auto"/>
        <w:rPr>
          <w:sz w:val="20"/>
          <w:szCs w:val="20"/>
          <w:color w:val="auto"/>
        </w:rPr>
      </w:pPr>
      <w:r>
        <w:rPr>
          <w:rFonts w:ascii="Courier New" w:cs="Courier New" w:eastAsia="Courier New" w:hAnsi="Courier New"/>
          <w:sz w:val="16"/>
          <w:szCs w:val="16"/>
          <w:color w:val="auto"/>
        </w:rPr>
        <w:t>The Company is subject to local, state, federal and foreign environmental protection laws and regulations with respect to its business operations and believes it is operating in substantial compliance with, or taking action aimed at ensuring compliance with, such laws and regulations. The Company is involved in several environmental related legal actions with various governmental agencies. While it is difficult to quantify the potential financial impact of actions involving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 not have a material adverse effect on the Company's financial position; however, there can be no assurance that future quarterly or annual operating results will not be materially affected by the resolution of these matters. Additional information on environmental matters affecting the Company is provided in Note 9 to the Company's Consolidated Financial Statements and in the Annual Report on Form 10-K to the Securities and Exchange Commission for the year ended September 30, 1996 under the "Business" and "Legal Proceedings" sections.</w:t>
      </w:r>
    </w:p>
    <w:p>
      <w:pPr>
        <w:spacing w:after="0" w:line="29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Accounting Issues</w:t>
      </w:r>
    </w:p>
    <w:p>
      <w:pPr>
        <w:spacing w:after="0" w:line="201" w:lineRule="exact"/>
        <w:rPr>
          <w:sz w:val="20"/>
          <w:szCs w:val="20"/>
          <w:color w:val="auto"/>
        </w:rPr>
      </w:pPr>
    </w:p>
    <w:p>
      <w:pPr>
        <w:jc w:val="both"/>
        <w:ind w:right="1779"/>
        <w:spacing w:after="0" w:line="249" w:lineRule="auto"/>
        <w:rPr>
          <w:sz w:val="20"/>
          <w:szCs w:val="20"/>
          <w:color w:val="auto"/>
        </w:rPr>
      </w:pPr>
      <w:r>
        <w:rPr>
          <w:rFonts w:ascii="Courier New" w:cs="Courier New" w:eastAsia="Courier New" w:hAnsi="Courier New"/>
          <w:sz w:val="18"/>
          <w:szCs w:val="18"/>
          <w:color w:val="auto"/>
        </w:rPr>
        <w:t>In October 1995, the Financial Accounting Standards Board issued SFAS No. 123, "Accounting for Stock-Based Compensation", effective for financial statements for fiscal years beginning after December 15, 1995. SFAS No. 123 provides for, but does not require, a fair value method of accounting for stock-based compensation arrangements rather than the intrinsic value method previously required. Alternatively, entities that retain the intrinsic value method are required to disclose in the notes to the financial statements pro forma net income and earnings per share information as if the fair value method had been applied. The Company does not intend to adopt the fair value method of SFAS No. 123; therefore, this standard will not have a material effect on the Company's consolidated financial statements.</w:t>
      </w:r>
    </w:p>
    <w:p>
      <w:pPr>
        <w:spacing w:after="0" w:line="3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14</w:t>
      </w:r>
    </w:p>
    <w:p>
      <w:pPr>
        <w:sectPr>
          <w:pgSz w:w="11900" w:h="16838" w:orient="portrait"/>
          <w:cols w:equalWidth="0" w:num="1">
            <w:col w:w="10219"/>
          </w:cols>
          <w:pgMar w:left="240" w:top="893"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Recent Developments</w:t>
      </w:r>
    </w:p>
    <w:p>
      <w:pPr>
        <w:spacing w:after="0" w:line="201" w:lineRule="exact"/>
        <w:rPr>
          <w:sz w:val="20"/>
          <w:szCs w:val="20"/>
          <w:color w:val="auto"/>
        </w:rPr>
      </w:pPr>
    </w:p>
    <w:p>
      <w:pPr>
        <w:jc w:val="both"/>
        <w:ind w:right="1779"/>
        <w:spacing w:after="0" w:line="318" w:lineRule="auto"/>
        <w:rPr>
          <w:sz w:val="20"/>
          <w:szCs w:val="20"/>
          <w:color w:val="auto"/>
        </w:rPr>
      </w:pPr>
      <w:r>
        <w:rPr>
          <w:rFonts w:ascii="Courier New" w:cs="Courier New" w:eastAsia="Courier New" w:hAnsi="Courier New"/>
          <w:sz w:val="16"/>
          <w:szCs w:val="16"/>
          <w:color w:val="auto"/>
        </w:rPr>
        <w:t>On January 13, 1997, the Company acquired the approximately two-thirds interest in Miracle Holdings Limited ("Miracle Holdings") which the Company did not already own. Miracle Holdings owns Miracle Garden Care Limited, a manufacturer and distributor of lawn and garden products in the United Kingdom.</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Outlook for the remainder of 1997</w:t>
      </w:r>
    </w:p>
    <w:p>
      <w:pPr>
        <w:spacing w:after="0" w:line="201" w:lineRule="exact"/>
        <w:rPr>
          <w:sz w:val="20"/>
          <w:szCs w:val="20"/>
          <w:color w:val="auto"/>
        </w:rPr>
      </w:pPr>
    </w:p>
    <w:p>
      <w:pPr>
        <w:jc w:val="both"/>
        <w:ind w:right="1779"/>
        <w:spacing w:after="0" w:line="298" w:lineRule="auto"/>
        <w:rPr>
          <w:sz w:val="20"/>
          <w:szCs w:val="20"/>
          <w:color w:val="auto"/>
        </w:rPr>
      </w:pPr>
      <w:r>
        <w:rPr>
          <w:rFonts w:ascii="Courier New" w:cs="Courier New" w:eastAsia="Courier New" w:hAnsi="Courier New"/>
          <w:sz w:val="16"/>
          <w:szCs w:val="16"/>
          <w:color w:val="auto"/>
        </w:rPr>
        <w:t>Looking forward to the remainder of 1997, management expects the discontinuance of the consumer lawns retailer early purchase program, the realignment of the business groups designed to provide better focus on and accountability for performance, and the positive impacts of the recent restructurings will return the Company to profitability in 1997. However, these changes, along with inherent risks of a seasonal business, present several challenges for 1997.</w:t>
      </w:r>
    </w:p>
    <w:p>
      <w:pPr>
        <w:spacing w:after="0" w:line="68" w:lineRule="exact"/>
        <w:rPr>
          <w:sz w:val="20"/>
          <w:szCs w:val="20"/>
          <w:color w:val="auto"/>
        </w:rPr>
      </w:pPr>
    </w:p>
    <w:p>
      <w:pPr>
        <w:jc w:val="both"/>
        <w:ind w:right="1779"/>
        <w:spacing w:after="0" w:line="248" w:lineRule="auto"/>
        <w:rPr>
          <w:sz w:val="20"/>
          <w:szCs w:val="20"/>
          <w:color w:val="auto"/>
        </w:rPr>
      </w:pPr>
      <w:r>
        <w:rPr>
          <w:rFonts w:ascii="Courier New" w:cs="Courier New" w:eastAsia="Courier New" w:hAnsi="Courier New"/>
          <w:sz w:val="18"/>
          <w:szCs w:val="18"/>
          <w:color w:val="auto"/>
        </w:rPr>
        <w:t>The Consumer Lawns Group's marketing strategy has been refocused on consumer directed, "pull" advertising and less on the retailer directed, "push" promotional programs heavily relied upon in recent years. Although presentations to retailers indicate encouraging acceptance of these new marketing and promotional programs, the success thereof and the impact of the change in the pre-season selling programs is unknown. On a pro forma basis, the Company has historically generated 66% to 68% of its annual revenues in its second and third fiscal quarters. Management expects this relationship to continue or to become slightly more pronounced with the change in the consumer lawns marketing and promotional programs. Spring weather conditions in North America are also a significant factor impacting sales of the Company's products, especially in the early spring selling season.</w:t>
      </w:r>
    </w:p>
    <w:p>
      <w:pPr>
        <w:spacing w:after="0" w:line="105" w:lineRule="exact"/>
        <w:rPr>
          <w:sz w:val="20"/>
          <w:szCs w:val="20"/>
          <w:color w:val="auto"/>
        </w:rPr>
      </w:pPr>
    </w:p>
    <w:p>
      <w:pPr>
        <w:jc w:val="both"/>
        <w:ind w:right="1779"/>
        <w:spacing w:after="0" w:line="250" w:lineRule="auto"/>
        <w:rPr>
          <w:sz w:val="20"/>
          <w:szCs w:val="20"/>
          <w:color w:val="auto"/>
        </w:rPr>
      </w:pPr>
      <w:r>
        <w:rPr>
          <w:rFonts w:ascii="Courier New" w:cs="Courier New" w:eastAsia="Courier New" w:hAnsi="Courier New"/>
          <w:sz w:val="18"/>
          <w:szCs w:val="18"/>
          <w:color w:val="auto"/>
        </w:rPr>
        <w:t>Management expects 1997 gross profit margins to continue to show improvement over 1996 as a result of the anticipated recovery of the relatively higher margin consumer lawns business, higher volumes increasing manufacturing efficiencies, and the discontinuance of certain lower margin products. In the last quarter of 1997, the Company plans to change over to plastic packaging for its key consumer lawns products and update the technology of one of its key manufacturing lines. These planned changes, along with the general direction toward simplifying its product lines, may put temporary downward pressure on gross profit margins during the transition period as new processes start up and old products are phased out.</w:t>
      </w:r>
    </w:p>
    <w:p>
      <w:pPr>
        <w:spacing w:after="0" w:line="104" w:lineRule="exact"/>
        <w:rPr>
          <w:sz w:val="20"/>
          <w:szCs w:val="20"/>
          <w:color w:val="auto"/>
        </w:rPr>
      </w:pPr>
    </w:p>
    <w:p>
      <w:pPr>
        <w:jc w:val="both"/>
        <w:ind w:right="1779"/>
        <w:spacing w:after="0" w:line="347" w:lineRule="auto"/>
        <w:rPr>
          <w:sz w:val="20"/>
          <w:szCs w:val="20"/>
          <w:color w:val="auto"/>
        </w:rPr>
      </w:pPr>
      <w:r>
        <w:rPr>
          <w:rFonts w:ascii="Courier New" w:cs="Courier New" w:eastAsia="Courier New" w:hAnsi="Courier New"/>
          <w:sz w:val="18"/>
          <w:szCs w:val="18"/>
          <w:color w:val="auto"/>
        </w:rPr>
        <w:t>The Company expects a lower effective tax rate in 1997 in the range of 42% to 44%, principally as a result of the anticipated return to profitability.</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w:t>
      </w:r>
    </w:p>
    <w:p>
      <w:pPr>
        <w:spacing w:after="0" w:line="31" w:lineRule="exact"/>
        <w:rPr>
          <w:sz w:val="20"/>
          <w:szCs w:val="20"/>
          <w:color w:val="auto"/>
        </w:rPr>
      </w:pPr>
    </w:p>
    <w:p>
      <w:pPr>
        <w:jc w:val="both"/>
        <w:ind w:right="1779"/>
        <w:spacing w:after="0" w:line="281" w:lineRule="auto"/>
        <w:rPr>
          <w:sz w:val="20"/>
          <w:szCs w:val="20"/>
          <w:color w:val="auto"/>
        </w:rPr>
      </w:pPr>
      <w:r>
        <w:rPr>
          <w:rFonts w:ascii="Courier New" w:cs="Courier New" w:eastAsia="Courier New" w:hAnsi="Courier New"/>
          <w:sz w:val="16"/>
          <w:szCs w:val="16"/>
          <w:color w:val="auto"/>
        </w:rPr>
        <w:t>Safe Harbor Statement under the Private Securities Litigation Act of 1995. The statements contained in this report which are not historical fact are "forward looking statements" that involve various important risks, uncertainties, and other factors which could cause the Company's actual results for 1997 and beyond to differ materially from those expressed in such forward looking statements. These important factors include, without limitation, the risks and factors set forth above in "Outlook for the remainder of 1997" as well as other risks previously disclosed in the Company's letters to shareholders and analysts, press releases and filings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15</w:t>
      </w:r>
    </w:p>
    <w:p>
      <w:pPr>
        <w:sectPr>
          <w:pgSz w:w="11900" w:h="16838" w:orient="portrait"/>
          <w:cols w:equalWidth="0" w:num="1">
            <w:col w:w="10219"/>
          </w:cols>
          <w:pgMar w:left="240" w:top="893" w:right="1440" w:bottom="1440" w:gutter="0" w:footer="0" w:header="0"/>
        </w:sectPr>
      </w:pPr>
    </w:p>
    <w:bookmarkStart w:id="15" w:name="page16"/>
    <w:bookmarkEnd w:id="15"/>
    <w:p>
      <w:pPr>
        <w:ind w:left="2860"/>
        <w:spacing w:after="0"/>
        <w:rPr>
          <w:sz w:val="20"/>
          <w:szCs w:val="20"/>
          <w:color w:val="auto"/>
        </w:rPr>
      </w:pPr>
      <w:r>
        <w:rPr>
          <w:rFonts w:ascii="Courier New" w:cs="Courier New" w:eastAsia="Courier New" w:hAnsi="Courier New"/>
          <w:sz w:val="18"/>
          <w:szCs w:val="18"/>
          <w:color w:val="auto"/>
        </w:rPr>
        <w:t>Part II - OTHER INFORMATION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Legal Proceedings</w:t>
      </w:r>
    </w:p>
    <w:p>
      <w:pPr>
        <w:spacing w:after="0" w:line="201" w:lineRule="exact"/>
        <w:rPr>
          <w:sz w:val="20"/>
          <w:szCs w:val="20"/>
          <w:color w:val="auto"/>
        </w:rPr>
      </w:pPr>
    </w:p>
    <w:p>
      <w:pPr>
        <w:jc w:val="both"/>
        <w:ind w:left="960" w:right="1779"/>
        <w:spacing w:after="0" w:line="256" w:lineRule="auto"/>
        <w:rPr>
          <w:sz w:val="20"/>
          <w:szCs w:val="20"/>
          <w:color w:val="auto"/>
        </w:rPr>
      </w:pPr>
      <w:r>
        <w:rPr>
          <w:rFonts w:ascii="Courier New" w:cs="Courier New" w:eastAsia="Courier New" w:hAnsi="Courier New"/>
          <w:sz w:val="18"/>
          <w:szCs w:val="18"/>
          <w:color w:val="auto"/>
        </w:rPr>
        <w:t>On January 16, 1997, Pursell and the Company settled two lawsuits pursuant to a confidential Settlement Agreement and Release (the "Settlement Agreement"). Under the terms of the Settlement Agreement, both actions have been dismissed with prejudice. Full and complete releases were exchanged by the parties, and the Company granted to Pursell a fully paid-up, non-exclusive license under the Company's Poly-S patents. See Note 9 to Consolidated Financial Statements.</w:t>
      </w:r>
    </w:p>
    <w:p>
      <w:pPr>
        <w:spacing w:after="0" w:line="9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1480" w:right="1779" w:hanging="524"/>
        <w:spacing w:after="0" w:line="347" w:lineRule="auto"/>
        <w:tabs>
          <w:tab w:leader="none" w:pos="14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Exhibit Index at page 18 for a list of the exhibits included herewith.</w:t>
      </w:r>
    </w:p>
    <w:p>
      <w:pPr>
        <w:spacing w:after="0" w:line="18" w:lineRule="exact"/>
        <w:rPr>
          <w:rFonts w:ascii="Courier New" w:cs="Courier New" w:eastAsia="Courier New" w:hAnsi="Courier New"/>
          <w:sz w:val="18"/>
          <w:szCs w:val="18"/>
          <w:color w:val="auto"/>
        </w:rPr>
      </w:pPr>
    </w:p>
    <w:p>
      <w:pPr>
        <w:ind w:left="1480" w:right="1779" w:hanging="524"/>
        <w:spacing w:after="0" w:line="347" w:lineRule="auto"/>
        <w:tabs>
          <w:tab w:leader="none" w:pos="14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reports on Form 8-K were filed during the fiscal quarter ended December 28, 1996.</w:t>
      </w:r>
    </w:p>
    <w:p>
      <w:pPr>
        <w:spacing w:after="0" w:line="200" w:lineRule="exact"/>
        <w:rPr>
          <w:sz w:val="20"/>
          <w:szCs w:val="20"/>
          <w:color w:val="auto"/>
        </w:rPr>
      </w:pPr>
    </w:p>
    <w:p>
      <w:pPr>
        <w:spacing w:after="0" w:line="22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16</w:t>
      </w:r>
    </w:p>
    <w:p>
      <w:pPr>
        <w:sectPr>
          <w:pgSz w:w="11900" w:h="16838" w:orient="portrait"/>
          <w:cols w:equalWidth="0" w:num="1">
            <w:col w:w="10219"/>
          </w:cols>
          <w:pgMar w:left="240" w:top="893" w:right="1440" w:bottom="1440" w:gutter="0" w:footer="0" w:header="0"/>
        </w:sectPr>
      </w:pPr>
    </w:p>
    <w:bookmarkStart w:id="16" w:name="page17"/>
    <w:bookmarkEnd w:id="16"/>
    <w:p>
      <w:pPr>
        <w:ind w:left="3700"/>
        <w:spacing w:after="0"/>
        <w:rPr>
          <w:sz w:val="20"/>
          <w:szCs w:val="20"/>
          <w:color w:val="auto"/>
        </w:rPr>
      </w:pPr>
      <w:r>
        <w:rPr>
          <w:rFonts w:ascii="Courier New" w:cs="Courier New" w:eastAsia="Courier New" w:hAnsi="Courier New"/>
          <w:sz w:val="16"/>
          <w:szCs w:val="16"/>
          <w:color w:val="auto"/>
        </w:rPr>
        <w:t>SIGNATURES</w:t>
      </w:r>
    </w:p>
    <w:p>
      <w:pPr>
        <w:sectPr>
          <w:pgSz w:w="11900" w:h="16838" w:orient="portrait"/>
          <w:cols w:equalWidth="0" w:num="1">
            <w:col w:w="10219"/>
          </w:cols>
          <w:pgMar w:left="240" w:top="89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92" w:lineRule="auto"/>
        <w:rPr>
          <w:sz w:val="20"/>
          <w:szCs w:val="20"/>
          <w:color w:val="auto"/>
        </w:rPr>
      </w:pPr>
      <w:r>
        <w:rPr>
          <w:rFonts w:ascii="Courier New" w:cs="Courier New" w:eastAsia="Courier New" w:hAnsi="Courier New"/>
          <w:sz w:val="18"/>
          <w:szCs w:val="18"/>
          <w:color w:val="auto"/>
        </w:rPr>
        <w:t>Pursuant to the requirements of the Securities Registrant has duly caused this report to be undersigned, thereunto duly authorized.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105"/>
        <w:spacing w:after="0" w:line="347" w:lineRule="auto"/>
        <w:rPr>
          <w:sz w:val="20"/>
          <w:szCs w:val="20"/>
          <w:color w:val="auto"/>
        </w:rPr>
      </w:pPr>
      <w:r>
        <w:rPr>
          <w:rFonts w:ascii="Courier New" w:cs="Courier New" w:eastAsia="Courier New" w:hAnsi="Courier New"/>
          <w:sz w:val="18"/>
          <w:szCs w:val="18"/>
          <w:color w:val="auto"/>
        </w:rPr>
        <w:t>Exchange Act of 1934, the signed on its behalf by the</w:t>
      </w:r>
    </w:p>
    <w:p>
      <w:pPr>
        <w:spacing w:after="0" w:line="354" w:lineRule="exact"/>
        <w:rPr>
          <w:sz w:val="20"/>
          <w:szCs w:val="20"/>
          <w:color w:val="auto"/>
        </w:rPr>
      </w:pPr>
    </w:p>
    <w:p>
      <w:pPr>
        <w:sectPr>
          <w:pgSz w:w="11900" w:h="16838" w:orient="portrait"/>
          <w:cols w:equalWidth="0" w:num="2">
            <w:col w:w="5280" w:space="100"/>
            <w:col w:w="4839"/>
          </w:cols>
          <w:pgMar w:left="240" w:top="893" w:right="1440" w:bottom="1440" w:gutter="0" w:footer="0" w:header="0"/>
          <w:type w:val="continuous"/>
        </w:sect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3160" w:type="dxa"/>
            <w:vAlign w:val="bottom"/>
          </w:tcPr>
          <w:p>
            <w:pPr>
              <w:spacing w:after="0"/>
              <w:rPr>
                <w:sz w:val="24"/>
                <w:szCs w:val="24"/>
                <w:color w:val="auto"/>
              </w:rPr>
            </w:pPr>
          </w:p>
        </w:tc>
        <w:tc>
          <w:tcPr>
            <w:tcW w:w="4440" w:type="dxa"/>
            <w:vAlign w:val="bottom"/>
          </w:tcPr>
          <w:p>
            <w:pPr>
              <w:ind w:left="1480"/>
              <w:spacing w:after="0"/>
              <w:rPr>
                <w:sz w:val="20"/>
                <w:szCs w:val="20"/>
                <w:color w:val="auto"/>
              </w:rPr>
            </w:pPr>
            <w:r>
              <w:rPr>
                <w:rFonts w:ascii="Courier New" w:cs="Courier New" w:eastAsia="Courier New" w:hAnsi="Courier New"/>
                <w:sz w:val="18"/>
                <w:szCs w:val="18"/>
                <w:color w:val="auto"/>
              </w:rPr>
              <w:t>THE SCOTTS COMPANY</w:t>
            </w:r>
          </w:p>
        </w:tc>
        <w:tc>
          <w:tcPr>
            <w:tcW w:w="0" w:type="dxa"/>
            <w:vAlign w:val="bottom"/>
          </w:tcPr>
          <w:p>
            <w:pPr>
              <w:spacing w:after="0"/>
              <w:rPr>
                <w:sz w:val="1"/>
                <w:szCs w:val="1"/>
                <w:color w:val="auto"/>
              </w:rPr>
            </w:pPr>
          </w:p>
        </w:tc>
      </w:tr>
      <w:tr>
        <w:trPr>
          <w:trHeight w:val="514"/>
        </w:trPr>
        <w:tc>
          <w:tcPr>
            <w:tcW w:w="3160" w:type="dxa"/>
            <w:vAlign w:val="bottom"/>
            <w:vMerge w:val="restart"/>
          </w:tcPr>
          <w:p>
            <w:pPr>
              <w:spacing w:after="0"/>
              <w:rPr>
                <w:sz w:val="20"/>
                <w:szCs w:val="20"/>
                <w:color w:val="auto"/>
              </w:rPr>
            </w:pPr>
            <w:r>
              <w:rPr>
                <w:rFonts w:ascii="Courier New" w:cs="Courier New" w:eastAsia="Courier New" w:hAnsi="Courier New"/>
                <w:sz w:val="18"/>
                <w:szCs w:val="18"/>
                <w:color w:val="auto"/>
              </w:rPr>
              <w:t>Date   February 7, 1997</w:t>
            </w:r>
          </w:p>
        </w:tc>
        <w:tc>
          <w:tcPr>
            <w:tcW w:w="4440" w:type="dxa"/>
            <w:vAlign w:val="bottom"/>
          </w:tcPr>
          <w:p>
            <w:pPr>
              <w:ind w:left="1060"/>
              <w:spacing w:after="0"/>
              <w:rPr>
                <w:sz w:val="20"/>
                <w:szCs w:val="20"/>
                <w:color w:val="auto"/>
              </w:rPr>
            </w:pPr>
            <w:r>
              <w:rPr>
                <w:rFonts w:ascii="Courier New" w:cs="Courier New" w:eastAsia="Courier New" w:hAnsi="Courier New"/>
                <w:sz w:val="18"/>
                <w:szCs w:val="18"/>
                <w:color w:val="auto"/>
              </w:rPr>
              <w:t>/s/ Jean H. Mordo</w:t>
            </w:r>
          </w:p>
        </w:tc>
        <w:tc>
          <w:tcPr>
            <w:tcW w:w="0" w:type="dxa"/>
            <w:vAlign w:val="bottom"/>
          </w:tcPr>
          <w:p>
            <w:pPr>
              <w:spacing w:after="0"/>
              <w:rPr>
                <w:sz w:val="1"/>
                <w:szCs w:val="1"/>
                <w:color w:val="auto"/>
              </w:rPr>
            </w:pPr>
          </w:p>
        </w:tc>
      </w:tr>
      <w:tr>
        <w:trPr>
          <w:trHeight w:val="203"/>
        </w:trPr>
        <w:tc>
          <w:tcPr>
            <w:tcW w:w="3160" w:type="dxa"/>
            <w:vAlign w:val="bottom"/>
            <w:vMerge w:val="continue"/>
          </w:tcPr>
          <w:p>
            <w:pPr>
              <w:spacing w:after="0"/>
              <w:rPr>
                <w:sz w:val="17"/>
                <w:szCs w:val="17"/>
                <w:color w:val="auto"/>
              </w:rPr>
            </w:pPr>
          </w:p>
        </w:tc>
        <w:tc>
          <w:tcPr>
            <w:tcW w:w="444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__________________________</w:t>
            </w:r>
          </w:p>
        </w:tc>
        <w:tc>
          <w:tcPr>
            <w:tcW w:w="0" w:type="dxa"/>
            <w:vAlign w:val="bottom"/>
          </w:tcPr>
          <w:p>
            <w:pPr>
              <w:spacing w:after="0"/>
              <w:rPr>
                <w:sz w:val="1"/>
                <w:szCs w:val="1"/>
                <w:color w:val="auto"/>
              </w:rPr>
            </w:pPr>
          </w:p>
        </w:tc>
      </w:tr>
      <w:tr>
        <w:trPr>
          <w:trHeight w:val="203"/>
        </w:trPr>
        <w:tc>
          <w:tcPr>
            <w:tcW w:w="3160" w:type="dxa"/>
            <w:vAlign w:val="bottom"/>
          </w:tcPr>
          <w:p>
            <w:pPr>
              <w:spacing w:after="0"/>
              <w:rPr>
                <w:sz w:val="17"/>
                <w:szCs w:val="17"/>
                <w:color w:val="auto"/>
              </w:rPr>
            </w:pPr>
          </w:p>
        </w:tc>
        <w:tc>
          <w:tcPr>
            <w:tcW w:w="444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Jean H. Mordo</w:t>
            </w:r>
          </w:p>
        </w:tc>
        <w:tc>
          <w:tcPr>
            <w:tcW w:w="0" w:type="dxa"/>
            <w:vAlign w:val="bottom"/>
          </w:tcPr>
          <w:p>
            <w:pPr>
              <w:spacing w:after="0"/>
              <w:rPr>
                <w:sz w:val="1"/>
                <w:szCs w:val="1"/>
                <w:color w:val="auto"/>
              </w:rPr>
            </w:pPr>
          </w:p>
        </w:tc>
      </w:tr>
      <w:tr>
        <w:trPr>
          <w:trHeight w:val="203"/>
        </w:trPr>
        <w:tc>
          <w:tcPr>
            <w:tcW w:w="3160" w:type="dxa"/>
            <w:vAlign w:val="bottom"/>
          </w:tcPr>
          <w:p>
            <w:pPr>
              <w:spacing w:after="0"/>
              <w:rPr>
                <w:sz w:val="17"/>
                <w:szCs w:val="17"/>
                <w:color w:val="auto"/>
              </w:rPr>
            </w:pPr>
          </w:p>
        </w:tc>
        <w:tc>
          <w:tcPr>
            <w:tcW w:w="444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Executive Vice President</w:t>
            </w:r>
          </w:p>
        </w:tc>
        <w:tc>
          <w:tcPr>
            <w:tcW w:w="0" w:type="dxa"/>
            <w:vAlign w:val="bottom"/>
          </w:tcPr>
          <w:p>
            <w:pPr>
              <w:spacing w:after="0"/>
              <w:rPr>
                <w:sz w:val="1"/>
                <w:szCs w:val="1"/>
                <w:color w:val="auto"/>
              </w:rPr>
            </w:pPr>
          </w:p>
        </w:tc>
      </w:tr>
      <w:tr>
        <w:trPr>
          <w:trHeight w:val="203"/>
        </w:trPr>
        <w:tc>
          <w:tcPr>
            <w:tcW w:w="3160" w:type="dxa"/>
            <w:vAlign w:val="bottom"/>
          </w:tcPr>
          <w:p>
            <w:pPr>
              <w:spacing w:after="0"/>
              <w:rPr>
                <w:sz w:val="17"/>
                <w:szCs w:val="17"/>
                <w:color w:val="auto"/>
              </w:rPr>
            </w:pPr>
          </w:p>
        </w:tc>
        <w:tc>
          <w:tcPr>
            <w:tcW w:w="444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Chief Financial Officer</w:t>
            </w:r>
          </w:p>
        </w:tc>
        <w:tc>
          <w:tcPr>
            <w:tcW w:w="0" w:type="dxa"/>
            <w:vAlign w:val="bottom"/>
          </w:tcPr>
          <w:p>
            <w:pPr>
              <w:spacing w:after="0"/>
              <w:rPr>
                <w:sz w:val="1"/>
                <w:szCs w:val="1"/>
                <w:color w:val="auto"/>
              </w:rPr>
            </w:pPr>
          </w:p>
        </w:tc>
      </w:tr>
      <w:tr>
        <w:trPr>
          <w:trHeight w:val="296"/>
        </w:trPr>
        <w:tc>
          <w:tcPr>
            <w:tcW w:w="3160" w:type="dxa"/>
            <w:vAlign w:val="bottom"/>
          </w:tcPr>
          <w:p>
            <w:pPr>
              <w:spacing w:after="0"/>
              <w:rPr>
                <w:sz w:val="24"/>
                <w:szCs w:val="24"/>
                <w:color w:val="auto"/>
              </w:rPr>
            </w:pPr>
          </w:p>
        </w:tc>
        <w:tc>
          <w:tcPr>
            <w:tcW w:w="4440" w:type="dxa"/>
            <w:vAlign w:val="bottom"/>
          </w:tcPr>
          <w:p>
            <w:pPr>
              <w:ind w:left="1480"/>
              <w:spacing w:after="0"/>
              <w:rPr>
                <w:sz w:val="20"/>
                <w:szCs w:val="20"/>
                <w:color w:val="auto"/>
              </w:rPr>
            </w:pPr>
            <w:r>
              <w:rPr>
                <w:rFonts w:ascii="Courier New" w:cs="Courier New" w:eastAsia="Courier New" w:hAnsi="Courier New"/>
                <w:sz w:val="18"/>
                <w:szCs w:val="18"/>
                <w:color w:val="auto"/>
                <w:w w:val="97"/>
              </w:rPr>
              <w:t>Principal Accounting Officer</w:t>
            </w:r>
          </w:p>
        </w:tc>
        <w:tc>
          <w:tcPr>
            <w:tcW w:w="0" w:type="dxa"/>
            <w:vAlign w:val="bottom"/>
          </w:tcPr>
          <w:p>
            <w:pPr>
              <w:spacing w:after="0"/>
              <w:rPr>
                <w:sz w:val="1"/>
                <w:szCs w:val="1"/>
                <w:color w:val="auto"/>
              </w:rPr>
            </w:pPr>
          </w:p>
        </w:tc>
      </w:tr>
      <w:tr>
        <w:trPr>
          <w:trHeight w:val="810"/>
        </w:trPr>
        <w:tc>
          <w:tcPr>
            <w:tcW w:w="3160" w:type="dxa"/>
            <w:vAlign w:val="bottom"/>
          </w:tcPr>
          <w:p>
            <w:pPr>
              <w:spacing w:after="0"/>
              <w:rPr>
                <w:sz w:val="24"/>
                <w:szCs w:val="24"/>
                <w:color w:val="auto"/>
              </w:rPr>
            </w:pPr>
          </w:p>
        </w:tc>
        <w:tc>
          <w:tcPr>
            <w:tcW w:w="4440" w:type="dxa"/>
            <w:vAlign w:val="bottom"/>
          </w:tcPr>
          <w:p>
            <w:pPr>
              <w:ind w:left="740"/>
              <w:spacing w:after="0"/>
              <w:rPr>
                <w:sz w:val="20"/>
                <w:szCs w:val="20"/>
                <w:color w:val="auto"/>
              </w:rPr>
            </w:pPr>
            <w:r>
              <w:rPr>
                <w:rFonts w:ascii="Courier New" w:cs="Courier New" w:eastAsia="Courier New" w:hAnsi="Courier New"/>
                <w:sz w:val="18"/>
                <w:szCs w:val="18"/>
                <w:color w:val="auto"/>
              </w:rPr>
              <w:t>Page 17</w:t>
            </w:r>
          </w:p>
        </w:tc>
        <w:tc>
          <w:tcPr>
            <w:tcW w:w="0" w:type="dxa"/>
            <w:vAlign w:val="bottom"/>
          </w:tcPr>
          <w:p>
            <w:pPr>
              <w:spacing w:after="0"/>
              <w:rPr>
                <w:sz w:val="1"/>
                <w:szCs w:val="1"/>
                <w:color w:val="auto"/>
              </w:rPr>
            </w:pPr>
          </w:p>
        </w:tc>
      </w:tr>
    </w:tbl>
    <w:p>
      <w:pPr>
        <w:sectPr>
          <w:pgSz w:w="11900" w:h="16838" w:orient="portrait"/>
          <w:cols w:equalWidth="0" w:num="1">
            <w:col w:w="10219"/>
          </w:cols>
          <w:pgMar w:left="240" w:top="893" w:right="1440" w:bottom="1440" w:gutter="0" w:footer="0" w:header="0"/>
          <w:type w:val="continuous"/>
        </w:sectPr>
      </w:pPr>
    </w:p>
    <w:bookmarkStart w:id="17" w:name="page18"/>
    <w:bookmarkEnd w:id="17"/>
    <w:p>
      <w:pPr>
        <w:ind w:left="3060"/>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QUARTERLY REPORT ON FORM 10-Q FOR</w:t>
      </w:r>
    </w:p>
    <w:p>
      <w:pPr>
        <w:spacing w:after="0" w:line="3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FISCAL QUARTER ENDED DECEMBER 28, 1996</w:t>
      </w:r>
    </w:p>
    <w:p>
      <w:pPr>
        <w:spacing w:after="0" w:line="200" w:lineRule="exact"/>
        <w:rPr>
          <w:sz w:val="20"/>
          <w:szCs w:val="20"/>
          <w:color w:val="auto"/>
        </w:rPr>
      </w:pPr>
    </w:p>
    <w:p>
      <w:pPr>
        <w:spacing w:after="0" w:line="374" w:lineRule="exact"/>
        <w:rPr>
          <w:sz w:val="20"/>
          <w:szCs w:val="20"/>
          <w:color w:val="auto"/>
        </w:rPr>
      </w:pPr>
    </w:p>
    <w:p>
      <w:pPr>
        <w:ind w:left="336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5"/>
              </w:rPr>
              <w:t>Exhibit</w:t>
            </w:r>
          </w:p>
        </w:tc>
        <w:tc>
          <w:tcPr>
            <w:tcW w:w="1800" w:type="dxa"/>
            <w:vAlign w:val="bottom"/>
            <w:vMerge w:val="restart"/>
          </w:tcPr>
          <w:p>
            <w:pPr>
              <w:ind w:left="580"/>
              <w:spacing w:after="0"/>
              <w:rPr>
                <w:sz w:val="20"/>
                <w:szCs w:val="20"/>
                <w:color w:val="auto"/>
              </w:rPr>
            </w:pPr>
            <w:r>
              <w:rPr>
                <w:rFonts w:ascii="Courier New" w:cs="Courier New" w:eastAsia="Courier New" w:hAnsi="Courier New"/>
                <w:sz w:val="18"/>
                <w:szCs w:val="18"/>
                <w:color w:val="auto"/>
              </w:rPr>
              <w:t>Description</w:t>
            </w:r>
          </w:p>
        </w:tc>
        <w:tc>
          <w:tcPr>
            <w:tcW w:w="2460" w:type="dxa"/>
            <w:vAlign w:val="bottom"/>
          </w:tcPr>
          <w:p>
            <w:pPr>
              <w:spacing w:after="0"/>
              <w:rPr>
                <w:sz w:val="17"/>
                <w:szCs w:val="17"/>
                <w:color w:val="auto"/>
              </w:rPr>
            </w:pPr>
          </w:p>
        </w:tc>
        <w:tc>
          <w:tcPr>
            <w:tcW w:w="2220" w:type="dxa"/>
            <w:vAlign w:val="bottom"/>
          </w:tcPr>
          <w:p>
            <w:pPr>
              <w:jc w:val="center"/>
              <w:ind w:left="1512"/>
              <w:spacing w:after="0"/>
              <w:rPr>
                <w:sz w:val="20"/>
                <w:szCs w:val="20"/>
                <w:color w:val="auto"/>
              </w:rPr>
            </w:pPr>
            <w:r>
              <w:rPr>
                <w:rFonts w:ascii="Courier New" w:cs="Courier New" w:eastAsia="Courier New" w:hAnsi="Courier New"/>
                <w:sz w:val="18"/>
                <w:szCs w:val="18"/>
                <w:color w:val="auto"/>
                <w:w w:val="97"/>
              </w:rPr>
              <w:t>Page</w:t>
            </w:r>
          </w:p>
        </w:tc>
        <w:tc>
          <w:tcPr>
            <w:tcW w:w="0" w:type="dxa"/>
            <w:vAlign w:val="bottom"/>
          </w:tcPr>
          <w:p>
            <w:pPr>
              <w:spacing w:after="0"/>
              <w:rPr>
                <w:sz w:val="1"/>
                <w:szCs w:val="1"/>
                <w:color w:val="auto"/>
              </w:rPr>
            </w:pPr>
          </w:p>
        </w:tc>
      </w:tr>
      <w:tr>
        <w:trPr>
          <w:trHeight w:val="203"/>
        </w:trPr>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Number</w:t>
            </w:r>
          </w:p>
        </w:tc>
        <w:tc>
          <w:tcPr>
            <w:tcW w:w="1800" w:type="dxa"/>
            <w:vAlign w:val="bottom"/>
            <w:vMerge w:val="continue"/>
          </w:tcPr>
          <w:p>
            <w:pPr>
              <w:spacing w:after="0"/>
              <w:rPr>
                <w:sz w:val="17"/>
                <w:szCs w:val="17"/>
                <w:color w:val="auto"/>
              </w:rPr>
            </w:pPr>
          </w:p>
        </w:tc>
        <w:tc>
          <w:tcPr>
            <w:tcW w:w="2460" w:type="dxa"/>
            <w:vAlign w:val="bottom"/>
          </w:tcPr>
          <w:p>
            <w:pPr>
              <w:spacing w:after="0"/>
              <w:rPr>
                <w:sz w:val="17"/>
                <w:szCs w:val="17"/>
                <w:color w:val="auto"/>
              </w:rPr>
            </w:pPr>
          </w:p>
        </w:tc>
        <w:tc>
          <w:tcPr>
            <w:tcW w:w="2220" w:type="dxa"/>
            <w:vAlign w:val="bottom"/>
          </w:tcPr>
          <w:p>
            <w:pPr>
              <w:jc w:val="center"/>
              <w:ind w:left="1492"/>
              <w:spacing w:after="0" w:line="203" w:lineRule="exact"/>
              <w:rPr>
                <w:sz w:val="20"/>
                <w:szCs w:val="20"/>
                <w:color w:val="auto"/>
              </w:rPr>
            </w:pPr>
            <w:r>
              <w:rPr>
                <w:rFonts w:ascii="Courier New" w:cs="Courier New" w:eastAsia="Courier New" w:hAnsi="Courier New"/>
                <w:sz w:val="18"/>
                <w:szCs w:val="18"/>
                <w:color w:val="auto"/>
                <w:w w:val="98"/>
              </w:rPr>
              <w:t>Number</w:t>
            </w:r>
          </w:p>
        </w:tc>
        <w:tc>
          <w:tcPr>
            <w:tcW w:w="0" w:type="dxa"/>
            <w:vAlign w:val="bottom"/>
          </w:tcPr>
          <w:p>
            <w:pPr>
              <w:spacing w:after="0"/>
              <w:rPr>
                <w:sz w:val="1"/>
                <w:szCs w:val="1"/>
                <w:color w:val="auto"/>
              </w:rPr>
            </w:pPr>
          </w:p>
        </w:tc>
      </w:tr>
      <w:tr>
        <w:trPr>
          <w:trHeight w:val="296"/>
        </w:trPr>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5"/>
              </w:rPr>
              <w:t>-------</w:t>
            </w:r>
          </w:p>
        </w:tc>
        <w:tc>
          <w:tcPr>
            <w:tcW w:w="426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w:t>
            </w:r>
          </w:p>
        </w:tc>
        <w:tc>
          <w:tcPr>
            <w:tcW w:w="2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10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27</w:t>
            </w:r>
          </w:p>
        </w:tc>
        <w:tc>
          <w:tcPr>
            <w:tcW w:w="1800" w:type="dxa"/>
            <w:vAlign w:val="bottom"/>
          </w:tcPr>
          <w:p>
            <w:pPr>
              <w:ind w:left="260"/>
              <w:spacing w:after="0"/>
              <w:rPr>
                <w:sz w:val="20"/>
                <w:szCs w:val="20"/>
                <w:color w:val="auto"/>
              </w:rPr>
            </w:pPr>
            <w:r>
              <w:rPr>
                <w:rFonts w:ascii="Courier New" w:cs="Courier New" w:eastAsia="Courier New" w:hAnsi="Courier New"/>
                <w:sz w:val="18"/>
                <w:szCs w:val="18"/>
                <w:color w:val="auto"/>
              </w:rPr>
              <w:t>Financial Data</w:t>
            </w:r>
          </w:p>
        </w:tc>
        <w:tc>
          <w:tcPr>
            <w:tcW w:w="2460" w:type="dxa"/>
            <w:vAlign w:val="bottom"/>
          </w:tcPr>
          <w:p>
            <w:pPr>
              <w:ind w:left="40"/>
              <w:spacing w:after="0"/>
              <w:rPr>
                <w:sz w:val="20"/>
                <w:szCs w:val="20"/>
                <w:color w:val="auto"/>
              </w:rPr>
            </w:pPr>
            <w:r>
              <w:rPr>
                <w:rFonts w:ascii="Courier New" w:cs="Courier New" w:eastAsia="Courier New" w:hAnsi="Courier New"/>
                <w:sz w:val="18"/>
                <w:szCs w:val="18"/>
                <w:color w:val="auto"/>
              </w:rPr>
              <w:t>Schedule</w:t>
            </w:r>
          </w:p>
        </w:tc>
        <w:tc>
          <w:tcPr>
            <w:tcW w:w="22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680"/>
        <w:spacing w:after="0"/>
        <w:rPr>
          <w:sz w:val="20"/>
          <w:szCs w:val="20"/>
          <w:color w:val="auto"/>
        </w:rPr>
      </w:pPr>
      <w:r>
        <w:rPr>
          <w:rFonts w:ascii="Courier New" w:cs="Courier New" w:eastAsia="Courier New" w:hAnsi="Courier New"/>
          <w:sz w:val="18"/>
          <w:szCs w:val="18"/>
          <w:color w:val="auto"/>
        </w:rPr>
        <w:t>Page 18</w:t>
      </w:r>
    </w:p>
    <w:p>
      <w:pPr>
        <w:sectPr>
          <w:pgSz w:w="11900" w:h="16838" w:orient="portrait"/>
          <w:cols w:equalWidth="0" w:num="1">
            <w:col w:w="9999"/>
          </w:cols>
          <w:pgMar w:left="460" w:top="893" w:right="1440" w:bottom="1440" w:gutter="0" w:footer="0" w:header="0"/>
        </w:sectPr>
      </w:pPr>
    </w:p>
    <w:bookmarkStart w:id="18" w:name="page19"/>
    <w:bookmarkEnd w:id="18"/>
    <w:p>
      <w:pPr>
        <w:ind w:left="80"/>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jc w:val="both"/>
        <w:ind w:right="2699"/>
        <w:spacing w:after="0" w:line="274" w:lineRule="auto"/>
        <w:rPr>
          <w:sz w:val="20"/>
          <w:szCs w:val="20"/>
          <w:color w:val="auto"/>
        </w:rPr>
      </w:pPr>
      <w:r>
        <w:rPr>
          <w:rFonts w:ascii="Courier New" w:cs="Courier New" w:eastAsia="Courier New" w:hAnsi="Courier New"/>
          <w:sz w:val="18"/>
          <w:szCs w:val="18"/>
          <w:color w:val="auto"/>
        </w:rPr>
        <w:t>This schedule contains summary financial information extracted from the consolidated balance sheet and consolidated statement of operations of The Scotts Company and is qualified in its entirety by reference to the Form 10-Q for the quarter ended December 28, 1996.</w:t>
      </w:r>
    </w:p>
    <w:p>
      <w:pPr>
        <w:spacing w:after="0" w:line="82"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1000</w:t>
      </w:r>
    </w:p>
    <w:p>
      <w:pPr>
        <w:spacing w:after="0" w:line="31"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US DOLLARS</w:t>
      </w:r>
    </w:p>
    <w:p>
      <w:pPr>
        <w:spacing w:after="0" w:line="372"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3-MOS</w:t>
      </w:r>
    </w:p>
    <w:p>
      <w:pPr>
        <w:spacing w:after="0" w:line="29"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SEP-30-1997</w:t>
      </w:r>
    </w:p>
    <w:p>
      <w:pPr>
        <w:ind w:left="3020"/>
        <w:spacing w:after="0" w:line="238" w:lineRule="auto"/>
        <w:rPr>
          <w:sz w:val="20"/>
          <w:szCs w:val="20"/>
          <w:color w:val="auto"/>
        </w:rPr>
      </w:pPr>
      <w:r>
        <w:rPr>
          <w:rFonts w:ascii="Courier New" w:cs="Courier New" w:eastAsia="Courier New" w:hAnsi="Courier New"/>
          <w:sz w:val="18"/>
          <w:szCs w:val="18"/>
          <w:color w:val="auto"/>
        </w:rPr>
        <w:t>OCT-01-1996</w:t>
      </w:r>
    </w:p>
    <w:p>
      <w:pPr>
        <w:ind w:left="3240"/>
        <w:spacing w:after="0"/>
        <w:rPr>
          <w:sz w:val="20"/>
          <w:szCs w:val="20"/>
          <w:color w:val="auto"/>
        </w:rPr>
      </w:pPr>
      <w:r>
        <w:rPr>
          <w:rFonts w:ascii="Courier New" w:cs="Courier New" w:eastAsia="Courier New" w:hAnsi="Courier New"/>
          <w:sz w:val="18"/>
          <w:szCs w:val="18"/>
          <w:color w:val="auto"/>
        </w:rPr>
        <w:t>DEC-28-1996</w:t>
      </w:r>
    </w:p>
    <w:p>
      <w:pPr>
        <w:ind w:left="3980"/>
        <w:spacing w:after="0" w:line="238" w:lineRule="auto"/>
        <w:rPr>
          <w:sz w:val="20"/>
          <w:szCs w:val="20"/>
          <w:color w:val="auto"/>
        </w:rPr>
      </w:pPr>
      <w:r>
        <w:rPr>
          <w:rFonts w:ascii="Courier New" w:cs="Courier New" w:eastAsia="Courier New" w:hAnsi="Courier New"/>
          <w:sz w:val="18"/>
          <w:szCs w:val="18"/>
          <w:color w:val="auto"/>
        </w:rPr>
        <w:t>1</w:t>
      </w:r>
    </w:p>
    <w:p>
      <w:pPr>
        <w:ind w:left="4500"/>
        <w:spacing w:after="0"/>
        <w:rPr>
          <w:sz w:val="20"/>
          <w:szCs w:val="20"/>
          <w:color w:val="auto"/>
        </w:rPr>
      </w:pPr>
      <w:r>
        <w:rPr>
          <w:rFonts w:ascii="Courier New" w:cs="Courier New" w:eastAsia="Courier New" w:hAnsi="Courier New"/>
          <w:sz w:val="18"/>
          <w:szCs w:val="18"/>
          <w:color w:val="auto"/>
        </w:rPr>
        <w:t>5,854</w:t>
      </w:r>
    </w:p>
    <w:p>
      <w:pPr>
        <w:ind w:left="4280"/>
        <w:spacing w:after="0" w:line="238" w:lineRule="auto"/>
        <w:rPr>
          <w:sz w:val="20"/>
          <w:szCs w:val="20"/>
          <w:color w:val="auto"/>
        </w:rPr>
      </w:pPr>
      <w:r>
        <w:rPr>
          <w:rFonts w:ascii="Courier New" w:cs="Courier New" w:eastAsia="Courier New" w:hAnsi="Courier New"/>
          <w:sz w:val="18"/>
          <w:szCs w:val="18"/>
          <w:color w:val="auto"/>
        </w:rPr>
        <w:t>0</w:t>
      </w:r>
    </w:p>
    <w:p>
      <w:pPr>
        <w:ind w:left="3540"/>
        <w:spacing w:after="0"/>
        <w:rPr>
          <w:sz w:val="20"/>
          <w:szCs w:val="20"/>
          <w:color w:val="auto"/>
        </w:rPr>
      </w:pPr>
      <w:r>
        <w:rPr>
          <w:rFonts w:ascii="Courier New" w:cs="Courier New" w:eastAsia="Courier New" w:hAnsi="Courier New"/>
          <w:sz w:val="18"/>
          <w:szCs w:val="18"/>
          <w:color w:val="auto"/>
        </w:rPr>
        <w:t>125,857</w:t>
      </w:r>
    </w:p>
    <w:p>
      <w:pPr>
        <w:ind w:left="3860"/>
        <w:spacing w:after="0" w:line="238" w:lineRule="auto"/>
        <w:rPr>
          <w:sz w:val="20"/>
          <w:szCs w:val="20"/>
          <w:color w:val="auto"/>
        </w:rPr>
      </w:pPr>
      <w:r>
        <w:rPr>
          <w:rFonts w:ascii="Courier New" w:cs="Courier New" w:eastAsia="Courier New" w:hAnsi="Courier New"/>
          <w:sz w:val="18"/>
          <w:szCs w:val="18"/>
          <w:color w:val="auto"/>
        </w:rPr>
        <w:t>4,209</w:t>
      </w:r>
    </w:p>
    <w:p>
      <w:pPr>
        <w:ind w:left="3760"/>
        <w:spacing w:after="0"/>
        <w:rPr>
          <w:sz w:val="20"/>
          <w:szCs w:val="20"/>
          <w:color w:val="auto"/>
        </w:rPr>
      </w:pPr>
      <w:r>
        <w:rPr>
          <w:rFonts w:ascii="Courier New" w:cs="Courier New" w:eastAsia="Courier New" w:hAnsi="Courier New"/>
          <w:sz w:val="18"/>
          <w:szCs w:val="18"/>
          <w:color w:val="auto"/>
        </w:rPr>
        <w:t>195,454</w:t>
      </w:r>
    </w:p>
    <w:p>
      <w:pPr>
        <w:ind w:left="3240"/>
        <w:spacing w:after="0" w:line="238" w:lineRule="auto"/>
        <w:rPr>
          <w:sz w:val="20"/>
          <w:szCs w:val="20"/>
          <w:color w:val="auto"/>
        </w:rPr>
      </w:pPr>
      <w:r>
        <w:rPr>
          <w:rFonts w:ascii="Courier New" w:cs="Courier New" w:eastAsia="Courier New" w:hAnsi="Courier New"/>
          <w:sz w:val="18"/>
          <w:szCs w:val="18"/>
          <w:color w:val="auto"/>
        </w:rPr>
        <w:t>345,298</w:t>
      </w:r>
    </w:p>
    <w:p>
      <w:pPr>
        <w:ind w:left="4280"/>
        <w:spacing w:after="0"/>
        <w:rPr>
          <w:sz w:val="20"/>
          <w:szCs w:val="20"/>
          <w:color w:val="auto"/>
        </w:rPr>
      </w:pPr>
      <w:r>
        <w:rPr>
          <w:rFonts w:ascii="Courier New" w:cs="Courier New" w:eastAsia="Courier New" w:hAnsi="Courier New"/>
          <w:sz w:val="18"/>
          <w:szCs w:val="18"/>
          <w:color w:val="auto"/>
        </w:rPr>
        <w:t>235,115</w:t>
      </w:r>
    </w:p>
    <w:p>
      <w:pPr>
        <w:jc w:val="right"/>
        <w:ind w:right="5999"/>
        <w:spacing w:after="0" w:line="238" w:lineRule="auto"/>
        <w:rPr>
          <w:sz w:val="20"/>
          <w:szCs w:val="20"/>
          <w:color w:val="auto"/>
        </w:rPr>
      </w:pPr>
      <w:r>
        <w:rPr>
          <w:rFonts w:ascii="Courier New" w:cs="Courier New" w:eastAsia="Courier New" w:hAnsi="Courier New"/>
          <w:sz w:val="18"/>
          <w:szCs w:val="18"/>
          <w:color w:val="auto"/>
        </w:rPr>
        <w:t>(99,039)</w:t>
      </w:r>
    </w:p>
    <w:p>
      <w:pPr>
        <w:jc w:val="right"/>
        <w:ind w:right="5999"/>
        <w:spacing w:after="0"/>
        <w:rPr>
          <w:sz w:val="20"/>
          <w:szCs w:val="20"/>
          <w:color w:val="auto"/>
        </w:rPr>
      </w:pPr>
      <w:r>
        <w:rPr>
          <w:rFonts w:ascii="Courier New" w:cs="Courier New" w:eastAsia="Courier New" w:hAnsi="Courier New"/>
          <w:sz w:val="18"/>
          <w:szCs w:val="18"/>
          <w:color w:val="auto"/>
        </w:rPr>
        <w:t>778,678</w:t>
      </w:r>
    </w:p>
    <w:p>
      <w:pPr>
        <w:ind w:left="2700"/>
        <w:spacing w:after="0" w:line="238" w:lineRule="auto"/>
        <w:rPr>
          <w:sz w:val="20"/>
          <w:szCs w:val="20"/>
          <w:color w:val="auto"/>
        </w:rPr>
      </w:pPr>
      <w:r>
        <w:rPr>
          <w:rFonts w:ascii="Courier New" w:cs="Courier New" w:eastAsia="Courier New" w:hAnsi="Courier New"/>
          <w:sz w:val="18"/>
          <w:szCs w:val="18"/>
          <w:color w:val="auto"/>
        </w:rPr>
        <w:t>101,988</w:t>
      </w:r>
    </w:p>
    <w:p>
      <w:pPr>
        <w:jc w:val="center"/>
        <w:ind w:right="439"/>
        <w:spacing w:after="0"/>
        <w:rPr>
          <w:sz w:val="20"/>
          <w:szCs w:val="20"/>
          <w:color w:val="auto"/>
        </w:rPr>
      </w:pPr>
      <w:r>
        <w:rPr>
          <w:rFonts w:ascii="Courier New" w:cs="Courier New" w:eastAsia="Courier New" w:hAnsi="Courier New"/>
          <w:sz w:val="18"/>
          <w:szCs w:val="18"/>
          <w:color w:val="auto"/>
        </w:rPr>
        <w:t>0</w:t>
      </w:r>
    </w:p>
    <w:p>
      <w:pPr>
        <w:ind w:left="3340"/>
        <w:spacing w:after="0" w:line="238" w:lineRule="auto"/>
        <w:rPr>
          <w:sz w:val="20"/>
          <w:szCs w:val="20"/>
          <w:color w:val="auto"/>
        </w:rPr>
      </w:pPr>
      <w:r>
        <w:rPr>
          <w:rFonts w:ascii="Courier New" w:cs="Courier New" w:eastAsia="Courier New" w:hAnsi="Courier New"/>
          <w:sz w:val="18"/>
          <w:szCs w:val="18"/>
          <w:color w:val="auto"/>
        </w:rPr>
        <w:t>0</w:t>
      </w:r>
    </w:p>
    <w:p>
      <w:pPr>
        <w:ind w:left="3760"/>
        <w:spacing w:after="0"/>
        <w:rPr>
          <w:sz w:val="20"/>
          <w:szCs w:val="20"/>
          <w:color w:val="auto"/>
        </w:rPr>
      </w:pPr>
      <w:r>
        <w:rPr>
          <w:rFonts w:ascii="Courier New" w:cs="Courier New" w:eastAsia="Courier New" w:hAnsi="Courier New"/>
          <w:sz w:val="18"/>
          <w:szCs w:val="18"/>
          <w:color w:val="auto"/>
        </w:rPr>
        <w:t>177,255</w:t>
      </w:r>
    </w:p>
    <w:p>
      <w:pPr>
        <w:ind w:left="4500"/>
        <w:spacing w:after="0" w:line="238" w:lineRule="auto"/>
        <w:rPr>
          <w:sz w:val="20"/>
          <w:szCs w:val="20"/>
          <w:color w:val="auto"/>
        </w:rPr>
      </w:pPr>
      <w:r>
        <w:rPr>
          <w:rFonts w:ascii="Courier New" w:cs="Courier New" w:eastAsia="Courier New" w:hAnsi="Courier New"/>
          <w:sz w:val="18"/>
          <w:szCs w:val="18"/>
          <w:color w:val="auto"/>
        </w:rPr>
        <w:t>211</w:t>
      </w:r>
    </w:p>
    <w:p>
      <w:pPr>
        <w:ind w:left="3860"/>
        <w:spacing w:after="0"/>
        <w:rPr>
          <w:sz w:val="20"/>
          <w:szCs w:val="20"/>
          <w:color w:val="auto"/>
        </w:rPr>
      </w:pPr>
      <w:r>
        <w:rPr>
          <w:rFonts w:ascii="Courier New" w:cs="Courier New" w:eastAsia="Courier New" w:hAnsi="Courier New"/>
          <w:sz w:val="18"/>
          <w:szCs w:val="18"/>
          <w:color w:val="auto"/>
        </w:rPr>
        <w:t>179,553</w:t>
      </w:r>
    </w:p>
    <w:p>
      <w:pPr>
        <w:ind w:left="1960"/>
        <w:spacing w:after="0" w:line="238" w:lineRule="auto"/>
        <w:rPr>
          <w:sz w:val="20"/>
          <w:szCs w:val="20"/>
          <w:color w:val="auto"/>
        </w:rPr>
      </w:pPr>
      <w:r>
        <w:rPr>
          <w:rFonts w:ascii="Courier New" w:cs="Courier New" w:eastAsia="Courier New" w:hAnsi="Courier New"/>
          <w:sz w:val="18"/>
          <w:szCs w:val="18"/>
          <w:color w:val="auto"/>
        </w:rPr>
        <w:t>778,678</w:t>
      </w:r>
    </w:p>
    <w:p>
      <w:pPr>
        <w:ind w:left="4180"/>
        <w:spacing w:after="0"/>
        <w:rPr>
          <w:sz w:val="20"/>
          <w:szCs w:val="20"/>
          <w:color w:val="auto"/>
        </w:rPr>
      </w:pPr>
      <w:r>
        <w:rPr>
          <w:rFonts w:ascii="Courier New" w:cs="Courier New" w:eastAsia="Courier New" w:hAnsi="Courier New"/>
          <w:sz w:val="18"/>
          <w:szCs w:val="18"/>
          <w:color w:val="auto"/>
        </w:rPr>
        <w:t>100,184</w:t>
      </w:r>
    </w:p>
    <w:p>
      <w:pPr>
        <w:ind w:left="3240"/>
        <w:spacing w:after="0" w:line="238" w:lineRule="auto"/>
        <w:rPr>
          <w:sz w:val="20"/>
          <w:szCs w:val="20"/>
          <w:color w:val="auto"/>
        </w:rPr>
      </w:pPr>
      <w:r>
        <w:rPr>
          <w:rFonts w:ascii="Courier New" w:cs="Courier New" w:eastAsia="Courier New" w:hAnsi="Courier New"/>
          <w:sz w:val="18"/>
          <w:szCs w:val="18"/>
          <w:color w:val="auto"/>
        </w:rPr>
        <w:t>100,184</w:t>
      </w:r>
    </w:p>
    <w:p>
      <w:pPr>
        <w:ind w:left="4500"/>
        <w:spacing w:after="0"/>
        <w:rPr>
          <w:sz w:val="20"/>
          <w:szCs w:val="20"/>
          <w:color w:val="auto"/>
        </w:rPr>
      </w:pPr>
      <w:r>
        <w:rPr>
          <w:rFonts w:ascii="Courier New" w:cs="Courier New" w:eastAsia="Courier New" w:hAnsi="Courier New"/>
          <w:sz w:val="18"/>
          <w:szCs w:val="18"/>
          <w:color w:val="auto"/>
        </w:rPr>
        <w:t>53,842</w:t>
      </w:r>
    </w:p>
    <w:p>
      <w:pPr>
        <w:ind w:left="3540"/>
        <w:spacing w:after="0" w:line="238" w:lineRule="auto"/>
        <w:rPr>
          <w:sz w:val="20"/>
          <w:szCs w:val="20"/>
          <w:color w:val="auto"/>
        </w:rPr>
      </w:pPr>
      <w:r>
        <w:rPr>
          <w:rFonts w:ascii="Courier New" w:cs="Courier New" w:eastAsia="Courier New" w:hAnsi="Courier New"/>
          <w:sz w:val="18"/>
          <w:szCs w:val="18"/>
          <w:color w:val="auto"/>
        </w:rPr>
        <w:t>101,550</w:t>
      </w:r>
    </w:p>
    <w:p>
      <w:pPr>
        <w:ind w:left="3660"/>
        <w:spacing w:after="0"/>
        <w:rPr>
          <w:sz w:val="20"/>
          <w:szCs w:val="20"/>
          <w:color w:val="auto"/>
        </w:rPr>
      </w:pPr>
      <w:r>
        <w:rPr>
          <w:rFonts w:ascii="Courier New" w:cs="Courier New" w:eastAsia="Courier New" w:hAnsi="Courier New"/>
          <w:sz w:val="18"/>
          <w:szCs w:val="18"/>
          <w:color w:val="auto"/>
        </w:rPr>
        <w:t>267</w:t>
      </w:r>
    </w:p>
    <w:p>
      <w:pPr>
        <w:ind w:left="3860"/>
        <w:spacing w:after="0" w:line="238" w:lineRule="auto"/>
        <w:rPr>
          <w:sz w:val="20"/>
          <w:szCs w:val="20"/>
          <w:color w:val="auto"/>
        </w:rPr>
      </w:pPr>
      <w:r>
        <w:rPr>
          <w:rFonts w:ascii="Courier New" w:cs="Courier New" w:eastAsia="Courier New" w:hAnsi="Courier New"/>
          <w:sz w:val="18"/>
          <w:szCs w:val="18"/>
          <w:color w:val="auto"/>
        </w:rPr>
        <w:t>0</w:t>
      </w:r>
    </w:p>
    <w:p>
      <w:pPr>
        <w:ind w:left="3240"/>
        <w:spacing w:after="0"/>
        <w:rPr>
          <w:sz w:val="20"/>
          <w:szCs w:val="20"/>
          <w:color w:val="auto"/>
        </w:rPr>
      </w:pPr>
      <w:r>
        <w:rPr>
          <w:rFonts w:ascii="Courier New" w:cs="Courier New" w:eastAsia="Courier New" w:hAnsi="Courier New"/>
          <w:sz w:val="18"/>
          <w:szCs w:val="18"/>
          <w:color w:val="auto"/>
        </w:rPr>
        <w:t>5,573</w:t>
      </w:r>
    </w:p>
    <w:p>
      <w:pPr>
        <w:ind w:left="3340"/>
        <w:spacing w:after="0" w:line="238" w:lineRule="auto"/>
        <w:rPr>
          <w:sz w:val="20"/>
          <w:szCs w:val="20"/>
          <w:color w:val="auto"/>
        </w:rPr>
      </w:pPr>
      <w:r>
        <w:rPr>
          <w:rFonts w:ascii="Courier New" w:cs="Courier New" w:eastAsia="Courier New" w:hAnsi="Courier New"/>
          <w:sz w:val="18"/>
          <w:szCs w:val="18"/>
          <w:color w:val="auto"/>
        </w:rPr>
        <w:t>(7,206)</w:t>
      </w:r>
    </w:p>
    <w:p>
      <w:pPr>
        <w:ind w:left="3660"/>
        <w:spacing w:after="0"/>
        <w:rPr>
          <w:sz w:val="20"/>
          <w:szCs w:val="20"/>
          <w:color w:val="auto"/>
        </w:rPr>
      </w:pPr>
      <w:r>
        <w:rPr>
          <w:rFonts w:ascii="Courier New" w:cs="Courier New" w:eastAsia="Courier New" w:hAnsi="Courier New"/>
          <w:sz w:val="18"/>
          <w:szCs w:val="18"/>
          <w:color w:val="auto"/>
        </w:rPr>
        <w:t>(3,113)</w:t>
      </w:r>
    </w:p>
    <w:p>
      <w:pPr>
        <w:ind w:left="2920"/>
        <w:spacing w:after="0" w:line="238" w:lineRule="auto"/>
        <w:rPr>
          <w:sz w:val="20"/>
          <w:szCs w:val="20"/>
          <w:color w:val="auto"/>
        </w:rPr>
      </w:pPr>
      <w:r>
        <w:rPr>
          <w:rFonts w:ascii="Courier New" w:cs="Courier New" w:eastAsia="Courier New" w:hAnsi="Courier New"/>
          <w:sz w:val="18"/>
          <w:szCs w:val="18"/>
          <w:color w:val="auto"/>
        </w:rPr>
        <w:t>(4,093)</w:t>
      </w:r>
    </w:p>
    <w:p>
      <w:pPr>
        <w:ind w:left="4080"/>
        <w:spacing w:after="0"/>
        <w:rPr>
          <w:sz w:val="20"/>
          <w:szCs w:val="20"/>
          <w:color w:val="auto"/>
        </w:rPr>
      </w:pPr>
      <w:r>
        <w:rPr>
          <w:rFonts w:ascii="Courier New" w:cs="Courier New" w:eastAsia="Courier New" w:hAnsi="Courier New"/>
          <w:sz w:val="18"/>
          <w:szCs w:val="18"/>
          <w:color w:val="auto"/>
        </w:rPr>
        <w:t>0</w:t>
      </w:r>
    </w:p>
    <w:p>
      <w:pPr>
        <w:ind w:left="3980"/>
        <w:spacing w:after="0" w:line="238" w:lineRule="auto"/>
        <w:rPr>
          <w:sz w:val="20"/>
          <w:szCs w:val="20"/>
          <w:color w:val="auto"/>
        </w:rPr>
      </w:pPr>
      <w:r>
        <w:rPr>
          <w:rFonts w:ascii="Courier New" w:cs="Courier New" w:eastAsia="Courier New" w:hAnsi="Courier New"/>
          <w:sz w:val="18"/>
          <w:szCs w:val="18"/>
          <w:color w:val="auto"/>
        </w:rPr>
        <w:t>0</w:t>
      </w:r>
    </w:p>
    <w:p>
      <w:pPr>
        <w:ind w:left="4600"/>
        <w:spacing w:after="0"/>
        <w:rPr>
          <w:sz w:val="20"/>
          <w:szCs w:val="20"/>
          <w:color w:val="auto"/>
        </w:rPr>
      </w:pPr>
      <w:r>
        <w:rPr>
          <w:rFonts w:ascii="Courier New" w:cs="Courier New" w:eastAsia="Courier New" w:hAnsi="Courier New"/>
          <w:sz w:val="18"/>
          <w:szCs w:val="18"/>
          <w:color w:val="auto"/>
        </w:rPr>
        <w:t>0</w:t>
      </w:r>
    </w:p>
    <w:p>
      <w:pPr>
        <w:jc w:val="center"/>
        <w:ind w:right="2119"/>
        <w:spacing w:after="0" w:line="238" w:lineRule="auto"/>
        <w:rPr>
          <w:sz w:val="20"/>
          <w:szCs w:val="20"/>
          <w:color w:val="auto"/>
        </w:rPr>
      </w:pPr>
      <w:r>
        <w:rPr>
          <w:rFonts w:ascii="Courier New" w:cs="Courier New" w:eastAsia="Courier New" w:hAnsi="Courier New"/>
          <w:sz w:val="18"/>
          <w:szCs w:val="18"/>
          <w:color w:val="auto"/>
        </w:rPr>
        <w:t>(4,093)</w:t>
      </w:r>
    </w:p>
    <w:p>
      <w:pPr>
        <w:jc w:val="center"/>
        <w:ind w:right="2119"/>
        <w:spacing w:after="0"/>
        <w:rPr>
          <w:sz w:val="20"/>
          <w:szCs w:val="20"/>
          <w:color w:val="auto"/>
        </w:rPr>
      </w:pPr>
      <w:r>
        <w:rPr>
          <w:rFonts w:ascii="Courier New" w:cs="Courier New" w:eastAsia="Courier New" w:hAnsi="Courier New"/>
          <w:sz w:val="18"/>
          <w:szCs w:val="18"/>
          <w:color w:val="auto"/>
        </w:rPr>
        <w:t>(.35)</w:t>
      </w:r>
    </w:p>
    <w:p>
      <w:pPr>
        <w:jc w:val="center"/>
        <w:ind w:right="2119"/>
        <w:spacing w:after="0"/>
        <w:rPr>
          <w:sz w:val="20"/>
          <w:szCs w:val="20"/>
          <w:color w:val="auto"/>
        </w:rPr>
      </w:pPr>
      <w:r>
        <w:rPr>
          <w:rFonts w:ascii="Courier New" w:cs="Courier New" w:eastAsia="Courier New" w:hAnsi="Courier New"/>
          <w:sz w:val="18"/>
          <w:szCs w:val="18"/>
          <w:color w:val="auto"/>
        </w:rPr>
        <w:t>(.35)</w:t>
      </w:r>
    </w:p>
    <w:sectPr>
      <w:pgSz w:w="11900" w:h="16838" w:orient="portrait"/>
      <w:cols w:equalWidth="0" w:num="1">
        <w:col w:w="10179"/>
      </w:cols>
      <w:pgMar w:left="280" w:top="9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937"/>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4"/>
    </w:lvl>
  </w:abstractNum>
  <w:abstractNum w:abstractNumId="5">
    <w:nsid w:val="41B71EFB"/>
    <w:multiLevelType w:val="hybridMultilevel"/>
    <w:lvl w:ilvl="0">
      <w:lvlJc w:val="left"/>
      <w:lvlText w:val="%1."/>
      <w:numFmt w:val="decimal"/>
      <w:start w:val="5"/>
    </w:lvl>
  </w:abstractNum>
  <w:abstractNum w:abstractNumId="6">
    <w:nsid w:val="79E2A9E3"/>
    <w:multiLevelType w:val="hybridMultilevel"/>
    <w:lvl w:ilvl="0">
      <w:lvlJc w:val="left"/>
      <w:lvlText w:val="%1."/>
      <w:numFmt w:val="decimal"/>
      <w:start w:val="8"/>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2019-12-19T23:46:49Z</dcterms:created>
  <dcterms:modified xsi:type="dcterms:W3CDTF">2019-12-19T23:46:49Z</dcterms:modified>
</cp:coreProperties>
</file>